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154305</wp:posOffset>
            </wp:positionH>
            <wp:positionV relativeFrom="page">
              <wp:posOffset>154305</wp:posOffset>
            </wp:positionV>
            <wp:extent cx="725233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335" cy="33020"/>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269240</wp:posOffset>
            </wp:positionV>
            <wp:extent cx="72523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335"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Washington, D.C. 20549</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10-Q</w:t>
      </w:r>
    </w:p>
    <w:p>
      <w:pPr>
        <w:spacing w:after="0" w:line="271" w:lineRule="exact"/>
        <w:rPr>
          <w:sz w:val="24"/>
          <w:szCs w:val="24"/>
          <w:color w:val="auto"/>
        </w:rPr>
      </w:pPr>
    </w:p>
    <w:p>
      <w:pPr>
        <w:jc w:val="center"/>
        <w:ind w:left="4260" w:right="1180" w:hanging="3063"/>
        <w:spacing w:after="0" w:line="539" w:lineRule="auto"/>
        <w:tabs>
          <w:tab w:leader="none" w:pos="1486"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QUARTERLY REPORT PURSUANT TO SECTION 13 OR 15(d) OF THE SECURITIES EXCHANGE ACT OF 1934 For the quarter ended June 30, 2018, or</w:t>
      </w:r>
    </w:p>
    <w:p>
      <w:pPr>
        <w:spacing w:after="0" w:line="1" w:lineRule="exact"/>
        <w:rPr>
          <w:sz w:val="24"/>
          <w:szCs w:val="24"/>
          <w:color w:val="auto"/>
        </w:rPr>
      </w:pPr>
    </w:p>
    <w:p>
      <w:pPr>
        <w:jc w:val="center"/>
        <w:ind w:left="3880" w:right="1180" w:hanging="2692"/>
        <w:spacing w:after="0" w:line="539" w:lineRule="auto"/>
        <w:tabs>
          <w:tab w:leader="none" w:pos="1376"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TRANSITION REPORT PURSUANT TO SECTION 13 OR 15(d) OF THE SECURITIES EXCHANGE ACT OF 1934 For the Transition Period from _____ to ________</w:t>
      </w:r>
    </w:p>
    <w:p>
      <w:pPr>
        <w:ind w:left="438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Commission file number: 000-09341</w:t>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31"/>
          <w:szCs w:val="31"/>
          <w:b w:val="1"/>
          <w:bCs w:val="1"/>
          <w:u w:val="single" w:color="auto"/>
          <w:color w:val="auto"/>
        </w:rPr>
        <w:t>SECURITY NATIONAL FINANCIAL CORPORATION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(Exact name of registrant as specified in its charter)</w:t>
      </w:r>
    </w:p>
    <w:p>
      <w:pPr>
        <w:spacing w:after="0" w:line="241" w:lineRule="exact"/>
        <w:rPr>
          <w:sz w:val="24"/>
          <w:szCs w:val="24"/>
          <w:color w:val="auto"/>
        </w:rPr>
      </w:pPr>
    </w:p>
    <w:tbl>
      <w:tblPr>
        <w:tblLayout w:type="fixed"/>
        <w:tblInd w:w="760" w:type="dxa"/>
        <w:tblCellMar>
          <w:top w:w="0" w:type="dxa"/>
          <w:left w:w="0" w:type="dxa"/>
          <w:bottom w:w="0" w:type="dxa"/>
          <w:right w:w="0" w:type="dxa"/>
        </w:tblCellMar>
      </w:tblPr>
      <w:tr>
        <w:trPr>
          <w:trHeight w:val="195"/>
        </w:trPr>
        <w:tc>
          <w:tcPr>
            <w:tcW w:w="160" w:type="dxa"/>
            <w:vAlign w:val="bottom"/>
          </w:tcPr>
          <w:p>
            <w:pPr>
              <w:spacing w:after="0"/>
              <w:rPr>
                <w:sz w:val="16"/>
                <w:szCs w:val="16"/>
                <w:color w:val="auto"/>
              </w:rPr>
            </w:pPr>
          </w:p>
        </w:tc>
        <w:tc>
          <w:tcPr>
            <w:tcW w:w="4240" w:type="dxa"/>
            <w:vAlign w:val="bottom"/>
            <w:gridSpan w:val="4"/>
          </w:tcPr>
          <w:p>
            <w:pPr>
              <w:jc w:val="center"/>
              <w:ind w:right="360"/>
              <w:spacing w:after="0"/>
              <w:rPr>
                <w:sz w:val="20"/>
                <w:szCs w:val="20"/>
                <w:color w:val="auto"/>
              </w:rPr>
            </w:pPr>
            <w:r>
              <w:rPr>
                <w:rFonts w:ascii="Arial" w:cs="Arial" w:eastAsia="Arial" w:hAnsi="Arial"/>
                <w:sz w:val="17"/>
                <w:szCs w:val="17"/>
                <w:b w:val="1"/>
                <w:bCs w:val="1"/>
                <w:color w:val="auto"/>
              </w:rPr>
              <w:t>UTAH</w:t>
            </w:r>
          </w:p>
        </w:tc>
        <w:tc>
          <w:tcPr>
            <w:tcW w:w="4640" w:type="dxa"/>
            <w:vAlign w:val="bottom"/>
            <w:gridSpan w:val="6"/>
          </w:tcPr>
          <w:p>
            <w:pPr>
              <w:jc w:val="right"/>
              <w:ind w:right="820"/>
              <w:spacing w:after="0"/>
              <w:rPr>
                <w:sz w:val="20"/>
                <w:szCs w:val="20"/>
                <w:color w:val="auto"/>
              </w:rPr>
            </w:pPr>
            <w:r>
              <w:rPr>
                <w:rFonts w:ascii="Arial" w:cs="Arial" w:eastAsia="Arial" w:hAnsi="Arial"/>
                <w:sz w:val="17"/>
                <w:szCs w:val="17"/>
                <w:b w:val="1"/>
                <w:bCs w:val="1"/>
                <w:color w:val="auto"/>
              </w:rPr>
              <w:t>87-0345941</w:t>
            </w:r>
          </w:p>
        </w:tc>
      </w:tr>
      <w:tr>
        <w:trPr>
          <w:trHeight w:val="20"/>
        </w:trPr>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6"/>
        </w:trPr>
        <w:tc>
          <w:tcPr>
            <w:tcW w:w="4400" w:type="dxa"/>
            <w:vAlign w:val="bottom"/>
            <w:gridSpan w:val="5"/>
          </w:tcPr>
          <w:p>
            <w:pPr>
              <w:jc w:val="center"/>
              <w:ind w:right="200"/>
              <w:spacing w:after="0"/>
              <w:rPr>
                <w:sz w:val="20"/>
                <w:szCs w:val="20"/>
                <w:color w:val="auto"/>
              </w:rPr>
            </w:pPr>
            <w:r>
              <w:rPr>
                <w:rFonts w:ascii="Arial" w:cs="Arial" w:eastAsia="Arial" w:hAnsi="Arial"/>
                <w:sz w:val="17"/>
                <w:szCs w:val="17"/>
                <w:i w:val="1"/>
                <w:iCs w:val="1"/>
                <w:color w:val="auto"/>
                <w:w w:val="95"/>
              </w:rPr>
              <w:t>(State or other jurisdiction of incorporation or organization)</w:t>
            </w:r>
          </w:p>
        </w:tc>
        <w:tc>
          <w:tcPr>
            <w:tcW w:w="1120" w:type="dxa"/>
            <w:vAlign w:val="bottom"/>
          </w:tcPr>
          <w:p>
            <w:pPr>
              <w:spacing w:after="0"/>
              <w:rPr>
                <w:sz w:val="19"/>
                <w:szCs w:val="19"/>
                <w:color w:val="auto"/>
              </w:rPr>
            </w:pPr>
          </w:p>
        </w:tc>
        <w:tc>
          <w:tcPr>
            <w:tcW w:w="3520" w:type="dxa"/>
            <w:vAlign w:val="bottom"/>
            <w:gridSpan w:val="5"/>
          </w:tcPr>
          <w:p>
            <w:pPr>
              <w:jc w:val="center"/>
              <w:ind w:left="974"/>
              <w:spacing w:after="0"/>
              <w:rPr>
                <w:sz w:val="20"/>
                <w:szCs w:val="20"/>
                <w:color w:val="auto"/>
              </w:rPr>
            </w:pPr>
            <w:r>
              <w:rPr>
                <w:rFonts w:ascii="Arial" w:cs="Arial" w:eastAsia="Arial" w:hAnsi="Arial"/>
                <w:sz w:val="17"/>
                <w:szCs w:val="17"/>
                <w:i w:val="1"/>
                <w:iCs w:val="1"/>
                <w:color w:val="auto"/>
                <w:w w:val="93"/>
              </w:rPr>
              <w:t>(I.R.S. Employer Identification No.)</w:t>
            </w:r>
          </w:p>
        </w:tc>
      </w:tr>
      <w:tr>
        <w:trPr>
          <w:trHeight w:val="374"/>
        </w:trPr>
        <w:tc>
          <w:tcPr>
            <w:tcW w:w="160" w:type="dxa"/>
            <w:vAlign w:val="bottom"/>
          </w:tcPr>
          <w:p>
            <w:pPr>
              <w:spacing w:after="0"/>
              <w:rPr>
                <w:sz w:val="24"/>
                <w:szCs w:val="24"/>
                <w:color w:val="auto"/>
              </w:rPr>
            </w:pPr>
          </w:p>
        </w:tc>
        <w:tc>
          <w:tcPr>
            <w:tcW w:w="3880" w:type="dxa"/>
            <w:vAlign w:val="bottom"/>
            <w:gridSpan w:val="3"/>
          </w:tcPr>
          <w:p>
            <w:pPr>
              <w:jc w:val="center"/>
              <w:spacing w:after="0"/>
              <w:rPr>
                <w:sz w:val="20"/>
                <w:szCs w:val="20"/>
                <w:color w:val="auto"/>
              </w:rPr>
            </w:pPr>
            <w:r>
              <w:rPr>
                <w:rFonts w:ascii="Arial" w:cs="Arial" w:eastAsia="Arial" w:hAnsi="Arial"/>
                <w:sz w:val="17"/>
                <w:szCs w:val="17"/>
                <w:b w:val="1"/>
                <w:bCs w:val="1"/>
                <w:color w:val="auto"/>
                <w:w w:val="92"/>
              </w:rPr>
              <w:t>5300 South 360 West, Suite 250, Salt Lake City, Utah</w:t>
            </w:r>
          </w:p>
        </w:tc>
        <w:tc>
          <w:tcPr>
            <w:tcW w:w="360" w:type="dxa"/>
            <w:vAlign w:val="bottom"/>
          </w:tcPr>
          <w:p>
            <w:pPr>
              <w:spacing w:after="0"/>
              <w:rPr>
                <w:sz w:val="24"/>
                <w:szCs w:val="24"/>
                <w:color w:val="auto"/>
              </w:rPr>
            </w:pPr>
          </w:p>
        </w:tc>
        <w:tc>
          <w:tcPr>
            <w:tcW w:w="3820" w:type="dxa"/>
            <w:vAlign w:val="bottom"/>
            <w:gridSpan w:val="5"/>
          </w:tcPr>
          <w:p>
            <w:pPr>
              <w:jc w:val="right"/>
              <w:ind w:right="200"/>
              <w:spacing w:after="0"/>
              <w:rPr>
                <w:sz w:val="20"/>
                <w:szCs w:val="20"/>
                <w:color w:val="auto"/>
              </w:rPr>
            </w:pPr>
            <w:r>
              <w:rPr>
                <w:rFonts w:ascii="Arial" w:cs="Arial" w:eastAsia="Arial" w:hAnsi="Arial"/>
                <w:sz w:val="17"/>
                <w:szCs w:val="17"/>
                <w:b w:val="1"/>
                <w:bCs w:val="1"/>
                <w:color w:val="auto"/>
              </w:rPr>
              <w:t>84123</w:t>
            </w:r>
          </w:p>
        </w:tc>
        <w:tc>
          <w:tcPr>
            <w:tcW w:w="82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3880" w:type="dxa"/>
            <w:vAlign w:val="bottom"/>
            <w:gridSpan w:val="3"/>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6"/>
        </w:trPr>
        <w:tc>
          <w:tcPr>
            <w:tcW w:w="160" w:type="dxa"/>
            <w:vAlign w:val="bottom"/>
          </w:tcPr>
          <w:p>
            <w:pPr>
              <w:spacing w:after="0"/>
              <w:rPr>
                <w:sz w:val="19"/>
                <w:szCs w:val="19"/>
                <w:color w:val="auto"/>
              </w:rPr>
            </w:pPr>
          </w:p>
        </w:tc>
        <w:tc>
          <w:tcPr>
            <w:tcW w:w="3880" w:type="dxa"/>
            <w:vAlign w:val="bottom"/>
            <w:gridSpan w:val="3"/>
          </w:tcPr>
          <w:p>
            <w:pPr>
              <w:jc w:val="center"/>
              <w:spacing w:after="0"/>
              <w:rPr>
                <w:sz w:val="20"/>
                <w:szCs w:val="20"/>
                <w:color w:val="auto"/>
              </w:rPr>
            </w:pPr>
            <w:r>
              <w:rPr>
                <w:rFonts w:ascii="Arial" w:cs="Arial" w:eastAsia="Arial" w:hAnsi="Arial"/>
                <w:sz w:val="17"/>
                <w:szCs w:val="17"/>
                <w:i w:val="1"/>
                <w:iCs w:val="1"/>
                <w:color w:val="auto"/>
                <w:w w:val="92"/>
              </w:rPr>
              <w:t>(Address of principal executive offices)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40" w:type="dxa"/>
            <w:vAlign w:val="bottom"/>
            <w:gridSpan w:val="4"/>
          </w:tcPr>
          <w:p>
            <w:pPr>
              <w:jc w:val="center"/>
              <w:ind w:right="820"/>
              <w:spacing w:after="0"/>
              <w:rPr>
                <w:sz w:val="20"/>
                <w:szCs w:val="20"/>
                <w:color w:val="auto"/>
              </w:rPr>
            </w:pPr>
            <w:r>
              <w:rPr>
                <w:rFonts w:ascii="Arial" w:cs="Arial" w:eastAsia="Arial" w:hAnsi="Arial"/>
                <w:sz w:val="17"/>
                <w:szCs w:val="17"/>
                <w:i w:val="1"/>
                <w:iCs w:val="1"/>
                <w:color w:val="auto"/>
                <w:w w:val="92"/>
              </w:rPr>
              <w:t>(Zip Code)</w:t>
            </w:r>
          </w:p>
        </w:tc>
      </w:tr>
      <w:tr>
        <w:trPr>
          <w:trHeight w:val="374"/>
        </w:trPr>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4"/>
              </w:rPr>
              <w:t>(801) 264-1060</w:t>
            </w: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(Registrant's telephone number, including area code)</w:t>
      </w:r>
    </w:p>
    <w:p>
      <w:pPr>
        <w:spacing w:after="0" w:line="270" w:lineRule="exact"/>
        <w:rPr>
          <w:sz w:val="24"/>
          <w:szCs w:val="24"/>
          <w:color w:val="auto"/>
        </w:rPr>
      </w:pPr>
    </w:p>
    <w:p>
      <w:pPr>
        <w:jc w:val="both"/>
        <w:spacing w:after="0" w:line="268"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28" w:lineRule="exact"/>
        <w:rPr>
          <w:sz w:val="24"/>
          <w:szCs w:val="24"/>
          <w:color w:val="auto"/>
        </w:rPr>
      </w:pPr>
    </w:p>
    <w:p>
      <w:pPr>
        <w:jc w:val="both"/>
        <w:spacing w:after="0" w:line="308" w:lineRule="auto"/>
        <w:rPr>
          <w:sz w:val="20"/>
          <w:szCs w:val="20"/>
          <w:color w:val="auto"/>
        </w:rPr>
      </w:pPr>
      <w:r>
        <w:rPr>
          <w:rFonts w:ascii="Arial" w:cs="Arial" w:eastAsia="Arial" w:hAnsi="Arial"/>
          <w:sz w:val="19"/>
          <w:szCs w:val="19"/>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88" w:lineRule="exact"/>
        <w:rPr>
          <w:sz w:val="24"/>
          <w:szCs w:val="24"/>
          <w:color w:val="auto"/>
        </w:rPr>
      </w:pPr>
    </w:p>
    <w:p>
      <w:pPr>
        <w:jc w:val="both"/>
        <w:spacing w:after="0" w:line="26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530" w:right="239" w:bottom="1440" w:gutter="0" w:footer="0" w:header="0"/>
        </w:sectPr>
      </w:pPr>
    </w:p>
    <w:p>
      <w:pPr>
        <w:spacing w:after="0" w:line="172" w:lineRule="exact"/>
        <w:rPr>
          <w:sz w:val="24"/>
          <w:szCs w:val="24"/>
          <w:color w:val="auto"/>
        </w:rPr>
      </w:pPr>
    </w:p>
    <w:p>
      <w:pPr>
        <w:spacing w:after="0" w:line="315" w:lineRule="auto"/>
        <w:rPr>
          <w:sz w:val="20"/>
          <w:szCs w:val="20"/>
          <w:color w:val="auto"/>
        </w:rPr>
      </w:pPr>
      <w:r>
        <w:rPr>
          <w:rFonts w:ascii="Arial" w:cs="Arial" w:eastAsia="Arial" w:hAnsi="Arial"/>
          <w:sz w:val="16"/>
          <w:szCs w:val="16"/>
          <w:color w:val="auto"/>
        </w:rPr>
        <w:t>Large accelerated filer [ ] Non-accelerated filer [ ]</w:t>
      </w:r>
    </w:p>
    <w:p>
      <w:pPr>
        <w:spacing w:after="0" w:line="20" w:lineRule="exact"/>
        <w:rPr>
          <w:sz w:val="24"/>
          <w:szCs w:val="24"/>
          <w:color w:val="auto"/>
        </w:rPr>
      </w:pPr>
      <w:r>
        <w:rPr>
          <w:sz w:val="24"/>
          <w:szCs w:val="24"/>
          <w:color w:val="auto"/>
        </w:rPr>
        <w:br w:type="column"/>
      </w:r>
    </w:p>
    <w:p>
      <w:pPr>
        <w:spacing w:after="0" w:line="359" w:lineRule="exact"/>
        <w:rPr>
          <w:sz w:val="24"/>
          <w:szCs w:val="24"/>
          <w:color w:val="auto"/>
        </w:rPr>
      </w:pPr>
    </w:p>
    <w:p>
      <w:pPr>
        <w:spacing w:after="0"/>
        <w:rPr>
          <w:sz w:val="20"/>
          <w:szCs w:val="20"/>
          <w:color w:val="auto"/>
        </w:rPr>
      </w:pPr>
      <w:r>
        <w:rPr>
          <w:rFonts w:ascii="Arial" w:cs="Arial" w:eastAsia="Arial" w:hAnsi="Arial"/>
          <w:sz w:val="15"/>
          <w:szCs w:val="15"/>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 ]</w:t>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 ]</w:t>
      </w:r>
    </w:p>
    <w:p>
      <w:pPr>
        <w:spacing w:after="0" w:line="200" w:lineRule="exact"/>
        <w:rPr>
          <w:sz w:val="24"/>
          <w:szCs w:val="24"/>
          <w:color w:val="auto"/>
        </w:rPr>
      </w:pPr>
    </w:p>
    <w:p>
      <w:pPr>
        <w:sectPr>
          <w:pgSz w:w="11900" w:h="16838" w:orient="portrait"/>
          <w:cols w:equalWidth="0" w:num="3">
            <w:col w:w="1800" w:space="40"/>
            <w:col w:w="3300" w:space="720"/>
            <w:col w:w="5560"/>
          </w:cols>
          <w:pgMar w:left="240" w:top="530" w:right="239" w:bottom="1440" w:gutter="0" w:footer="0" w:header="0"/>
          <w:type w:val="continuous"/>
        </w:sectPr>
      </w:pPr>
    </w:p>
    <w:p>
      <w:pPr>
        <w:spacing w:after="0" w:line="17" w:lineRule="exact"/>
        <w:rPr>
          <w:sz w:val="24"/>
          <w:szCs w:val="24"/>
          <w:color w:val="auto"/>
        </w:rPr>
      </w:pPr>
    </w:p>
    <w:p>
      <w:pPr>
        <w:spacing w:after="0" w:line="283"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15" w:lineRule="exact"/>
        <w:rPr>
          <w:sz w:val="24"/>
          <w:szCs w:val="24"/>
          <w:color w:val="auto"/>
        </w:rPr>
      </w:pPr>
    </w:p>
    <w:p>
      <w:pPr>
        <w:spacing w:after="0"/>
        <w:rPr>
          <w:sz w:val="20"/>
          <w:szCs w:val="20"/>
          <w:color w:val="auto"/>
        </w:rPr>
      </w:pPr>
      <w:r>
        <w:rPr>
          <w:rFonts w:ascii="Arial" w:cs="Arial" w:eastAsia="Arial" w:hAnsi="Arial"/>
          <w:sz w:val="20"/>
          <w:szCs w:val="20"/>
          <w:color w:val="auto"/>
        </w:rPr>
        <w:t>Indicate by check mark whether the registrant is a shell company (as defined in Rule 12b-2 of the Exchange Act). Yes [ ]  No[X]</w:t>
      </w:r>
    </w:p>
    <w:p>
      <w:pPr>
        <w:spacing w:after="0" w:line="283"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270" w:lineRule="exact"/>
        <w:rPr>
          <w:sz w:val="24"/>
          <w:szCs w:val="24"/>
          <w:color w:val="auto"/>
        </w:rPr>
      </w:pPr>
    </w:p>
    <w:p>
      <w:pPr>
        <w:spacing w:after="0" w:line="283" w:lineRule="auto"/>
        <w:rPr>
          <w:sz w:val="20"/>
          <w:szCs w:val="20"/>
          <w:color w:val="auto"/>
        </w:rPr>
      </w:pPr>
      <w:r>
        <w:rPr>
          <w:rFonts w:ascii="Arial" w:cs="Arial" w:eastAsia="Arial" w:hAnsi="Arial"/>
          <w:sz w:val="17"/>
          <w:szCs w:val="17"/>
          <w:color w:val="auto"/>
        </w:rPr>
        <w:t>As of August 14, 2018, the registrant had 14,569,509 shares of Class A Common Stock, $2.00 par value, outstanding and 2,089,184 shares of Class C Common Stock, $2.00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248285</wp:posOffset>
            </wp:positionV>
            <wp:extent cx="725233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SECURITY NATIONAL FINANCIAL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QUARTER ENDED JUNE 30, 2018</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40" w:type="dxa"/>
            <w:vAlign w:val="bottom"/>
          </w:tcPr>
          <w:p>
            <w:pPr>
              <w:spacing w:after="0"/>
              <w:rPr>
                <w:sz w:val="19"/>
                <w:szCs w:val="19"/>
                <w:color w:val="auto"/>
              </w:rPr>
            </w:pPr>
          </w:p>
        </w:tc>
        <w:tc>
          <w:tcPr>
            <w:tcW w:w="9480" w:type="dxa"/>
            <w:vAlign w:val="bottom"/>
          </w:tcPr>
          <w:p>
            <w:pPr>
              <w:spacing w:after="0"/>
              <w:rPr>
                <w:sz w:val="19"/>
                <w:szCs w:val="19"/>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Page No.</w:t>
            </w:r>
          </w:p>
        </w:tc>
      </w:tr>
      <w:tr>
        <w:trPr>
          <w:trHeight w:val="207"/>
        </w:trPr>
        <w:tc>
          <w:tcPr>
            <w:tcW w:w="840" w:type="dxa"/>
            <w:vAlign w:val="bottom"/>
          </w:tcPr>
          <w:p>
            <w:pPr>
              <w:spacing w:after="0"/>
              <w:rPr>
                <w:sz w:val="18"/>
                <w:szCs w:val="18"/>
                <w:color w:val="auto"/>
              </w:rPr>
            </w:pPr>
          </w:p>
        </w:tc>
        <w:tc>
          <w:tcPr>
            <w:tcW w:w="9480" w:type="dxa"/>
            <w:vAlign w:val="bottom"/>
          </w:tcPr>
          <w:p>
            <w:pPr>
              <w:jc w:val="center"/>
              <w:ind w:left="135"/>
              <w:spacing w:after="0"/>
              <w:rPr>
                <w:sz w:val="20"/>
                <w:szCs w:val="20"/>
                <w:color w:val="auto"/>
              </w:rPr>
            </w:pPr>
            <w:r>
              <w:rPr>
                <w:rFonts w:ascii="Arial" w:cs="Arial" w:eastAsia="Arial" w:hAnsi="Arial"/>
                <w:sz w:val="17"/>
                <w:szCs w:val="17"/>
                <w:b w:val="1"/>
                <w:bCs w:val="1"/>
                <w:color w:val="auto"/>
                <w:w w:val="98"/>
              </w:rPr>
              <w:t>Part I - Financial Information</w:t>
            </w:r>
          </w:p>
        </w:tc>
        <w:tc>
          <w:tcPr>
            <w:tcW w:w="1100" w:type="dxa"/>
            <w:vAlign w:val="bottom"/>
          </w:tcPr>
          <w:p>
            <w:pPr>
              <w:spacing w:after="0"/>
              <w:rPr>
                <w:sz w:val="18"/>
                <w:szCs w:val="18"/>
                <w:color w:val="auto"/>
              </w:rPr>
            </w:pPr>
          </w:p>
        </w:tc>
      </w:tr>
      <w:tr>
        <w:trPr>
          <w:trHeight w:val="206"/>
        </w:trPr>
        <w:tc>
          <w:tcPr>
            <w:tcW w:w="840" w:type="dxa"/>
            <w:vAlign w:val="bottom"/>
          </w:tcPr>
          <w:p>
            <w:pPr>
              <w:spacing w:after="0"/>
              <w:rPr>
                <w:sz w:val="17"/>
                <w:szCs w:val="17"/>
                <w:color w:val="auto"/>
              </w:rPr>
            </w:pPr>
          </w:p>
        </w:tc>
        <w:tc>
          <w:tcPr>
            <w:tcW w:w="9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Item 1.</w:t>
            </w:r>
          </w:p>
        </w:tc>
        <w:tc>
          <w:tcPr>
            <w:tcW w:w="9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Financial Statements</w:t>
            </w:r>
          </w:p>
        </w:tc>
        <w:tc>
          <w:tcPr>
            <w:tcW w:w="1100" w:type="dxa"/>
            <w:vAlign w:val="bottom"/>
            <w:shd w:val="clear" w:color="auto" w:fill="CCEEFF"/>
          </w:tcPr>
          <w:p>
            <w:pPr>
              <w:spacing w:after="0"/>
              <w:rPr>
                <w:sz w:val="17"/>
                <w:szCs w:val="17"/>
                <w:color w:val="auto"/>
              </w:rPr>
            </w:pPr>
          </w:p>
        </w:tc>
      </w:tr>
      <w:tr>
        <w:trPr>
          <w:trHeight w:val="207"/>
        </w:trPr>
        <w:tc>
          <w:tcPr>
            <w:tcW w:w="840" w:type="dxa"/>
            <w:vAlign w:val="bottom"/>
          </w:tcPr>
          <w:p>
            <w:pPr>
              <w:spacing w:after="0"/>
              <w:rPr>
                <w:sz w:val="17"/>
                <w:szCs w:val="17"/>
                <w:color w:val="auto"/>
              </w:rPr>
            </w:pPr>
          </w:p>
        </w:tc>
        <w:tc>
          <w:tcPr>
            <w:tcW w:w="9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840" w:type="dxa"/>
            <w:vAlign w:val="bottom"/>
            <w:shd w:val="clear" w:color="auto" w:fill="CCEEFF"/>
          </w:tcPr>
          <w:p>
            <w:pPr>
              <w:spacing w:after="0"/>
              <w:rPr>
                <w:sz w:val="17"/>
                <w:szCs w:val="17"/>
                <w:color w:val="auto"/>
              </w:rPr>
            </w:pPr>
          </w:p>
        </w:tc>
        <w:tc>
          <w:tcPr>
            <w:tcW w:w="9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Condensed Consolidated Balance Sheets as of June 30, 2018 and December 31, 2017 (unaudited)</w:t>
            </w: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3-4</w:t>
            </w:r>
          </w:p>
        </w:tc>
      </w:tr>
      <w:tr>
        <w:trPr>
          <w:trHeight w:val="207"/>
        </w:trPr>
        <w:tc>
          <w:tcPr>
            <w:tcW w:w="840" w:type="dxa"/>
            <w:vAlign w:val="bottom"/>
          </w:tcPr>
          <w:p>
            <w:pPr>
              <w:spacing w:after="0"/>
              <w:rPr>
                <w:sz w:val="17"/>
                <w:szCs w:val="17"/>
                <w:color w:val="auto"/>
              </w:rPr>
            </w:pPr>
          </w:p>
        </w:tc>
        <w:tc>
          <w:tcPr>
            <w:tcW w:w="9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840" w:type="dxa"/>
            <w:vAlign w:val="bottom"/>
            <w:shd w:val="clear" w:color="auto" w:fill="CCEEFF"/>
          </w:tcPr>
          <w:p>
            <w:pPr>
              <w:spacing w:after="0"/>
              <w:rPr>
                <w:sz w:val="17"/>
                <w:szCs w:val="17"/>
                <w:color w:val="auto"/>
              </w:rPr>
            </w:pPr>
          </w:p>
        </w:tc>
        <w:tc>
          <w:tcPr>
            <w:tcW w:w="948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9"/>
              </w:rPr>
              <w:t>Condensed Consolidated Statements of Earnings for the Three and Six Months Ended June 30, 2018 and 2017 (unaudited)</w:t>
            </w: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w:t>
            </w:r>
          </w:p>
        </w:tc>
      </w:tr>
      <w:tr>
        <w:trPr>
          <w:trHeight w:val="207"/>
        </w:trPr>
        <w:tc>
          <w:tcPr>
            <w:tcW w:w="840" w:type="dxa"/>
            <w:vAlign w:val="bottom"/>
          </w:tcPr>
          <w:p>
            <w:pPr>
              <w:spacing w:after="0"/>
              <w:rPr>
                <w:sz w:val="17"/>
                <w:szCs w:val="17"/>
                <w:color w:val="auto"/>
              </w:rPr>
            </w:pPr>
          </w:p>
        </w:tc>
        <w:tc>
          <w:tcPr>
            <w:tcW w:w="9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4"/>
        </w:trPr>
        <w:tc>
          <w:tcPr>
            <w:tcW w:w="840" w:type="dxa"/>
            <w:vAlign w:val="bottom"/>
            <w:shd w:val="clear" w:color="auto" w:fill="CCEEFF"/>
          </w:tcPr>
          <w:p>
            <w:pPr>
              <w:spacing w:after="0"/>
              <w:rPr>
                <w:sz w:val="16"/>
                <w:szCs w:val="16"/>
                <w:color w:val="auto"/>
              </w:rPr>
            </w:pPr>
          </w:p>
        </w:tc>
        <w:tc>
          <w:tcPr>
            <w:tcW w:w="9480" w:type="dxa"/>
            <w:vAlign w:val="bottom"/>
            <w:shd w:val="clear" w:color="auto" w:fill="CCEEFF"/>
          </w:tcPr>
          <w:p>
            <w:pPr>
              <w:ind w:left="220"/>
              <w:spacing w:after="0" w:line="194" w:lineRule="exact"/>
              <w:rPr>
                <w:sz w:val="20"/>
                <w:szCs w:val="20"/>
                <w:color w:val="auto"/>
              </w:rPr>
            </w:pPr>
            <w:r>
              <w:rPr>
                <w:rFonts w:ascii="Arial" w:cs="Arial" w:eastAsia="Arial" w:hAnsi="Arial"/>
                <w:sz w:val="17"/>
                <w:szCs w:val="17"/>
                <w:color w:val="auto"/>
                <w:w w:val="97"/>
              </w:rPr>
              <w:t>Condensed Consolidated Statements of Comprehensive Income for the Three and Six Months Ended June 30, 2018 and 2017</w:t>
            </w:r>
          </w:p>
        </w:tc>
        <w:tc>
          <w:tcPr>
            <w:tcW w:w="110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84"/>
              </w:rPr>
              <w:t>6</w:t>
            </w:r>
          </w:p>
        </w:tc>
      </w:tr>
      <w:tr>
        <w:trPr>
          <w:trHeight w:val="219"/>
        </w:trPr>
        <w:tc>
          <w:tcPr>
            <w:tcW w:w="840" w:type="dxa"/>
            <w:vAlign w:val="bottom"/>
            <w:shd w:val="clear" w:color="auto" w:fill="CCEEFF"/>
          </w:tcPr>
          <w:p>
            <w:pPr>
              <w:spacing w:after="0"/>
              <w:rPr>
                <w:sz w:val="19"/>
                <w:szCs w:val="19"/>
                <w:color w:val="auto"/>
              </w:rPr>
            </w:pPr>
          </w:p>
        </w:tc>
        <w:tc>
          <w:tcPr>
            <w:tcW w:w="9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(unaudited)</w:t>
            </w:r>
          </w:p>
        </w:tc>
        <w:tc>
          <w:tcPr>
            <w:tcW w:w="1100" w:type="dxa"/>
            <w:vAlign w:val="bottom"/>
            <w:shd w:val="clear" w:color="auto" w:fill="CCEEFF"/>
          </w:tcPr>
          <w:p>
            <w:pPr>
              <w:spacing w:after="0"/>
              <w:rPr>
                <w:sz w:val="19"/>
                <w:szCs w:val="19"/>
                <w:color w:val="auto"/>
              </w:rPr>
            </w:pPr>
          </w:p>
        </w:tc>
      </w:tr>
      <w:tr>
        <w:trPr>
          <w:trHeight w:val="207"/>
        </w:trPr>
        <w:tc>
          <w:tcPr>
            <w:tcW w:w="840" w:type="dxa"/>
            <w:vAlign w:val="bottom"/>
          </w:tcPr>
          <w:p>
            <w:pPr>
              <w:spacing w:after="0"/>
              <w:rPr>
                <w:sz w:val="17"/>
                <w:szCs w:val="17"/>
                <w:color w:val="auto"/>
              </w:rPr>
            </w:pPr>
          </w:p>
        </w:tc>
        <w:tc>
          <w:tcPr>
            <w:tcW w:w="9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840" w:type="dxa"/>
            <w:vAlign w:val="bottom"/>
            <w:shd w:val="clear" w:color="auto" w:fill="CCEEFF"/>
          </w:tcPr>
          <w:p>
            <w:pPr>
              <w:spacing w:after="0"/>
              <w:rPr>
                <w:sz w:val="17"/>
                <w:szCs w:val="17"/>
                <w:color w:val="auto"/>
              </w:rPr>
            </w:pPr>
          </w:p>
        </w:tc>
        <w:tc>
          <w:tcPr>
            <w:tcW w:w="9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Condensed Consolidated Statements of Stockholders' Equity as of June 30, 2018 and June 30, 2017 (unaudited)</w:t>
            </w: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7</w:t>
            </w:r>
          </w:p>
        </w:tc>
      </w:tr>
      <w:tr>
        <w:trPr>
          <w:trHeight w:val="207"/>
        </w:trPr>
        <w:tc>
          <w:tcPr>
            <w:tcW w:w="840" w:type="dxa"/>
            <w:vAlign w:val="bottom"/>
          </w:tcPr>
          <w:p>
            <w:pPr>
              <w:spacing w:after="0"/>
              <w:rPr>
                <w:sz w:val="17"/>
                <w:szCs w:val="17"/>
                <w:color w:val="auto"/>
              </w:rPr>
            </w:pPr>
          </w:p>
        </w:tc>
        <w:tc>
          <w:tcPr>
            <w:tcW w:w="9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840" w:type="dxa"/>
            <w:vAlign w:val="bottom"/>
            <w:shd w:val="clear" w:color="auto" w:fill="CCEEFF"/>
          </w:tcPr>
          <w:p>
            <w:pPr>
              <w:spacing w:after="0"/>
              <w:rPr>
                <w:sz w:val="17"/>
                <w:szCs w:val="17"/>
                <w:color w:val="auto"/>
              </w:rPr>
            </w:pPr>
          </w:p>
        </w:tc>
        <w:tc>
          <w:tcPr>
            <w:tcW w:w="9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Condensed Consolidated Statements of Cash Flows for the Six Months Ended June 30, 2018 and 2017 (unaudited)</w:t>
            </w: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8</w:t>
            </w:r>
          </w:p>
        </w:tc>
      </w:tr>
      <w:tr>
        <w:trPr>
          <w:trHeight w:val="207"/>
        </w:trPr>
        <w:tc>
          <w:tcPr>
            <w:tcW w:w="840" w:type="dxa"/>
            <w:vAlign w:val="bottom"/>
          </w:tcPr>
          <w:p>
            <w:pPr>
              <w:spacing w:after="0"/>
              <w:rPr>
                <w:sz w:val="17"/>
                <w:szCs w:val="17"/>
                <w:color w:val="auto"/>
              </w:rPr>
            </w:pPr>
          </w:p>
        </w:tc>
        <w:tc>
          <w:tcPr>
            <w:tcW w:w="9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840" w:type="dxa"/>
            <w:vAlign w:val="bottom"/>
            <w:shd w:val="clear" w:color="auto" w:fill="CCEEFF"/>
          </w:tcPr>
          <w:p>
            <w:pPr>
              <w:spacing w:after="0"/>
              <w:rPr>
                <w:sz w:val="17"/>
                <w:szCs w:val="17"/>
                <w:color w:val="auto"/>
              </w:rPr>
            </w:pPr>
          </w:p>
        </w:tc>
        <w:tc>
          <w:tcPr>
            <w:tcW w:w="9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Notes to Condensed Consolidated Financial Statements (unaudited)</w:t>
            </w: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10</w:t>
            </w:r>
          </w:p>
        </w:tc>
      </w:tr>
      <w:tr>
        <w:trPr>
          <w:trHeight w:val="207"/>
        </w:trPr>
        <w:tc>
          <w:tcPr>
            <w:tcW w:w="840" w:type="dxa"/>
            <w:vAlign w:val="bottom"/>
          </w:tcPr>
          <w:p>
            <w:pPr>
              <w:spacing w:after="0"/>
              <w:rPr>
                <w:sz w:val="17"/>
                <w:szCs w:val="17"/>
                <w:color w:val="auto"/>
              </w:rPr>
            </w:pPr>
          </w:p>
        </w:tc>
        <w:tc>
          <w:tcPr>
            <w:tcW w:w="9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Item 2.</w:t>
            </w:r>
          </w:p>
        </w:tc>
        <w:tc>
          <w:tcPr>
            <w:tcW w:w="9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48</w:t>
            </w:r>
          </w:p>
        </w:tc>
      </w:tr>
      <w:tr>
        <w:trPr>
          <w:trHeight w:val="207"/>
        </w:trPr>
        <w:tc>
          <w:tcPr>
            <w:tcW w:w="840" w:type="dxa"/>
            <w:vAlign w:val="bottom"/>
          </w:tcPr>
          <w:p>
            <w:pPr>
              <w:spacing w:after="0"/>
              <w:rPr>
                <w:sz w:val="17"/>
                <w:szCs w:val="17"/>
                <w:color w:val="auto"/>
              </w:rPr>
            </w:pPr>
          </w:p>
        </w:tc>
        <w:tc>
          <w:tcPr>
            <w:tcW w:w="9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Item 3.</w:t>
            </w:r>
          </w:p>
        </w:tc>
        <w:tc>
          <w:tcPr>
            <w:tcW w:w="9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Quantitative and Qualitative Disclosures about Market Risk</w:t>
            </w: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54</w:t>
            </w:r>
          </w:p>
        </w:tc>
      </w:tr>
      <w:tr>
        <w:trPr>
          <w:trHeight w:val="207"/>
        </w:trPr>
        <w:tc>
          <w:tcPr>
            <w:tcW w:w="840" w:type="dxa"/>
            <w:vAlign w:val="bottom"/>
          </w:tcPr>
          <w:p>
            <w:pPr>
              <w:spacing w:after="0"/>
              <w:rPr>
                <w:sz w:val="17"/>
                <w:szCs w:val="17"/>
                <w:color w:val="auto"/>
              </w:rPr>
            </w:pPr>
          </w:p>
        </w:tc>
        <w:tc>
          <w:tcPr>
            <w:tcW w:w="9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Item 4.</w:t>
            </w:r>
          </w:p>
        </w:tc>
        <w:tc>
          <w:tcPr>
            <w:tcW w:w="9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Controls and Procedures</w:t>
            </w: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54</w:t>
            </w:r>
          </w:p>
        </w:tc>
      </w:tr>
      <w:tr>
        <w:trPr>
          <w:trHeight w:val="207"/>
        </w:trPr>
        <w:tc>
          <w:tcPr>
            <w:tcW w:w="840" w:type="dxa"/>
            <w:vAlign w:val="bottom"/>
          </w:tcPr>
          <w:p>
            <w:pPr>
              <w:spacing w:after="0"/>
              <w:rPr>
                <w:sz w:val="17"/>
                <w:szCs w:val="17"/>
                <w:color w:val="auto"/>
              </w:rPr>
            </w:pPr>
          </w:p>
        </w:tc>
        <w:tc>
          <w:tcPr>
            <w:tcW w:w="9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840" w:type="dxa"/>
            <w:vAlign w:val="bottom"/>
            <w:shd w:val="clear" w:color="auto" w:fill="CCEEFF"/>
          </w:tcPr>
          <w:p>
            <w:pPr>
              <w:spacing w:after="0"/>
              <w:rPr>
                <w:sz w:val="17"/>
                <w:szCs w:val="17"/>
                <w:color w:val="auto"/>
              </w:rPr>
            </w:pPr>
          </w:p>
        </w:tc>
        <w:tc>
          <w:tcPr>
            <w:tcW w:w="9480" w:type="dxa"/>
            <w:vAlign w:val="bottom"/>
            <w:shd w:val="clear" w:color="auto" w:fill="CCEEFF"/>
          </w:tcPr>
          <w:p>
            <w:pPr>
              <w:jc w:val="center"/>
              <w:ind w:left="135"/>
              <w:spacing w:after="0"/>
              <w:rPr>
                <w:sz w:val="20"/>
                <w:szCs w:val="20"/>
                <w:color w:val="auto"/>
              </w:rPr>
            </w:pPr>
            <w:r>
              <w:rPr>
                <w:rFonts w:ascii="Arial" w:cs="Arial" w:eastAsia="Arial" w:hAnsi="Arial"/>
                <w:sz w:val="17"/>
                <w:szCs w:val="17"/>
                <w:b w:val="1"/>
                <w:bCs w:val="1"/>
                <w:color w:val="auto"/>
                <w:w w:val="98"/>
              </w:rPr>
              <w:t>Part II - Other Information</w:t>
            </w:r>
          </w:p>
        </w:tc>
        <w:tc>
          <w:tcPr>
            <w:tcW w:w="1100" w:type="dxa"/>
            <w:vAlign w:val="bottom"/>
            <w:shd w:val="clear" w:color="auto" w:fill="CCEEFF"/>
          </w:tcPr>
          <w:p>
            <w:pPr>
              <w:spacing w:after="0"/>
              <w:rPr>
                <w:sz w:val="17"/>
                <w:szCs w:val="17"/>
                <w:color w:val="auto"/>
              </w:rPr>
            </w:pPr>
          </w:p>
        </w:tc>
      </w:tr>
      <w:tr>
        <w:trPr>
          <w:trHeight w:val="207"/>
        </w:trPr>
        <w:tc>
          <w:tcPr>
            <w:tcW w:w="840" w:type="dxa"/>
            <w:vAlign w:val="bottom"/>
          </w:tcPr>
          <w:p>
            <w:pPr>
              <w:spacing w:after="0"/>
              <w:rPr>
                <w:sz w:val="17"/>
                <w:szCs w:val="17"/>
                <w:color w:val="auto"/>
              </w:rPr>
            </w:pPr>
          </w:p>
        </w:tc>
        <w:tc>
          <w:tcPr>
            <w:tcW w:w="9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Item 1.</w:t>
            </w:r>
          </w:p>
        </w:tc>
        <w:tc>
          <w:tcPr>
            <w:tcW w:w="9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Legal Proceedings</w:t>
            </w: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54</w:t>
            </w:r>
          </w:p>
        </w:tc>
      </w:tr>
      <w:tr>
        <w:trPr>
          <w:trHeight w:val="207"/>
        </w:trPr>
        <w:tc>
          <w:tcPr>
            <w:tcW w:w="840" w:type="dxa"/>
            <w:vAlign w:val="bottom"/>
          </w:tcPr>
          <w:p>
            <w:pPr>
              <w:spacing w:after="0"/>
              <w:rPr>
                <w:sz w:val="17"/>
                <w:szCs w:val="17"/>
                <w:color w:val="auto"/>
              </w:rPr>
            </w:pPr>
          </w:p>
        </w:tc>
        <w:tc>
          <w:tcPr>
            <w:tcW w:w="9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Item 1A.</w:t>
            </w:r>
          </w:p>
        </w:tc>
        <w:tc>
          <w:tcPr>
            <w:tcW w:w="9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Risk Factors</w:t>
            </w: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54</w:t>
            </w:r>
          </w:p>
        </w:tc>
      </w:tr>
      <w:tr>
        <w:trPr>
          <w:trHeight w:val="207"/>
        </w:trPr>
        <w:tc>
          <w:tcPr>
            <w:tcW w:w="840" w:type="dxa"/>
            <w:vAlign w:val="bottom"/>
          </w:tcPr>
          <w:p>
            <w:pPr>
              <w:spacing w:after="0"/>
              <w:rPr>
                <w:sz w:val="17"/>
                <w:szCs w:val="17"/>
                <w:color w:val="auto"/>
              </w:rPr>
            </w:pPr>
          </w:p>
        </w:tc>
        <w:tc>
          <w:tcPr>
            <w:tcW w:w="9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Item 2.</w:t>
            </w:r>
          </w:p>
        </w:tc>
        <w:tc>
          <w:tcPr>
            <w:tcW w:w="9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Unregistered Sales of Equity Securities and Use of Proceeds</w:t>
            </w: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54</w:t>
            </w:r>
          </w:p>
        </w:tc>
      </w:tr>
      <w:tr>
        <w:trPr>
          <w:trHeight w:val="207"/>
        </w:trPr>
        <w:tc>
          <w:tcPr>
            <w:tcW w:w="840" w:type="dxa"/>
            <w:vAlign w:val="bottom"/>
          </w:tcPr>
          <w:p>
            <w:pPr>
              <w:spacing w:after="0"/>
              <w:rPr>
                <w:sz w:val="17"/>
                <w:szCs w:val="17"/>
                <w:color w:val="auto"/>
              </w:rPr>
            </w:pPr>
          </w:p>
        </w:tc>
        <w:tc>
          <w:tcPr>
            <w:tcW w:w="9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Item 3.</w:t>
            </w:r>
          </w:p>
        </w:tc>
        <w:tc>
          <w:tcPr>
            <w:tcW w:w="9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Defaults Upon Senior Securities</w:t>
            </w: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54</w:t>
            </w:r>
          </w:p>
        </w:tc>
      </w:tr>
      <w:tr>
        <w:trPr>
          <w:trHeight w:val="207"/>
        </w:trPr>
        <w:tc>
          <w:tcPr>
            <w:tcW w:w="840" w:type="dxa"/>
            <w:vAlign w:val="bottom"/>
          </w:tcPr>
          <w:p>
            <w:pPr>
              <w:spacing w:after="0"/>
              <w:rPr>
                <w:sz w:val="17"/>
                <w:szCs w:val="17"/>
                <w:color w:val="auto"/>
              </w:rPr>
            </w:pPr>
          </w:p>
        </w:tc>
        <w:tc>
          <w:tcPr>
            <w:tcW w:w="9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Item 4.</w:t>
            </w:r>
          </w:p>
        </w:tc>
        <w:tc>
          <w:tcPr>
            <w:tcW w:w="9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Mine Safety Disclosures</w:t>
            </w: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54</w:t>
            </w:r>
          </w:p>
        </w:tc>
      </w:tr>
      <w:tr>
        <w:trPr>
          <w:trHeight w:val="207"/>
        </w:trPr>
        <w:tc>
          <w:tcPr>
            <w:tcW w:w="840" w:type="dxa"/>
            <w:vAlign w:val="bottom"/>
          </w:tcPr>
          <w:p>
            <w:pPr>
              <w:spacing w:after="0"/>
              <w:rPr>
                <w:sz w:val="17"/>
                <w:szCs w:val="17"/>
                <w:color w:val="auto"/>
              </w:rPr>
            </w:pPr>
          </w:p>
        </w:tc>
        <w:tc>
          <w:tcPr>
            <w:tcW w:w="9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Item 5.</w:t>
            </w:r>
          </w:p>
        </w:tc>
        <w:tc>
          <w:tcPr>
            <w:tcW w:w="9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Information</w:t>
            </w: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55</w:t>
            </w:r>
          </w:p>
        </w:tc>
      </w:tr>
      <w:tr>
        <w:trPr>
          <w:trHeight w:val="207"/>
        </w:trPr>
        <w:tc>
          <w:tcPr>
            <w:tcW w:w="840" w:type="dxa"/>
            <w:vAlign w:val="bottom"/>
          </w:tcPr>
          <w:p>
            <w:pPr>
              <w:spacing w:after="0"/>
              <w:rPr>
                <w:sz w:val="17"/>
                <w:szCs w:val="17"/>
                <w:color w:val="auto"/>
              </w:rPr>
            </w:pPr>
          </w:p>
        </w:tc>
        <w:tc>
          <w:tcPr>
            <w:tcW w:w="9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Item 6.</w:t>
            </w:r>
          </w:p>
        </w:tc>
        <w:tc>
          <w:tcPr>
            <w:tcW w:w="9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Exhibits</w:t>
            </w: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56</w:t>
            </w:r>
          </w:p>
        </w:tc>
      </w:tr>
      <w:tr>
        <w:trPr>
          <w:trHeight w:val="207"/>
        </w:trPr>
        <w:tc>
          <w:tcPr>
            <w:tcW w:w="840" w:type="dxa"/>
            <w:vAlign w:val="bottom"/>
          </w:tcPr>
          <w:p>
            <w:pPr>
              <w:spacing w:after="0"/>
              <w:rPr>
                <w:sz w:val="17"/>
                <w:szCs w:val="17"/>
                <w:color w:val="auto"/>
              </w:rPr>
            </w:pPr>
          </w:p>
        </w:tc>
        <w:tc>
          <w:tcPr>
            <w:tcW w:w="9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840" w:type="dxa"/>
            <w:vAlign w:val="bottom"/>
            <w:shd w:val="clear" w:color="auto" w:fill="CCEEFF"/>
          </w:tcPr>
          <w:p>
            <w:pPr>
              <w:spacing w:after="0"/>
              <w:rPr>
                <w:sz w:val="17"/>
                <w:szCs w:val="17"/>
                <w:color w:val="auto"/>
              </w:rPr>
            </w:pPr>
          </w:p>
        </w:tc>
        <w:tc>
          <w:tcPr>
            <w:tcW w:w="9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Signature Page</w:t>
            </w: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58</w:t>
            </w:r>
          </w:p>
        </w:tc>
      </w:tr>
      <w:tr>
        <w:trPr>
          <w:trHeight w:val="841"/>
        </w:trPr>
        <w:tc>
          <w:tcPr>
            <w:tcW w:w="840" w:type="dxa"/>
            <w:vAlign w:val="bottom"/>
          </w:tcPr>
          <w:p>
            <w:pPr>
              <w:spacing w:after="0"/>
              <w:rPr>
                <w:sz w:val="24"/>
                <w:szCs w:val="24"/>
                <w:color w:val="auto"/>
              </w:rPr>
            </w:pPr>
          </w:p>
        </w:tc>
        <w:tc>
          <w:tcPr>
            <w:tcW w:w="9480" w:type="dxa"/>
            <w:vAlign w:val="bottom"/>
          </w:tcPr>
          <w:p>
            <w:pPr>
              <w:jc w:val="center"/>
              <w:ind w:left="175"/>
              <w:spacing w:after="0"/>
              <w:rPr>
                <w:sz w:val="20"/>
                <w:szCs w:val="20"/>
                <w:color w:val="auto"/>
              </w:rPr>
            </w:pPr>
            <w:r>
              <w:rPr>
                <w:rFonts w:ascii="Arial" w:cs="Arial" w:eastAsia="Arial" w:hAnsi="Arial"/>
                <w:sz w:val="14"/>
                <w:szCs w:val="14"/>
                <w:color w:val="auto"/>
                <w:w w:val="76"/>
              </w:rPr>
              <w:t>2</w:t>
            </w:r>
          </w:p>
        </w:tc>
        <w:tc>
          <w:tcPr>
            <w:tcW w:w="1100" w:type="dxa"/>
            <w:vAlign w:val="bottom"/>
          </w:tcPr>
          <w:p>
            <w:pPr>
              <w:spacing w:after="0"/>
              <w:rPr>
                <w:sz w:val="24"/>
                <w:szCs w:val="24"/>
                <w:color w:val="auto"/>
              </w:rPr>
            </w:pPr>
          </w:p>
        </w:tc>
      </w:tr>
      <w:tr>
        <w:trPr>
          <w:trHeight w:val="43"/>
        </w:trPr>
        <w:tc>
          <w:tcPr>
            <w:tcW w:w="840" w:type="dxa"/>
            <w:vAlign w:val="bottom"/>
            <w:tcBorders>
              <w:bottom w:val="single" w:sz="8" w:color="auto"/>
            </w:tcBorders>
          </w:tcPr>
          <w:p>
            <w:pPr>
              <w:spacing w:after="0"/>
              <w:rPr>
                <w:sz w:val="3"/>
                <w:szCs w:val="3"/>
                <w:color w:val="auto"/>
              </w:rPr>
            </w:pPr>
          </w:p>
        </w:tc>
        <w:tc>
          <w:tcPr>
            <w:tcW w:w="94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color w:val="auto"/>
        </w:rPr>
        <w:t>SECURITY NATIONAL FINANCIAL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BALANCE SHEETS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800" w:type="dxa"/>
            <w:vAlign w:val="bottom"/>
          </w:tcPr>
          <w:p>
            <w:pPr>
              <w:ind w:left="4600"/>
              <w:spacing w:after="0"/>
              <w:rPr>
                <w:sz w:val="20"/>
                <w:szCs w:val="20"/>
                <w:color w:val="auto"/>
              </w:rPr>
            </w:pPr>
            <w:r>
              <w:rPr>
                <w:rFonts w:ascii="Arial" w:cs="Arial" w:eastAsia="Arial" w:hAnsi="Arial"/>
                <w:sz w:val="17"/>
                <w:szCs w:val="17"/>
                <w:b w:val="1"/>
                <w:bCs w:val="1"/>
                <w:color w:val="auto"/>
              </w:rPr>
              <w:t>Part I - Financial Information</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5"/>
        </w:trPr>
        <w:tc>
          <w:tcPr>
            <w:tcW w:w="8800" w:type="dxa"/>
            <w:vAlign w:val="bottom"/>
          </w:tcPr>
          <w:p>
            <w:pPr>
              <w:spacing w:after="0"/>
              <w:rPr>
                <w:sz w:val="20"/>
                <w:szCs w:val="20"/>
                <w:color w:val="auto"/>
              </w:rPr>
            </w:pPr>
            <w:r>
              <w:rPr>
                <w:rFonts w:ascii="Arial" w:cs="Arial" w:eastAsia="Arial" w:hAnsi="Arial"/>
                <w:sz w:val="17"/>
                <w:szCs w:val="17"/>
                <w:b w:val="1"/>
                <w:bCs w:val="1"/>
                <w:color w:val="auto"/>
              </w:rPr>
              <w:t>Item 1.  Financial Statements.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7"/>
                <w:szCs w:val="17"/>
                <w:color w:val="auto"/>
                <w:w w:val="85"/>
              </w:rPr>
              <w:t>June 30</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800" w:type="dxa"/>
            <w:vAlign w:val="bottom"/>
            <w:vMerge w:val="restart"/>
          </w:tcPr>
          <w:p>
            <w:pPr>
              <w:spacing w:after="0"/>
              <w:rPr>
                <w:sz w:val="20"/>
                <w:szCs w:val="20"/>
                <w:color w:val="auto"/>
              </w:rPr>
            </w:pPr>
            <w:r>
              <w:rPr>
                <w:rFonts w:ascii="Arial" w:cs="Arial" w:eastAsia="Arial" w:hAnsi="Arial"/>
                <w:sz w:val="17"/>
                <w:szCs w:val="17"/>
                <w:b w:val="1"/>
                <w:bCs w:val="1"/>
                <w:color w:val="auto"/>
              </w:rPr>
              <w:t>Assets</w:t>
            </w:r>
          </w:p>
        </w:tc>
        <w:tc>
          <w:tcPr>
            <w:tcW w:w="120" w:type="dxa"/>
            <w:vAlign w:val="bottom"/>
          </w:tcPr>
          <w:p>
            <w:pPr>
              <w:spacing w:after="0"/>
              <w:rPr>
                <w:sz w:val="17"/>
                <w:szCs w:val="17"/>
                <w:color w:val="auto"/>
              </w:rPr>
            </w:pPr>
          </w:p>
        </w:tc>
        <w:tc>
          <w:tcPr>
            <w:tcW w:w="1040" w:type="dxa"/>
            <w:vAlign w:val="bottom"/>
          </w:tcPr>
          <w:p>
            <w:pPr>
              <w:jc w:val="center"/>
              <w:ind w:right="54"/>
              <w:spacing w:after="0"/>
              <w:rPr>
                <w:sz w:val="20"/>
                <w:szCs w:val="20"/>
                <w:color w:val="auto"/>
              </w:rPr>
            </w:pPr>
            <w:r>
              <w:rPr>
                <w:rFonts w:ascii="Arial" w:cs="Arial" w:eastAsia="Arial" w:hAnsi="Arial"/>
                <w:sz w:val="17"/>
                <w:szCs w:val="17"/>
                <w:color w:val="auto"/>
                <w:w w:val="89"/>
              </w:rPr>
              <w:t>2018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w w:val="90"/>
              </w:rPr>
              <w:t>December 31</w:t>
            </w:r>
          </w:p>
        </w:tc>
        <w:tc>
          <w:tcPr>
            <w:tcW w:w="0" w:type="dxa"/>
            <w:vAlign w:val="bottom"/>
          </w:tcPr>
          <w:p>
            <w:pPr>
              <w:spacing w:after="0"/>
              <w:rPr>
                <w:sz w:val="1"/>
                <w:szCs w:val="1"/>
                <w:color w:val="auto"/>
              </w:rPr>
            </w:pPr>
          </w:p>
        </w:tc>
      </w:tr>
      <w:tr>
        <w:trPr>
          <w:trHeight w:val="225"/>
        </w:trPr>
        <w:tc>
          <w:tcPr>
            <w:tcW w:w="8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7"/>
                <w:szCs w:val="17"/>
                <w:color w:val="auto"/>
                <w:w w:val="94"/>
              </w:rPr>
              <w:t>(Unaudited)</w:t>
            </w:r>
          </w:p>
        </w:tc>
        <w:tc>
          <w:tcPr>
            <w:tcW w:w="100" w:type="dxa"/>
            <w:vAlign w:val="bottom"/>
          </w:tcPr>
          <w:p>
            <w:pPr>
              <w:spacing w:after="0"/>
              <w:rPr>
                <w:sz w:val="19"/>
                <w:szCs w:val="19"/>
                <w:color w:val="auto"/>
              </w:rPr>
            </w:pPr>
          </w:p>
        </w:tc>
        <w:tc>
          <w:tcPr>
            <w:tcW w:w="1040" w:type="dxa"/>
            <w:vAlign w:val="bottom"/>
          </w:tcPr>
          <w:p>
            <w:pPr>
              <w:jc w:val="right"/>
              <w:ind w:right="314"/>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800" w:type="dxa"/>
            <w:vAlign w:val="bottom"/>
          </w:tcPr>
          <w:p>
            <w:pPr>
              <w:spacing w:after="0"/>
              <w:rPr>
                <w:sz w:val="20"/>
                <w:szCs w:val="20"/>
                <w:color w:val="auto"/>
              </w:rPr>
            </w:pPr>
            <w:r>
              <w:rPr>
                <w:rFonts w:ascii="Arial" w:cs="Arial" w:eastAsia="Arial" w:hAnsi="Arial"/>
                <w:sz w:val="17"/>
                <w:szCs w:val="17"/>
                <w:color w:val="auto"/>
              </w:rPr>
              <w:t>Investments:</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Fixed maturity securities, held to maturity, at amortized cost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218,409,812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228,397,623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800" w:type="dxa"/>
            <w:vAlign w:val="bottom"/>
          </w:tcPr>
          <w:p>
            <w:pPr>
              <w:ind w:left="200"/>
              <w:spacing w:after="0"/>
              <w:rPr>
                <w:sz w:val="20"/>
                <w:szCs w:val="20"/>
                <w:color w:val="auto"/>
              </w:rPr>
            </w:pPr>
            <w:r>
              <w:rPr>
                <w:rFonts w:ascii="Arial" w:cs="Arial" w:eastAsia="Arial" w:hAnsi="Arial"/>
                <w:sz w:val="17"/>
                <w:szCs w:val="17"/>
                <w:color w:val="auto"/>
              </w:rPr>
              <w:t>Equity securities at estimated fair value</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6,078,767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6,037,855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5"/>
              </w:rPr>
              <w:t>Mortgage loans held for investment (net of allowances for loan losses of $1,563,664 and $1,768,796 for 2018 and 2017)</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193,068,837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204,210,885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800" w:type="dxa"/>
            <w:vAlign w:val="bottom"/>
          </w:tcPr>
          <w:p>
            <w:pPr>
              <w:ind w:left="200"/>
              <w:spacing w:after="0"/>
              <w:rPr>
                <w:sz w:val="20"/>
                <w:szCs w:val="20"/>
                <w:color w:val="auto"/>
              </w:rPr>
            </w:pPr>
            <w:r>
              <w:rPr>
                <w:rFonts w:ascii="Arial" w:cs="Arial" w:eastAsia="Arial" w:hAnsi="Arial"/>
                <w:sz w:val="17"/>
                <w:szCs w:val="17"/>
                <w:color w:val="auto"/>
                <w:w w:val="96"/>
              </w:rPr>
              <w:t>Real estate held for investment (net of accumulated depreciation of $16,240,453 and $18,788,869 for 2018 and 2017)</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124,578,839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141,298,706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800" w:type="dxa"/>
            <w:vAlign w:val="bottom"/>
            <w:shd w:val="clear" w:color="auto" w:fill="CCEEFF"/>
          </w:tcPr>
          <w:p>
            <w:pPr>
              <w:ind w:left="200"/>
              <w:spacing w:after="0" w:line="194" w:lineRule="exact"/>
              <w:rPr>
                <w:sz w:val="20"/>
                <w:szCs w:val="20"/>
                <w:color w:val="auto"/>
              </w:rPr>
            </w:pPr>
            <w:r>
              <w:rPr>
                <w:rFonts w:ascii="Arial" w:cs="Arial" w:eastAsia="Arial" w:hAnsi="Arial"/>
                <w:sz w:val="17"/>
                <w:szCs w:val="17"/>
                <w:color w:val="auto"/>
                <w:w w:val="96"/>
              </w:rPr>
              <w:t>Other investments and policy loans (net of allowances for doubtful accounts of $1,011,924 and $846,641 for 2018 and</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44,793,898</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45,895,472</w:t>
            </w:r>
          </w:p>
        </w:tc>
        <w:tc>
          <w:tcPr>
            <w:tcW w:w="0" w:type="dxa"/>
            <w:vAlign w:val="bottom"/>
          </w:tcPr>
          <w:p>
            <w:pPr>
              <w:spacing w:after="0"/>
              <w:rPr>
                <w:sz w:val="1"/>
                <w:szCs w:val="1"/>
                <w:color w:val="auto"/>
              </w:rPr>
            </w:pPr>
          </w:p>
        </w:tc>
      </w:tr>
      <w:tr>
        <w:trPr>
          <w:trHeight w:val="213"/>
        </w:trPr>
        <w:tc>
          <w:tcPr>
            <w:tcW w:w="8800" w:type="dxa"/>
            <w:vAlign w:val="bottom"/>
          </w:tcPr>
          <w:p>
            <w:pPr>
              <w:ind w:left="200"/>
              <w:spacing w:after="0"/>
              <w:rPr>
                <w:sz w:val="20"/>
                <w:szCs w:val="20"/>
                <w:color w:val="auto"/>
              </w:rPr>
            </w:pPr>
            <w:r>
              <w:rPr>
                <w:rFonts w:ascii="Arial" w:cs="Arial" w:eastAsia="Arial" w:hAnsi="Arial"/>
                <w:sz w:val="17"/>
                <w:szCs w:val="17"/>
                <w:color w:val="auto"/>
              </w:rPr>
              <w:t>Accrued investment income</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3,968,447</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3,644,077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investments</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590,898,600</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629,484,618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80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118,705,581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45,315,661</w:t>
            </w: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Loans held for sale at estimated fair value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170,538,537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133,414,188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800" w:type="dxa"/>
            <w:vAlign w:val="bottom"/>
          </w:tcPr>
          <w:p>
            <w:pPr>
              <w:spacing w:after="0"/>
              <w:rPr>
                <w:sz w:val="20"/>
                <w:szCs w:val="20"/>
                <w:color w:val="auto"/>
              </w:rPr>
            </w:pPr>
            <w:r>
              <w:rPr>
                <w:rFonts w:ascii="Arial" w:cs="Arial" w:eastAsia="Arial" w:hAnsi="Arial"/>
                <w:sz w:val="17"/>
                <w:szCs w:val="17"/>
                <w:color w:val="auto"/>
              </w:rPr>
              <w:t>Receivables (net of allowances for doubtful accounts of $1,586,009 and $1,544,518 for 2018 and 2017)</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19,524,786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10,443,869</w:t>
            </w: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Restricted assets (including $809,002 and $809,958 for 2018 and 2017 at estimated fair value)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11,354,894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11,830,621</w:t>
            </w:r>
          </w:p>
        </w:tc>
        <w:tc>
          <w:tcPr>
            <w:tcW w:w="0" w:type="dxa"/>
            <w:vAlign w:val="bottom"/>
          </w:tcPr>
          <w:p>
            <w:pPr>
              <w:spacing w:after="0"/>
              <w:rPr>
                <w:sz w:val="1"/>
                <w:szCs w:val="1"/>
                <w:color w:val="auto"/>
              </w:rPr>
            </w:pPr>
          </w:p>
        </w:tc>
      </w:tr>
      <w:tr>
        <w:trPr>
          <w:trHeight w:val="207"/>
        </w:trPr>
        <w:tc>
          <w:tcPr>
            <w:tcW w:w="8800" w:type="dxa"/>
            <w:vAlign w:val="bottom"/>
          </w:tcPr>
          <w:p>
            <w:pPr>
              <w:spacing w:after="0"/>
              <w:rPr>
                <w:sz w:val="20"/>
                <w:szCs w:val="20"/>
                <w:color w:val="auto"/>
              </w:rPr>
            </w:pPr>
            <w:r>
              <w:rPr>
                <w:rFonts w:ascii="Arial" w:cs="Arial" w:eastAsia="Arial" w:hAnsi="Arial"/>
                <w:sz w:val="17"/>
                <w:szCs w:val="17"/>
                <w:color w:val="auto"/>
                <w:w w:val="97"/>
              </w:rPr>
              <w:t>Cemetery perpetual care trust investments (including $683,233 and $682,315 for 2018 and 2017 at estimated fair value)</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3,973,545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4,623,563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Receivable from reinsurers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13,256,173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13,394,603</w:t>
            </w:r>
          </w:p>
        </w:tc>
        <w:tc>
          <w:tcPr>
            <w:tcW w:w="0" w:type="dxa"/>
            <w:vAlign w:val="bottom"/>
          </w:tcPr>
          <w:p>
            <w:pPr>
              <w:spacing w:after="0"/>
              <w:rPr>
                <w:sz w:val="1"/>
                <w:szCs w:val="1"/>
                <w:color w:val="auto"/>
              </w:rPr>
            </w:pPr>
          </w:p>
        </w:tc>
      </w:tr>
      <w:tr>
        <w:trPr>
          <w:trHeight w:val="207"/>
        </w:trPr>
        <w:tc>
          <w:tcPr>
            <w:tcW w:w="8800" w:type="dxa"/>
            <w:vAlign w:val="bottom"/>
          </w:tcPr>
          <w:p>
            <w:pPr>
              <w:spacing w:after="0"/>
              <w:rPr>
                <w:sz w:val="20"/>
                <w:szCs w:val="20"/>
                <w:color w:val="auto"/>
              </w:rPr>
            </w:pPr>
            <w:r>
              <w:rPr>
                <w:rFonts w:ascii="Arial" w:cs="Arial" w:eastAsia="Arial" w:hAnsi="Arial"/>
                <w:sz w:val="17"/>
                <w:szCs w:val="17"/>
                <w:color w:val="auto"/>
              </w:rPr>
              <w:t>Cemetery land and improvements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9,906,590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9,942,933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Deferred policy and pre-need contract acquisition costs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85,701,658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80,625,304</w:t>
            </w:r>
          </w:p>
        </w:tc>
        <w:tc>
          <w:tcPr>
            <w:tcW w:w="0" w:type="dxa"/>
            <w:vAlign w:val="bottom"/>
          </w:tcPr>
          <w:p>
            <w:pPr>
              <w:spacing w:after="0"/>
              <w:rPr>
                <w:sz w:val="1"/>
                <w:szCs w:val="1"/>
                <w:color w:val="auto"/>
              </w:rPr>
            </w:pPr>
          </w:p>
        </w:tc>
      </w:tr>
      <w:tr>
        <w:trPr>
          <w:trHeight w:val="207"/>
        </w:trPr>
        <w:tc>
          <w:tcPr>
            <w:tcW w:w="8800" w:type="dxa"/>
            <w:vAlign w:val="bottom"/>
          </w:tcPr>
          <w:p>
            <w:pPr>
              <w:spacing w:after="0"/>
              <w:rPr>
                <w:sz w:val="20"/>
                <w:szCs w:val="20"/>
                <w:color w:val="auto"/>
              </w:rPr>
            </w:pPr>
            <w:r>
              <w:rPr>
                <w:rFonts w:ascii="Arial" w:cs="Arial" w:eastAsia="Arial" w:hAnsi="Arial"/>
                <w:sz w:val="17"/>
                <w:szCs w:val="17"/>
                <w:color w:val="auto"/>
              </w:rPr>
              <w:t>Mortgage servicing rights, net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21,117,937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21,376,937</w:t>
            </w: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7,307,352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8,069,380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800" w:type="dxa"/>
            <w:vAlign w:val="bottom"/>
          </w:tcPr>
          <w:p>
            <w:pPr>
              <w:spacing w:after="0"/>
              <w:rPr>
                <w:sz w:val="20"/>
                <w:szCs w:val="20"/>
                <w:color w:val="auto"/>
              </w:rPr>
            </w:pPr>
            <w:r>
              <w:rPr>
                <w:rFonts w:ascii="Arial" w:cs="Arial" w:eastAsia="Arial" w:hAnsi="Arial"/>
                <w:sz w:val="17"/>
                <w:szCs w:val="17"/>
                <w:color w:val="auto"/>
              </w:rPr>
              <w:t>Value of business acquired</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6,159,749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6,588,759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2,765,570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2,765,570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800" w:type="dxa"/>
            <w:vAlign w:val="bottom"/>
          </w:tcPr>
          <w:p>
            <w:pPr>
              <w:spacing w:after="0"/>
              <w:rPr>
                <w:sz w:val="20"/>
                <w:szCs w:val="20"/>
                <w:color w:val="auto"/>
              </w:rPr>
            </w:pPr>
            <w:r>
              <w:rPr>
                <w:rFonts w:ascii="Arial" w:cs="Arial" w:eastAsia="Arial" w:hAnsi="Arial"/>
                <w:sz w:val="17"/>
                <w:szCs w:val="17"/>
                <w:color w:val="auto"/>
              </w:rPr>
              <w:t>Other</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6,538,475</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4,297,048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800" w:type="dxa"/>
            <w:vAlign w:val="bottom"/>
          </w:tcPr>
          <w:p>
            <w:pPr>
              <w:spacing w:after="0"/>
              <w:rPr>
                <w:sz w:val="20"/>
                <w:szCs w:val="20"/>
                <w:color w:val="auto"/>
              </w:rPr>
            </w:pPr>
            <w:r>
              <w:rPr>
                <w:rFonts w:ascii="Arial" w:cs="Arial" w:eastAsia="Arial" w:hAnsi="Arial"/>
                <w:sz w:val="17"/>
                <w:szCs w:val="17"/>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1,067,749,447</w:t>
            </w:r>
          </w:p>
        </w:tc>
        <w:tc>
          <w:tcPr>
            <w:tcW w:w="2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982,173,054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 (unaudited).</w:t>
      </w:r>
    </w:p>
    <w:p>
      <w:pPr>
        <w:spacing w:after="0" w:line="173"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color w:val="auto"/>
        </w:rPr>
        <w:t>SECURITY NATIONAL FINANCIAL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BALANCE SHEETS (Continued)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7"/>
                <w:szCs w:val="17"/>
                <w:color w:val="auto"/>
                <w:w w:val="85"/>
              </w:rPr>
              <w:t>June 30</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8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54"/>
              <w:spacing w:after="0"/>
              <w:rPr>
                <w:sz w:val="20"/>
                <w:szCs w:val="20"/>
                <w:color w:val="auto"/>
              </w:rPr>
            </w:pPr>
            <w:r>
              <w:rPr>
                <w:rFonts w:ascii="Arial" w:cs="Arial" w:eastAsia="Arial" w:hAnsi="Arial"/>
                <w:sz w:val="17"/>
                <w:szCs w:val="17"/>
                <w:color w:val="auto"/>
                <w:w w:val="89"/>
              </w:rPr>
              <w:t>2018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w w:val="90"/>
              </w:rPr>
              <w:t>December 31</w:t>
            </w:r>
          </w:p>
        </w:tc>
      </w:tr>
      <w:tr>
        <w:trPr>
          <w:trHeight w:val="225"/>
        </w:trPr>
        <w:tc>
          <w:tcPr>
            <w:tcW w:w="8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7"/>
                <w:szCs w:val="17"/>
                <w:color w:val="auto"/>
                <w:w w:val="94"/>
              </w:rPr>
              <w:t>(Unaudited)</w:t>
            </w:r>
          </w:p>
        </w:tc>
        <w:tc>
          <w:tcPr>
            <w:tcW w:w="100" w:type="dxa"/>
            <w:vAlign w:val="bottom"/>
          </w:tcPr>
          <w:p>
            <w:pPr>
              <w:spacing w:after="0"/>
              <w:rPr>
                <w:sz w:val="19"/>
                <w:szCs w:val="19"/>
                <w:color w:val="auto"/>
              </w:rPr>
            </w:pPr>
          </w:p>
        </w:tc>
        <w:tc>
          <w:tcPr>
            <w:tcW w:w="1040" w:type="dxa"/>
            <w:vAlign w:val="bottom"/>
          </w:tcPr>
          <w:p>
            <w:pPr>
              <w:jc w:val="right"/>
              <w:ind w:right="314"/>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9"/>
                <w:szCs w:val="19"/>
                <w:color w:val="auto"/>
              </w:rPr>
            </w:pPr>
          </w:p>
        </w:tc>
      </w:tr>
      <w:tr>
        <w:trPr>
          <w:trHeight w:val="188"/>
        </w:trPr>
        <w:tc>
          <w:tcPr>
            <w:tcW w:w="8620" w:type="dxa"/>
            <w:vAlign w:val="bottom"/>
          </w:tcPr>
          <w:p>
            <w:pPr>
              <w:spacing w:after="0" w:line="189" w:lineRule="exact"/>
              <w:rPr>
                <w:sz w:val="20"/>
                <w:szCs w:val="20"/>
                <w:color w:val="auto"/>
              </w:rPr>
            </w:pPr>
            <w:r>
              <w:rPr>
                <w:rFonts w:ascii="Arial" w:cs="Arial" w:eastAsia="Arial" w:hAnsi="Arial"/>
                <w:sz w:val="17"/>
                <w:szCs w:val="17"/>
                <w:b w:val="1"/>
                <w:bCs w:val="1"/>
                <w:color w:val="auto"/>
              </w:rPr>
              <w:t>Liabilities and Stockholders' Equity</w:t>
            </w: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8620" w:type="dxa"/>
            <w:vAlign w:val="bottom"/>
          </w:tcPr>
          <w:p>
            <w:pPr>
              <w:spacing w:after="0"/>
              <w:rPr>
                <w:sz w:val="20"/>
                <w:szCs w:val="20"/>
                <w:color w:val="auto"/>
              </w:rPr>
            </w:pPr>
            <w:r>
              <w:rPr>
                <w:rFonts w:ascii="Arial" w:cs="Arial" w:eastAsia="Arial" w:hAnsi="Arial"/>
                <w:sz w:val="17"/>
                <w:szCs w:val="17"/>
                <w:b w:val="1"/>
                <w:bCs w:val="1"/>
                <w:color w:val="auto"/>
              </w:rPr>
              <w:t>Liabilities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Future policy benefits and unpaid claims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610,717,068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604,746,951</w:t>
            </w:r>
          </w:p>
        </w:tc>
        <w:tc>
          <w:tcPr>
            <w:tcW w:w="100" w:type="dxa"/>
            <w:vAlign w:val="bottom"/>
            <w:shd w:val="clear" w:color="auto" w:fill="CCEEFF"/>
          </w:tcPr>
          <w:p>
            <w:pPr>
              <w:spacing w:after="0"/>
              <w:rPr>
                <w:sz w:val="17"/>
                <w:szCs w:val="17"/>
                <w:color w:val="auto"/>
              </w:rPr>
            </w:pPr>
          </w:p>
        </w:tc>
      </w:tr>
      <w:tr>
        <w:trPr>
          <w:trHeight w:val="207"/>
        </w:trPr>
        <w:tc>
          <w:tcPr>
            <w:tcW w:w="8620" w:type="dxa"/>
            <w:vAlign w:val="bottom"/>
          </w:tcPr>
          <w:p>
            <w:pPr>
              <w:spacing w:after="0"/>
              <w:rPr>
                <w:sz w:val="20"/>
                <w:szCs w:val="20"/>
                <w:color w:val="auto"/>
              </w:rPr>
            </w:pPr>
            <w:r>
              <w:rPr>
                <w:rFonts w:ascii="Arial" w:cs="Arial" w:eastAsia="Arial" w:hAnsi="Arial"/>
                <w:sz w:val="17"/>
                <w:szCs w:val="17"/>
                <w:color w:val="auto"/>
              </w:rPr>
              <w:t>Unearned premium reserve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4,058,696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4,222,410</w:t>
            </w:r>
          </w:p>
        </w:tc>
        <w:tc>
          <w:tcPr>
            <w:tcW w:w="100" w:type="dxa"/>
            <w:vAlign w:val="bottom"/>
          </w:tcPr>
          <w:p>
            <w:pPr>
              <w:spacing w:after="0"/>
              <w:rPr>
                <w:sz w:val="17"/>
                <w:szCs w:val="17"/>
                <w:color w:val="auto"/>
              </w:rPr>
            </w:pPr>
          </w:p>
        </w:tc>
      </w:tr>
      <w:tr>
        <w:trPr>
          <w:trHeight w:val="207"/>
        </w:trPr>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Bank and other loans payable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208,777,621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157,450,925</w:t>
            </w:r>
          </w:p>
        </w:tc>
        <w:tc>
          <w:tcPr>
            <w:tcW w:w="100" w:type="dxa"/>
            <w:vAlign w:val="bottom"/>
            <w:shd w:val="clear" w:color="auto" w:fill="CCEEFF"/>
          </w:tcPr>
          <w:p>
            <w:pPr>
              <w:spacing w:after="0"/>
              <w:rPr>
                <w:sz w:val="17"/>
                <w:szCs w:val="17"/>
                <w:color w:val="auto"/>
              </w:rPr>
            </w:pPr>
          </w:p>
        </w:tc>
      </w:tr>
      <w:tr>
        <w:trPr>
          <w:trHeight w:val="207"/>
        </w:trPr>
        <w:tc>
          <w:tcPr>
            <w:tcW w:w="8620" w:type="dxa"/>
            <w:vAlign w:val="bottom"/>
          </w:tcPr>
          <w:p>
            <w:pPr>
              <w:spacing w:after="0"/>
              <w:rPr>
                <w:sz w:val="20"/>
                <w:szCs w:val="20"/>
                <w:color w:val="auto"/>
              </w:rPr>
            </w:pPr>
            <w:r>
              <w:rPr>
                <w:rFonts w:ascii="Arial" w:cs="Arial" w:eastAsia="Arial" w:hAnsi="Arial"/>
                <w:sz w:val="17"/>
                <w:szCs w:val="17"/>
                <w:color w:val="auto"/>
              </w:rPr>
              <w:t>Deferred pre-need cemetery and mortuary contract revenues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12,337,571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12,873,068</w:t>
            </w:r>
          </w:p>
        </w:tc>
      </w:tr>
      <w:tr>
        <w:trPr>
          <w:trHeight w:val="207"/>
        </w:trPr>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Cemetery perpetual care obligation</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3,761,500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3,710,740</w:t>
            </w:r>
          </w:p>
        </w:tc>
        <w:tc>
          <w:tcPr>
            <w:tcW w:w="100" w:type="dxa"/>
            <w:vAlign w:val="bottom"/>
            <w:shd w:val="clear" w:color="auto" w:fill="CCEEFF"/>
          </w:tcPr>
          <w:p>
            <w:pPr>
              <w:spacing w:after="0"/>
              <w:rPr>
                <w:sz w:val="17"/>
                <w:szCs w:val="17"/>
                <w:color w:val="auto"/>
              </w:rPr>
            </w:pPr>
          </w:p>
        </w:tc>
      </w:tr>
      <w:tr>
        <w:trPr>
          <w:trHeight w:val="207"/>
        </w:trPr>
        <w:tc>
          <w:tcPr>
            <w:tcW w:w="8620" w:type="dxa"/>
            <w:vAlign w:val="bottom"/>
          </w:tcPr>
          <w:p>
            <w:pPr>
              <w:spacing w:after="0"/>
              <w:rPr>
                <w:sz w:val="20"/>
                <w:szCs w:val="20"/>
                <w:color w:val="auto"/>
              </w:rPr>
            </w:pPr>
            <w:r>
              <w:rPr>
                <w:rFonts w:ascii="Arial" w:cs="Arial" w:eastAsia="Arial" w:hAnsi="Arial"/>
                <w:sz w:val="17"/>
                <w:szCs w:val="17"/>
                <w:color w:val="auto"/>
              </w:rPr>
              <w:t>Accounts payable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4,354,663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3,613,100</w:t>
            </w:r>
          </w:p>
        </w:tc>
        <w:tc>
          <w:tcPr>
            <w:tcW w:w="100" w:type="dxa"/>
            <w:vAlign w:val="bottom"/>
          </w:tcPr>
          <w:p>
            <w:pPr>
              <w:spacing w:after="0"/>
              <w:rPr>
                <w:sz w:val="17"/>
                <w:szCs w:val="17"/>
                <w:color w:val="auto"/>
              </w:rPr>
            </w:pPr>
          </w:p>
        </w:tc>
      </w:tr>
      <w:tr>
        <w:trPr>
          <w:trHeight w:val="207"/>
        </w:trPr>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 and accrued expenses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31,786,281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29,655,087</w:t>
            </w:r>
          </w:p>
        </w:tc>
      </w:tr>
      <w:tr>
        <w:trPr>
          <w:trHeight w:val="213"/>
        </w:trPr>
        <w:tc>
          <w:tcPr>
            <w:tcW w:w="8620" w:type="dxa"/>
            <w:vAlign w:val="bottom"/>
          </w:tcPr>
          <w:p>
            <w:pPr>
              <w:spacing w:after="0"/>
              <w:rPr>
                <w:sz w:val="20"/>
                <w:szCs w:val="20"/>
                <w:color w:val="auto"/>
              </w:rPr>
            </w:pPr>
            <w:r>
              <w:rPr>
                <w:rFonts w:ascii="Arial" w:cs="Arial" w:eastAsia="Arial" w:hAnsi="Arial"/>
                <w:sz w:val="17"/>
                <w:szCs w:val="17"/>
                <w:color w:val="auto"/>
              </w:rPr>
              <w:t>Income taxes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22,370,243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17,332,783</w:t>
            </w:r>
          </w:p>
        </w:tc>
      </w:tr>
      <w:tr>
        <w:trPr>
          <w:trHeight w:val="213"/>
        </w:trPr>
        <w:tc>
          <w:tcPr>
            <w:tcW w:w="8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898,163,643</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833,605,064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8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Stockholders' Equity</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7"/>
        </w:trPr>
        <w:tc>
          <w:tcPr>
            <w:tcW w:w="8620" w:type="dxa"/>
            <w:vAlign w:val="bottom"/>
          </w:tcPr>
          <w:p>
            <w:pPr>
              <w:spacing w:after="0"/>
              <w:rPr>
                <w:sz w:val="20"/>
                <w:szCs w:val="20"/>
                <w:color w:val="auto"/>
              </w:rPr>
            </w:pPr>
            <w:r>
              <w:rPr>
                <w:rFonts w:ascii="Arial" w:cs="Arial" w:eastAsia="Arial" w:hAnsi="Arial"/>
                <w:sz w:val="17"/>
                <w:szCs w:val="17"/>
                <w:color w:val="auto"/>
              </w:rPr>
              <w:t>Preferred Stock - non-voting - $1.00 par value; 5,000,000 shares authorized; none issued or outstanding</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194"/>
        </w:trPr>
        <w:tc>
          <w:tcPr>
            <w:tcW w:w="86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2"/>
              </w:rPr>
              <w:t>Class A: common stock - $2.00 par value; 20,000,000 shares authorized; issued 14,569,509 shares in 2018 and 14,535,577</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9"/>
        </w:trPr>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shares in 2017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29,139,018</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29,071,154</w:t>
            </w:r>
          </w:p>
        </w:tc>
      </w:tr>
      <w:tr>
        <w:trPr>
          <w:trHeight w:val="207"/>
        </w:trPr>
        <w:tc>
          <w:tcPr>
            <w:tcW w:w="8620" w:type="dxa"/>
            <w:vAlign w:val="bottom"/>
          </w:tcPr>
          <w:p>
            <w:pPr>
              <w:spacing w:after="0"/>
              <w:rPr>
                <w:sz w:val="20"/>
                <w:szCs w:val="20"/>
                <w:color w:val="auto"/>
              </w:rPr>
            </w:pPr>
            <w:r>
              <w:rPr>
                <w:rFonts w:ascii="Arial" w:cs="Arial" w:eastAsia="Arial" w:hAnsi="Arial"/>
                <w:sz w:val="17"/>
                <w:szCs w:val="17"/>
                <w:color w:val="auto"/>
              </w:rPr>
              <w:t>Class B: non-voting common stock - $1.00 par value; 5,000,000 shares authorized; none issued or outstanding</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194"/>
        </w:trPr>
        <w:tc>
          <w:tcPr>
            <w:tcW w:w="86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4"/>
              </w:rPr>
              <w:t>Class C: convertible common stock - $2.00 par value; 3,000,000 shares authorized; issued 2,089,184 shares in 2018 and</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9"/>
        </w:trPr>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2,089,374 shares in 2017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4,178,368</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4,178,748</w:t>
            </w:r>
          </w:p>
        </w:tc>
        <w:tc>
          <w:tcPr>
            <w:tcW w:w="100" w:type="dxa"/>
            <w:vAlign w:val="bottom"/>
            <w:shd w:val="clear" w:color="auto" w:fill="CCEEFF"/>
          </w:tcPr>
          <w:p>
            <w:pPr>
              <w:spacing w:after="0"/>
              <w:rPr>
                <w:sz w:val="19"/>
                <w:szCs w:val="19"/>
                <w:color w:val="auto"/>
              </w:rPr>
            </w:pPr>
          </w:p>
        </w:tc>
      </w:tr>
      <w:tr>
        <w:trPr>
          <w:trHeight w:val="207"/>
        </w:trPr>
        <w:tc>
          <w:tcPr>
            <w:tcW w:w="8620" w:type="dxa"/>
            <w:vAlign w:val="bottom"/>
          </w:tcPr>
          <w:p>
            <w:pPr>
              <w:spacing w:after="0"/>
              <w:rPr>
                <w:sz w:val="20"/>
                <w:szCs w:val="20"/>
                <w:color w:val="auto"/>
              </w:rPr>
            </w:pPr>
            <w:r>
              <w:rPr>
                <w:rFonts w:ascii="Arial" w:cs="Arial" w:eastAsia="Arial" w:hAnsi="Arial"/>
                <w:sz w:val="17"/>
                <w:szCs w:val="17"/>
                <w:color w:val="auto"/>
              </w:rPr>
              <w:t>Additional paid-in capital</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38,476,728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38,125,042</w:t>
            </w:r>
          </w:p>
        </w:tc>
      </w:tr>
      <w:tr>
        <w:trPr>
          <w:trHeight w:val="207"/>
        </w:trPr>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Accumulated other comprehensive income, net of taxes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(1,448)</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603,170</w:t>
            </w:r>
          </w:p>
        </w:tc>
      </w:tr>
      <w:tr>
        <w:trPr>
          <w:trHeight w:val="207"/>
        </w:trPr>
        <w:tc>
          <w:tcPr>
            <w:tcW w:w="8620" w:type="dxa"/>
            <w:vAlign w:val="bottom"/>
          </w:tcPr>
          <w:p>
            <w:pPr>
              <w:spacing w:after="0"/>
              <w:rPr>
                <w:sz w:val="20"/>
                <w:szCs w:val="20"/>
                <w:color w:val="auto"/>
              </w:rPr>
            </w:pPr>
            <w:r>
              <w:rPr>
                <w:rFonts w:ascii="Arial" w:cs="Arial" w:eastAsia="Arial" w:hAnsi="Arial"/>
                <w:sz w:val="17"/>
                <w:szCs w:val="17"/>
                <w:color w:val="auto"/>
              </w:rPr>
              <w:t>Retained earnings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98,279,383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77,520,951</w:t>
            </w:r>
          </w:p>
        </w:tc>
      </w:tr>
      <w:tr>
        <w:trPr>
          <w:trHeight w:val="207"/>
        </w:trPr>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Treasury stock at cost - 397,022 Class A shares in 2018 and 537,203 Class A shares in 2017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(486,245)</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(931,075)</w:t>
            </w:r>
          </w:p>
        </w:tc>
      </w:tr>
      <w:tr>
        <w:trPr>
          <w:trHeight w:val="207"/>
        </w:trPr>
        <w:tc>
          <w:tcPr>
            <w:tcW w:w="8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8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stockholders'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169,585,804</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148,567,990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620" w:type="dxa"/>
            <w:vAlign w:val="bottom"/>
          </w:tcPr>
          <w:p>
            <w:pPr>
              <w:spacing w:after="0"/>
              <w:rPr>
                <w:sz w:val="17"/>
                <w:szCs w:val="17"/>
                <w:color w:val="auto"/>
              </w:rPr>
            </w:pPr>
          </w:p>
        </w:tc>
        <w:tc>
          <w:tcPr>
            <w:tcW w:w="300" w:type="dxa"/>
            <w:vAlign w:val="bottom"/>
            <w:gridSpan w:val="2"/>
          </w:tcPr>
          <w:p>
            <w:pPr>
              <w:spacing w:after="0"/>
              <w:rPr>
                <w:sz w:val="17"/>
                <w:szCs w:val="17"/>
                <w:color w:val="auto"/>
              </w:rPr>
            </w:pPr>
          </w:p>
        </w:tc>
        <w:tc>
          <w:tcPr>
            <w:tcW w:w="12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7"/>
        </w:trPr>
        <w:tc>
          <w:tcPr>
            <w:tcW w:w="8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1,067,749,447</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982,173,054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 (unaudited).</w:t>
      </w:r>
    </w:p>
    <w:p>
      <w:pPr>
        <w:spacing w:after="0" w:line="173"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color w:val="auto"/>
        </w:rPr>
        <w:t>SECURITY NATIONAL FINANCIAL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STATEMENTS OF EARNINGS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80" w:type="dxa"/>
            <w:vAlign w:val="bottom"/>
            <w:gridSpan w:val="6"/>
          </w:tcPr>
          <w:p>
            <w:pPr>
              <w:jc w:val="right"/>
              <w:ind w:right="480"/>
              <w:spacing w:after="0"/>
              <w:rPr>
                <w:sz w:val="20"/>
                <w:szCs w:val="20"/>
                <w:color w:val="auto"/>
              </w:rPr>
            </w:pPr>
            <w:r>
              <w:rPr>
                <w:rFonts w:ascii="Arial" w:cs="Arial" w:eastAsia="Arial" w:hAnsi="Arial"/>
                <w:sz w:val="17"/>
                <w:szCs w:val="17"/>
                <w:color w:val="auto"/>
                <w:w w:val="92"/>
              </w:rPr>
              <w:t>Three Months Ended June 30</w:t>
            </w:r>
          </w:p>
        </w:tc>
        <w:tc>
          <w:tcPr>
            <w:tcW w:w="200" w:type="dxa"/>
            <w:vAlign w:val="bottom"/>
          </w:tcPr>
          <w:p>
            <w:pPr>
              <w:spacing w:after="0"/>
              <w:rPr>
                <w:sz w:val="19"/>
                <w:szCs w:val="19"/>
                <w:color w:val="auto"/>
              </w:rPr>
            </w:pPr>
          </w:p>
        </w:tc>
        <w:tc>
          <w:tcPr>
            <w:tcW w:w="2400" w:type="dxa"/>
            <w:vAlign w:val="bottom"/>
            <w:gridSpan w:val="6"/>
          </w:tcPr>
          <w:p>
            <w:pPr>
              <w:jc w:val="right"/>
              <w:ind w:right="420"/>
              <w:spacing w:after="0"/>
              <w:rPr>
                <w:sz w:val="20"/>
                <w:szCs w:val="20"/>
                <w:color w:val="auto"/>
              </w:rPr>
            </w:pPr>
            <w:r>
              <w:rPr>
                <w:rFonts w:ascii="Arial" w:cs="Arial" w:eastAsia="Arial" w:hAnsi="Arial"/>
                <w:sz w:val="17"/>
                <w:szCs w:val="17"/>
                <w:color w:val="auto"/>
                <w:w w:val="96"/>
              </w:rPr>
              <w:t>Six Months Ended June 30</w:t>
            </w:r>
          </w:p>
        </w:tc>
      </w:tr>
      <w:tr>
        <w:trPr>
          <w:trHeight w:val="213"/>
        </w:trPr>
        <w:tc>
          <w:tcPr>
            <w:tcW w:w="60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color w:val="auto"/>
              </w:rPr>
              <w:t>2017</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8"/>
                <w:szCs w:val="18"/>
                <w:color w:val="auto"/>
              </w:rPr>
            </w:pPr>
          </w:p>
        </w:tc>
      </w:tr>
      <w:tr>
        <w:trPr>
          <w:trHeight w:val="207"/>
        </w:trPr>
        <w:tc>
          <w:tcPr>
            <w:tcW w:w="6060" w:type="dxa"/>
            <w:vAlign w:val="bottom"/>
          </w:tcPr>
          <w:p>
            <w:pPr>
              <w:spacing w:after="0"/>
              <w:rPr>
                <w:sz w:val="20"/>
                <w:szCs w:val="20"/>
                <w:color w:val="auto"/>
              </w:rPr>
            </w:pPr>
            <w:r>
              <w:rPr>
                <w:rFonts w:ascii="Arial" w:cs="Arial" w:eastAsia="Arial" w:hAnsi="Arial"/>
                <w:sz w:val="17"/>
                <w:szCs w:val="17"/>
                <w:b w:val="1"/>
                <w:bCs w:val="1"/>
                <w:color w:val="auto"/>
              </w:rPr>
              <w:t>Revenues: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Insurance premiums and other considerations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19,190,831</w:t>
            </w:r>
          </w:p>
        </w:tc>
        <w:tc>
          <w:tcPr>
            <w:tcW w:w="1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17,498,500</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38,001,189</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34,855,624</w:t>
            </w:r>
          </w:p>
        </w:tc>
      </w:tr>
      <w:tr>
        <w:trPr>
          <w:trHeight w:val="207"/>
        </w:trPr>
        <w:tc>
          <w:tcPr>
            <w:tcW w:w="6060" w:type="dxa"/>
            <w:vAlign w:val="bottom"/>
          </w:tcPr>
          <w:p>
            <w:pPr>
              <w:spacing w:after="0"/>
              <w:rPr>
                <w:sz w:val="20"/>
                <w:szCs w:val="20"/>
                <w:color w:val="auto"/>
              </w:rPr>
            </w:pPr>
            <w:r>
              <w:rPr>
                <w:rFonts w:ascii="Arial" w:cs="Arial" w:eastAsia="Arial" w:hAnsi="Arial"/>
                <w:sz w:val="17"/>
                <w:szCs w:val="17"/>
                <w:color w:val="auto"/>
              </w:rPr>
              <w:t>Net investment income</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9,741,965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8,322,307</w:t>
            </w: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19,816,396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17,338,683</w:t>
            </w:r>
          </w:p>
        </w:tc>
      </w:tr>
      <w:tr>
        <w:trPr>
          <w:trHeight w:val="207"/>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Net mortuary and cemetery sales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3,551,109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3,280,375</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6,783,838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6,639,348</w:t>
            </w:r>
          </w:p>
        </w:tc>
        <w:tc>
          <w:tcPr>
            <w:tcW w:w="100" w:type="dxa"/>
            <w:vAlign w:val="bottom"/>
            <w:shd w:val="clear" w:color="auto" w:fill="CCEEFF"/>
          </w:tcPr>
          <w:p>
            <w:pPr>
              <w:spacing w:after="0"/>
              <w:rPr>
                <w:sz w:val="17"/>
                <w:szCs w:val="17"/>
                <w:color w:val="auto"/>
              </w:rPr>
            </w:pPr>
          </w:p>
        </w:tc>
      </w:tr>
      <w:tr>
        <w:trPr>
          <w:trHeight w:val="207"/>
        </w:trPr>
        <w:tc>
          <w:tcPr>
            <w:tcW w:w="6060" w:type="dxa"/>
            <w:vAlign w:val="bottom"/>
          </w:tcPr>
          <w:p>
            <w:pPr>
              <w:spacing w:after="0"/>
              <w:rPr>
                <w:sz w:val="20"/>
                <w:szCs w:val="20"/>
                <w:color w:val="auto"/>
              </w:rPr>
            </w:pPr>
            <w:r>
              <w:rPr>
                <w:rFonts w:ascii="Arial" w:cs="Arial" w:eastAsia="Arial" w:hAnsi="Arial"/>
                <w:sz w:val="17"/>
                <w:szCs w:val="17"/>
                <w:color w:val="auto"/>
              </w:rPr>
              <w:t>Gains on investments and other assets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2,328,229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887,402</w:t>
            </w: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24,349,168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1,032,732</w:t>
            </w:r>
          </w:p>
        </w:tc>
        <w:tc>
          <w:tcPr>
            <w:tcW w:w="100" w:type="dxa"/>
            <w:vAlign w:val="bottom"/>
          </w:tcPr>
          <w:p>
            <w:pPr>
              <w:spacing w:after="0"/>
              <w:rPr>
                <w:sz w:val="17"/>
                <w:szCs w:val="17"/>
                <w:color w:val="auto"/>
              </w:rPr>
            </w:pPr>
          </w:p>
        </w:tc>
      </w:tr>
      <w:tr>
        <w:trPr>
          <w:trHeight w:val="207"/>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Other than temporary impairments on investments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(266,227)</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(318,366)</w:t>
            </w:r>
          </w:p>
        </w:tc>
      </w:tr>
      <w:tr>
        <w:trPr>
          <w:trHeight w:val="207"/>
        </w:trPr>
        <w:tc>
          <w:tcPr>
            <w:tcW w:w="6060" w:type="dxa"/>
            <w:vAlign w:val="bottom"/>
          </w:tcPr>
          <w:p>
            <w:pPr>
              <w:spacing w:after="0"/>
              <w:rPr>
                <w:sz w:val="20"/>
                <w:szCs w:val="20"/>
                <w:color w:val="auto"/>
              </w:rPr>
            </w:pPr>
            <w:r>
              <w:rPr>
                <w:rFonts w:ascii="Arial" w:cs="Arial" w:eastAsia="Arial" w:hAnsi="Arial"/>
                <w:sz w:val="17"/>
                <w:szCs w:val="17"/>
                <w:color w:val="auto"/>
              </w:rPr>
              <w:t>Mortgage fee income</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31,709,080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41,514,401</w:t>
            </w: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57,169,240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80,489,161</w:t>
            </w:r>
          </w:p>
        </w:tc>
      </w:tr>
      <w:tr>
        <w:trPr>
          <w:trHeight w:val="213"/>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2,343,912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2,075,836</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4,821,404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4,104,709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3"/>
        </w:trPr>
        <w:tc>
          <w:tcPr>
            <w:tcW w:w="6060" w:type="dxa"/>
            <w:vAlign w:val="bottom"/>
          </w:tcPr>
          <w:p>
            <w:pPr>
              <w:spacing w:after="0"/>
              <w:rPr>
                <w:sz w:val="20"/>
                <w:szCs w:val="20"/>
                <w:color w:val="auto"/>
              </w:rPr>
            </w:pPr>
            <w:r>
              <w:rPr>
                <w:rFonts w:ascii="Arial" w:cs="Arial" w:eastAsia="Arial" w:hAnsi="Arial"/>
                <w:sz w:val="17"/>
                <w:szCs w:val="17"/>
                <w:color w:val="auto"/>
              </w:rPr>
              <w:t>Total revenues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68,865,126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73,312,594</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150,941,235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w w:val="97"/>
              </w:rPr>
              <w:t>144,141,891</w:t>
            </w:r>
          </w:p>
        </w:tc>
        <w:tc>
          <w:tcPr>
            <w:tcW w:w="100" w:type="dxa"/>
            <w:vAlign w:val="bottom"/>
          </w:tcPr>
          <w:p>
            <w:pPr>
              <w:spacing w:after="0"/>
              <w:rPr>
                <w:sz w:val="18"/>
                <w:szCs w:val="18"/>
                <w:color w:val="auto"/>
              </w:rPr>
            </w:pPr>
          </w:p>
        </w:tc>
      </w:tr>
      <w:tr>
        <w:trPr>
          <w:trHeight w:val="207"/>
        </w:trPr>
        <w:tc>
          <w:tcPr>
            <w:tcW w:w="60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7"/>
        </w:trPr>
        <w:tc>
          <w:tcPr>
            <w:tcW w:w="6060" w:type="dxa"/>
            <w:vAlign w:val="bottom"/>
          </w:tcPr>
          <w:p>
            <w:pPr>
              <w:spacing w:after="0"/>
              <w:rPr>
                <w:sz w:val="20"/>
                <w:szCs w:val="20"/>
                <w:color w:val="auto"/>
              </w:rPr>
            </w:pPr>
            <w:r>
              <w:rPr>
                <w:rFonts w:ascii="Arial" w:cs="Arial" w:eastAsia="Arial" w:hAnsi="Arial"/>
                <w:sz w:val="17"/>
                <w:szCs w:val="17"/>
                <w:b w:val="1"/>
                <w:bCs w:val="1"/>
                <w:color w:val="auto"/>
              </w:rPr>
              <w:t>Benefits and expenses: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Death benefits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9,355,157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8,547,019</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18,963,255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17,341,617</w:t>
            </w:r>
          </w:p>
        </w:tc>
      </w:tr>
      <w:tr>
        <w:trPr>
          <w:trHeight w:val="207"/>
        </w:trPr>
        <w:tc>
          <w:tcPr>
            <w:tcW w:w="6060" w:type="dxa"/>
            <w:vAlign w:val="bottom"/>
          </w:tcPr>
          <w:p>
            <w:pPr>
              <w:spacing w:after="0"/>
              <w:rPr>
                <w:sz w:val="20"/>
                <w:szCs w:val="20"/>
                <w:color w:val="auto"/>
              </w:rPr>
            </w:pPr>
            <w:r>
              <w:rPr>
                <w:rFonts w:ascii="Arial" w:cs="Arial" w:eastAsia="Arial" w:hAnsi="Arial"/>
                <w:sz w:val="17"/>
                <w:szCs w:val="17"/>
                <w:color w:val="auto"/>
              </w:rPr>
              <w:t>Surrenders and other policy benefits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695,906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680,117</w:t>
            </w: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1,506,034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1,537,648</w:t>
            </w:r>
          </w:p>
        </w:tc>
        <w:tc>
          <w:tcPr>
            <w:tcW w:w="100" w:type="dxa"/>
            <w:vAlign w:val="bottom"/>
          </w:tcPr>
          <w:p>
            <w:pPr>
              <w:spacing w:after="0"/>
              <w:rPr>
                <w:sz w:val="17"/>
                <w:szCs w:val="17"/>
                <w:color w:val="auto"/>
              </w:rPr>
            </w:pPr>
          </w:p>
        </w:tc>
      </w:tr>
      <w:tr>
        <w:trPr>
          <w:trHeight w:val="207"/>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Increase in future policy benefits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6,149,027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5,366,096</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11,733,963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10,934,138</w:t>
            </w:r>
          </w:p>
        </w:tc>
      </w:tr>
      <w:tr>
        <w:trPr>
          <w:trHeight w:val="194"/>
        </w:trPr>
        <w:tc>
          <w:tcPr>
            <w:tcW w:w="6060" w:type="dxa"/>
            <w:vAlign w:val="bottom"/>
          </w:tcPr>
          <w:p>
            <w:pPr>
              <w:spacing w:after="0" w:line="194" w:lineRule="exact"/>
              <w:rPr>
                <w:sz w:val="20"/>
                <w:szCs w:val="20"/>
                <w:color w:val="auto"/>
              </w:rPr>
            </w:pPr>
            <w:r>
              <w:rPr>
                <w:rFonts w:ascii="Arial" w:cs="Arial" w:eastAsia="Arial" w:hAnsi="Arial"/>
                <w:sz w:val="17"/>
                <w:szCs w:val="17"/>
                <w:color w:val="auto"/>
                <w:w w:val="95"/>
              </w:rPr>
              <w:t>Amortization of deferred policy and pre-need acquisition costs and value of business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9"/>
        </w:trPr>
        <w:tc>
          <w:tcPr>
            <w:tcW w:w="6060" w:type="dxa"/>
            <w:vAlign w:val="bottom"/>
          </w:tcPr>
          <w:p>
            <w:pPr>
              <w:spacing w:after="0"/>
              <w:rPr>
                <w:sz w:val="20"/>
                <w:szCs w:val="20"/>
                <w:color w:val="auto"/>
              </w:rPr>
            </w:pPr>
            <w:r>
              <w:rPr>
                <w:rFonts w:ascii="Arial" w:cs="Arial" w:eastAsia="Arial" w:hAnsi="Arial"/>
                <w:sz w:val="17"/>
                <w:szCs w:val="17"/>
                <w:color w:val="auto"/>
              </w:rPr>
              <w:t>acquired</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2,110,782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1,768,769</w:t>
            </w:r>
          </w:p>
        </w:tc>
        <w:tc>
          <w:tcPr>
            <w:tcW w:w="2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5,220,715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4,032,808</w:t>
            </w:r>
          </w:p>
        </w:tc>
        <w:tc>
          <w:tcPr>
            <w:tcW w:w="100" w:type="dxa"/>
            <w:vAlign w:val="bottom"/>
          </w:tcPr>
          <w:p>
            <w:pPr>
              <w:spacing w:after="0"/>
              <w:rPr>
                <w:sz w:val="19"/>
                <w:szCs w:val="19"/>
                <w:color w:val="auto"/>
              </w:rPr>
            </w:pPr>
          </w:p>
        </w:tc>
      </w:tr>
      <w:tr>
        <w:trPr>
          <w:trHeight w:val="207"/>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 expenses: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7"/>
        </w:trPr>
        <w:tc>
          <w:tcPr>
            <w:tcW w:w="6060" w:type="dxa"/>
            <w:vAlign w:val="bottom"/>
          </w:tcPr>
          <w:p>
            <w:pPr>
              <w:ind w:left="200"/>
              <w:spacing w:after="0"/>
              <w:rPr>
                <w:sz w:val="20"/>
                <w:szCs w:val="20"/>
                <w:color w:val="auto"/>
              </w:rPr>
            </w:pPr>
            <w:r>
              <w:rPr>
                <w:rFonts w:ascii="Arial" w:cs="Arial" w:eastAsia="Arial" w:hAnsi="Arial"/>
                <w:sz w:val="17"/>
                <w:szCs w:val="17"/>
                <w:color w:val="auto"/>
              </w:rPr>
              <w:t>Commissions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14,459,722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18,522,758</w:t>
            </w: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25,742,123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34,877,806</w:t>
            </w:r>
          </w:p>
        </w:tc>
      </w:tr>
      <w:tr>
        <w:trPr>
          <w:trHeight w:val="207"/>
        </w:trPr>
        <w:tc>
          <w:tcPr>
            <w:tcW w:w="6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Personnel</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16,905,714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18,105,954</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33,472,402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36,695,641</w:t>
            </w:r>
          </w:p>
        </w:tc>
      </w:tr>
      <w:tr>
        <w:trPr>
          <w:trHeight w:val="207"/>
        </w:trPr>
        <w:tc>
          <w:tcPr>
            <w:tcW w:w="6060" w:type="dxa"/>
            <w:vAlign w:val="bottom"/>
          </w:tcPr>
          <w:p>
            <w:pPr>
              <w:ind w:left="200"/>
              <w:spacing w:after="0"/>
              <w:rPr>
                <w:sz w:val="20"/>
                <w:szCs w:val="20"/>
                <w:color w:val="auto"/>
              </w:rPr>
            </w:pPr>
            <w:r>
              <w:rPr>
                <w:rFonts w:ascii="Arial" w:cs="Arial" w:eastAsia="Arial" w:hAnsi="Arial"/>
                <w:sz w:val="17"/>
                <w:szCs w:val="17"/>
                <w:color w:val="auto"/>
              </w:rPr>
              <w:t>Advertising</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1,194,086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1,485,604</w:t>
            </w: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2,223,677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2,796,278</w:t>
            </w:r>
          </w:p>
        </w:tc>
        <w:tc>
          <w:tcPr>
            <w:tcW w:w="100" w:type="dxa"/>
            <w:vAlign w:val="bottom"/>
          </w:tcPr>
          <w:p>
            <w:pPr>
              <w:spacing w:after="0"/>
              <w:rPr>
                <w:sz w:val="17"/>
                <w:szCs w:val="17"/>
                <w:color w:val="auto"/>
              </w:rPr>
            </w:pPr>
          </w:p>
        </w:tc>
      </w:tr>
      <w:tr>
        <w:trPr>
          <w:trHeight w:val="207"/>
        </w:trPr>
        <w:tc>
          <w:tcPr>
            <w:tcW w:w="6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Rent and rent related</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1,929,133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2,212,037</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3,892,483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4,436,033</w:t>
            </w:r>
          </w:p>
        </w:tc>
        <w:tc>
          <w:tcPr>
            <w:tcW w:w="100" w:type="dxa"/>
            <w:vAlign w:val="bottom"/>
            <w:shd w:val="clear" w:color="auto" w:fill="CCEEFF"/>
          </w:tcPr>
          <w:p>
            <w:pPr>
              <w:spacing w:after="0"/>
              <w:rPr>
                <w:sz w:val="17"/>
                <w:szCs w:val="17"/>
                <w:color w:val="auto"/>
              </w:rPr>
            </w:pPr>
          </w:p>
        </w:tc>
      </w:tr>
      <w:tr>
        <w:trPr>
          <w:trHeight w:val="207"/>
        </w:trPr>
        <w:tc>
          <w:tcPr>
            <w:tcW w:w="6060" w:type="dxa"/>
            <w:vAlign w:val="bottom"/>
          </w:tcPr>
          <w:p>
            <w:pPr>
              <w:ind w:left="200"/>
              <w:spacing w:after="0"/>
              <w:rPr>
                <w:sz w:val="20"/>
                <w:szCs w:val="20"/>
                <w:color w:val="auto"/>
              </w:rPr>
            </w:pPr>
            <w:r>
              <w:rPr>
                <w:rFonts w:ascii="Arial" w:cs="Arial" w:eastAsia="Arial" w:hAnsi="Arial"/>
                <w:sz w:val="17"/>
                <w:szCs w:val="17"/>
                <w:color w:val="auto"/>
              </w:rPr>
              <w:t>Depreciation on property and equipment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491,626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581,026</w:t>
            </w: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968,657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1,206,838</w:t>
            </w:r>
          </w:p>
        </w:tc>
        <w:tc>
          <w:tcPr>
            <w:tcW w:w="100" w:type="dxa"/>
            <w:vAlign w:val="bottom"/>
          </w:tcPr>
          <w:p>
            <w:pPr>
              <w:spacing w:after="0"/>
              <w:rPr>
                <w:sz w:val="17"/>
                <w:szCs w:val="17"/>
                <w:color w:val="auto"/>
              </w:rPr>
            </w:pPr>
          </w:p>
        </w:tc>
      </w:tr>
      <w:tr>
        <w:trPr>
          <w:trHeight w:val="207"/>
        </w:trPr>
        <w:tc>
          <w:tcPr>
            <w:tcW w:w="6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Costs related to funding mortgage loans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2,045,659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2,286,107</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3,414,940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4,505,756</w:t>
            </w:r>
          </w:p>
        </w:tc>
        <w:tc>
          <w:tcPr>
            <w:tcW w:w="100" w:type="dxa"/>
            <w:vAlign w:val="bottom"/>
            <w:shd w:val="clear" w:color="auto" w:fill="CCEEFF"/>
          </w:tcPr>
          <w:p>
            <w:pPr>
              <w:spacing w:after="0"/>
              <w:rPr>
                <w:sz w:val="17"/>
                <w:szCs w:val="17"/>
                <w:color w:val="auto"/>
              </w:rPr>
            </w:pPr>
          </w:p>
        </w:tc>
      </w:tr>
      <w:tr>
        <w:trPr>
          <w:trHeight w:val="207"/>
        </w:trPr>
        <w:tc>
          <w:tcPr>
            <w:tcW w:w="6060" w:type="dxa"/>
            <w:vAlign w:val="bottom"/>
          </w:tcPr>
          <w:p>
            <w:pPr>
              <w:ind w:left="200"/>
              <w:spacing w:after="0"/>
              <w:rPr>
                <w:sz w:val="20"/>
                <w:szCs w:val="20"/>
                <w:color w:val="auto"/>
              </w:rPr>
            </w:pPr>
            <w:r>
              <w:rPr>
                <w:rFonts w:ascii="Arial" w:cs="Arial" w:eastAsia="Arial" w:hAnsi="Arial"/>
                <w:sz w:val="17"/>
                <w:szCs w:val="17"/>
                <w:color w:val="auto"/>
              </w:rPr>
              <w:t>Other</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7,135,844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7,845,307</w:t>
            </w: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13,946,168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15,191,800</w:t>
            </w:r>
          </w:p>
        </w:tc>
      </w:tr>
      <w:tr>
        <w:trPr>
          <w:trHeight w:val="207"/>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1,679,841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1,385,354</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3,441,518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2,639,393</w:t>
            </w:r>
          </w:p>
        </w:tc>
        <w:tc>
          <w:tcPr>
            <w:tcW w:w="100" w:type="dxa"/>
            <w:vAlign w:val="bottom"/>
            <w:shd w:val="clear" w:color="auto" w:fill="CCEEFF"/>
          </w:tcPr>
          <w:p>
            <w:pPr>
              <w:spacing w:after="0"/>
              <w:rPr>
                <w:sz w:val="17"/>
                <w:szCs w:val="17"/>
                <w:color w:val="auto"/>
              </w:rPr>
            </w:pPr>
          </w:p>
        </w:tc>
      </w:tr>
      <w:tr>
        <w:trPr>
          <w:trHeight w:val="213"/>
        </w:trPr>
        <w:tc>
          <w:tcPr>
            <w:tcW w:w="6060" w:type="dxa"/>
            <w:vAlign w:val="bottom"/>
          </w:tcPr>
          <w:p>
            <w:pPr>
              <w:spacing w:after="0"/>
              <w:rPr>
                <w:sz w:val="20"/>
                <w:szCs w:val="20"/>
                <w:color w:val="auto"/>
              </w:rPr>
            </w:pPr>
            <w:r>
              <w:rPr>
                <w:rFonts w:ascii="Arial" w:cs="Arial" w:eastAsia="Arial" w:hAnsi="Arial"/>
                <w:sz w:val="17"/>
                <w:szCs w:val="17"/>
                <w:color w:val="auto"/>
              </w:rPr>
              <w:t>Cost of goods and services sold-mortuaries and cemeteries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550,398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532,147</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1,065,888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1,054,066</w:t>
            </w:r>
          </w:p>
        </w:tc>
        <w:tc>
          <w:tcPr>
            <w:tcW w:w="100" w:type="dxa"/>
            <w:vAlign w:val="bottom"/>
          </w:tcPr>
          <w:p>
            <w:pPr>
              <w:spacing w:after="0"/>
              <w:rPr>
                <w:sz w:val="18"/>
                <w:szCs w:val="18"/>
                <w:color w:val="auto"/>
              </w:rPr>
            </w:pPr>
          </w:p>
        </w:tc>
      </w:tr>
      <w:tr>
        <w:trPr>
          <w:trHeight w:val="213"/>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benefits and expenses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64,702,895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69,318,295</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125,591,823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137,249,822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6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6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Earnings before income taxes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4,162,231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3,994,299</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25,349,412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6,892,069</w:t>
            </w:r>
          </w:p>
        </w:tc>
        <w:tc>
          <w:tcPr>
            <w:tcW w:w="100" w:type="dxa"/>
            <w:vAlign w:val="bottom"/>
            <w:shd w:val="clear" w:color="auto" w:fill="CCEEFF"/>
          </w:tcPr>
          <w:p>
            <w:pPr>
              <w:spacing w:after="0"/>
              <w:rPr>
                <w:sz w:val="17"/>
                <w:szCs w:val="17"/>
                <w:color w:val="auto"/>
              </w:rPr>
            </w:pPr>
          </w:p>
        </w:tc>
      </w:tr>
      <w:tr>
        <w:trPr>
          <w:trHeight w:val="213"/>
        </w:trPr>
        <w:tc>
          <w:tcPr>
            <w:tcW w:w="6060" w:type="dxa"/>
            <w:vAlign w:val="bottom"/>
          </w:tcPr>
          <w:p>
            <w:pPr>
              <w:spacing w:after="0"/>
              <w:rPr>
                <w:sz w:val="20"/>
                <w:szCs w:val="20"/>
                <w:color w:val="auto"/>
              </w:rPr>
            </w:pPr>
            <w:r>
              <w:rPr>
                <w:rFonts w:ascii="Arial" w:cs="Arial" w:eastAsia="Arial" w:hAnsi="Arial"/>
                <w:sz w:val="17"/>
                <w:szCs w:val="17"/>
                <w:color w:val="auto"/>
              </w:rPr>
              <w:t>Income tax expense</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(924,014)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(1,508,435)</w:t>
            </w: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(5,185,272)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(2,546,205)</w:t>
            </w:r>
          </w:p>
        </w:tc>
      </w:tr>
      <w:tr>
        <w:trPr>
          <w:trHeight w:val="207"/>
        </w:trPr>
        <w:tc>
          <w:tcPr>
            <w:tcW w:w="60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7"/>
        </w:trPr>
        <w:tc>
          <w:tcPr>
            <w:tcW w:w="6060" w:type="dxa"/>
            <w:vAlign w:val="bottom"/>
          </w:tcPr>
          <w:p>
            <w:pPr>
              <w:spacing w:after="0"/>
              <w:rPr>
                <w:sz w:val="20"/>
                <w:szCs w:val="20"/>
                <w:color w:val="auto"/>
              </w:rPr>
            </w:pPr>
            <w:r>
              <w:rPr>
                <w:rFonts w:ascii="Arial" w:cs="Arial" w:eastAsia="Arial" w:hAnsi="Arial"/>
                <w:sz w:val="17"/>
                <w:szCs w:val="17"/>
                <w:b w:val="1"/>
                <w:bCs w:val="1"/>
                <w:color w:val="auto"/>
              </w:rPr>
              <w:t>Net earnings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3,238,217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2,485,864</w:t>
            </w:r>
          </w:p>
        </w:tc>
        <w:tc>
          <w:tcPr>
            <w:tcW w:w="220" w:type="dxa"/>
            <w:vAlign w:val="bottom"/>
          </w:tcPr>
          <w:p>
            <w:pPr>
              <w:spacing w:after="0"/>
              <w:rPr>
                <w:sz w:val="17"/>
                <w:szCs w:val="17"/>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20,164,140</w:t>
            </w:r>
          </w:p>
        </w:tc>
        <w:tc>
          <w:tcPr>
            <w:tcW w:w="14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4,345,864</w:t>
            </w:r>
          </w:p>
        </w:tc>
        <w:tc>
          <w:tcPr>
            <w:tcW w:w="100" w:type="dxa"/>
            <w:vAlign w:val="bottom"/>
          </w:tcPr>
          <w:p>
            <w:pPr>
              <w:spacing w:after="0"/>
              <w:rPr>
                <w:sz w:val="17"/>
                <w:szCs w:val="17"/>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6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r>
      <w:tr>
        <w:trPr>
          <w:trHeight w:val="207"/>
        </w:trPr>
        <w:tc>
          <w:tcPr>
            <w:tcW w:w="6060" w:type="dxa"/>
            <w:vAlign w:val="bottom"/>
          </w:tcPr>
          <w:p>
            <w:pPr>
              <w:spacing w:after="0"/>
              <w:rPr>
                <w:sz w:val="20"/>
                <w:szCs w:val="20"/>
                <w:color w:val="auto"/>
              </w:rPr>
            </w:pPr>
            <w:r>
              <w:rPr>
                <w:rFonts w:ascii="Arial" w:cs="Arial" w:eastAsia="Arial" w:hAnsi="Arial"/>
                <w:sz w:val="17"/>
                <w:szCs w:val="17"/>
                <w:b w:val="1"/>
                <w:bCs w:val="1"/>
                <w:color w:val="auto"/>
              </w:rPr>
              <w:t>Net earnings per Class A Equivalent common share (1)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0.16</w:t>
            </w:r>
          </w:p>
        </w:tc>
        <w:tc>
          <w:tcPr>
            <w:tcW w:w="220" w:type="dxa"/>
            <w:vAlign w:val="bottom"/>
          </w:tcPr>
          <w:p>
            <w:pPr>
              <w:spacing w:after="0"/>
              <w:rPr>
                <w:sz w:val="17"/>
                <w:szCs w:val="17"/>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1.24</w:t>
            </w:r>
          </w:p>
        </w:tc>
        <w:tc>
          <w:tcPr>
            <w:tcW w:w="14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0.27</w:t>
            </w:r>
          </w:p>
        </w:tc>
      </w:tr>
      <w:tr>
        <w:trPr>
          <w:trHeight w:val="20"/>
        </w:trPr>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6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r>
      <w:tr>
        <w:trPr>
          <w:trHeight w:val="207"/>
        </w:trPr>
        <w:tc>
          <w:tcPr>
            <w:tcW w:w="6060" w:type="dxa"/>
            <w:vAlign w:val="bottom"/>
          </w:tcPr>
          <w:p>
            <w:pPr>
              <w:spacing w:after="0"/>
              <w:rPr>
                <w:sz w:val="20"/>
                <w:szCs w:val="20"/>
                <w:color w:val="auto"/>
              </w:rPr>
            </w:pPr>
            <w:r>
              <w:rPr>
                <w:rFonts w:ascii="Arial" w:cs="Arial" w:eastAsia="Arial" w:hAnsi="Arial"/>
                <w:sz w:val="17"/>
                <w:szCs w:val="17"/>
                <w:b w:val="1"/>
                <w:bCs w:val="1"/>
                <w:color w:val="auto"/>
              </w:rPr>
              <w:t>Net earnings per Class A Equivalent common share-assuming dilution (1)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0.15</w:t>
            </w:r>
          </w:p>
        </w:tc>
        <w:tc>
          <w:tcPr>
            <w:tcW w:w="220" w:type="dxa"/>
            <w:vAlign w:val="bottom"/>
          </w:tcPr>
          <w:p>
            <w:pPr>
              <w:spacing w:after="0"/>
              <w:rPr>
                <w:sz w:val="17"/>
                <w:szCs w:val="17"/>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1.23</w:t>
            </w:r>
          </w:p>
        </w:tc>
        <w:tc>
          <w:tcPr>
            <w:tcW w:w="14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0.27</w:t>
            </w:r>
          </w:p>
        </w:tc>
      </w:tr>
      <w:tr>
        <w:trPr>
          <w:trHeight w:val="20"/>
        </w:trPr>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6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r>
      <w:tr>
        <w:trPr>
          <w:trHeight w:val="207"/>
        </w:trPr>
        <w:tc>
          <w:tcPr>
            <w:tcW w:w="6060" w:type="dxa"/>
            <w:vAlign w:val="bottom"/>
          </w:tcPr>
          <w:p>
            <w:pPr>
              <w:spacing w:after="0"/>
              <w:rPr>
                <w:sz w:val="20"/>
                <w:szCs w:val="20"/>
                <w:color w:val="auto"/>
              </w:rPr>
            </w:pPr>
            <w:r>
              <w:rPr>
                <w:rFonts w:ascii="Arial" w:cs="Arial" w:eastAsia="Arial" w:hAnsi="Arial"/>
                <w:sz w:val="17"/>
                <w:szCs w:val="17"/>
                <w:color w:val="auto"/>
              </w:rPr>
              <w:t>Weighted-average Class A equivalent common share outstanding (1)</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16,252,998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15,931,031</w:t>
            </w: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16,209,987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15,879,461</w:t>
            </w:r>
          </w:p>
        </w:tc>
      </w:tr>
      <w:tr>
        <w:trPr>
          <w:trHeight w:val="20"/>
        </w:trPr>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6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4"/>
        </w:trPr>
        <w:tc>
          <w:tcPr>
            <w:tcW w:w="6060" w:type="dxa"/>
            <w:vAlign w:val="bottom"/>
          </w:tcPr>
          <w:p>
            <w:pPr>
              <w:spacing w:after="0" w:line="194" w:lineRule="exact"/>
              <w:rPr>
                <w:sz w:val="20"/>
                <w:szCs w:val="20"/>
                <w:color w:val="auto"/>
              </w:rPr>
            </w:pPr>
            <w:r>
              <w:rPr>
                <w:rFonts w:ascii="Arial" w:cs="Arial" w:eastAsia="Arial" w:hAnsi="Arial"/>
                <w:sz w:val="17"/>
                <w:szCs w:val="17"/>
                <w:color w:val="auto"/>
                <w:w w:val="94"/>
              </w:rPr>
              <w:t>Weighted-average Class A equivalent common shares outstanding-assuming dilution</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9"/>
        </w:trPr>
        <w:tc>
          <w:tcPr>
            <w:tcW w:w="6060" w:type="dxa"/>
            <w:vAlign w:val="bottom"/>
          </w:tcPr>
          <w:p>
            <w:pPr>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16,487,068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16,278,148</w:t>
            </w:r>
          </w:p>
        </w:tc>
        <w:tc>
          <w:tcPr>
            <w:tcW w:w="2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16,417,351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16,241,068</w:t>
            </w:r>
          </w:p>
        </w:tc>
      </w:tr>
      <w:tr>
        <w:trPr>
          <w:trHeight w:val="20"/>
        </w:trPr>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(1) Net earnings per share amounts have been adjusted retroactively for the effect of annual stock dividends.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 (unaudited).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color w:val="auto"/>
        </w:rPr>
        <w:t>SECURITY NATIONAL FINANCIAL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STATEMENTS OF COMPREHENSIVE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80" w:type="dxa"/>
            <w:vAlign w:val="bottom"/>
            <w:gridSpan w:val="5"/>
          </w:tcPr>
          <w:p>
            <w:pPr>
              <w:jc w:val="right"/>
              <w:ind w:right="480"/>
              <w:spacing w:after="0"/>
              <w:rPr>
                <w:sz w:val="20"/>
                <w:szCs w:val="20"/>
                <w:color w:val="auto"/>
              </w:rPr>
            </w:pPr>
            <w:r>
              <w:rPr>
                <w:rFonts w:ascii="Arial" w:cs="Arial" w:eastAsia="Arial" w:hAnsi="Arial"/>
                <w:sz w:val="17"/>
                <w:szCs w:val="17"/>
                <w:color w:val="auto"/>
                <w:w w:val="92"/>
              </w:rPr>
              <w:t>Three Months Ended June 30</w:t>
            </w:r>
          </w:p>
        </w:tc>
        <w:tc>
          <w:tcPr>
            <w:tcW w:w="220" w:type="dxa"/>
            <w:vAlign w:val="bottom"/>
          </w:tcPr>
          <w:p>
            <w:pPr>
              <w:spacing w:after="0"/>
              <w:rPr>
                <w:sz w:val="19"/>
                <w:szCs w:val="19"/>
                <w:color w:val="auto"/>
              </w:rPr>
            </w:pPr>
          </w:p>
        </w:tc>
        <w:tc>
          <w:tcPr>
            <w:tcW w:w="2380" w:type="dxa"/>
            <w:vAlign w:val="bottom"/>
            <w:gridSpan w:val="6"/>
          </w:tcPr>
          <w:p>
            <w:pPr>
              <w:jc w:val="right"/>
              <w:ind w:right="420"/>
              <w:spacing w:after="0"/>
              <w:rPr>
                <w:sz w:val="20"/>
                <w:szCs w:val="20"/>
                <w:color w:val="auto"/>
              </w:rPr>
            </w:pPr>
            <w:r>
              <w:rPr>
                <w:rFonts w:ascii="Arial" w:cs="Arial" w:eastAsia="Arial" w:hAnsi="Arial"/>
                <w:sz w:val="17"/>
                <w:szCs w:val="17"/>
                <w:color w:val="auto"/>
                <w:w w:val="95"/>
              </w:rPr>
              <w:t>Six Months Ended June 30</w:t>
            </w:r>
          </w:p>
        </w:tc>
      </w:tr>
      <w:tr>
        <w:trPr>
          <w:trHeight w:val="213"/>
        </w:trPr>
        <w:tc>
          <w:tcPr>
            <w:tcW w:w="60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color w:val="auto"/>
              </w:rPr>
              <w:t>2018</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color w:val="auto"/>
              </w:rPr>
              <w:t>2017</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8"/>
                <w:szCs w:val="18"/>
                <w:color w:val="auto"/>
              </w:rPr>
            </w:pPr>
          </w:p>
        </w:tc>
      </w:tr>
      <w:tr>
        <w:trPr>
          <w:trHeight w:val="213"/>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earnings</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3,238,217</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2,485,864</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20,164,140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4,345,864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6060" w:type="dxa"/>
            <w:vAlign w:val="bottom"/>
          </w:tcPr>
          <w:p>
            <w:pPr>
              <w:spacing w:after="0"/>
              <w:rPr>
                <w:sz w:val="20"/>
                <w:szCs w:val="20"/>
                <w:color w:val="auto"/>
              </w:rPr>
            </w:pPr>
            <w:r>
              <w:rPr>
                <w:rFonts w:ascii="Arial" w:cs="Arial" w:eastAsia="Arial" w:hAnsi="Arial"/>
                <w:sz w:val="17"/>
                <w:szCs w:val="17"/>
                <w:color w:val="auto"/>
              </w:rPr>
              <w:t>Other comprehensive income:</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6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Unrealized gains (losses) on equity securities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(67,708)</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(37,838)</w:t>
            </w:r>
          </w:p>
        </w:tc>
      </w:tr>
      <w:tr>
        <w:trPr>
          <w:trHeight w:val="207"/>
        </w:trPr>
        <w:tc>
          <w:tcPr>
            <w:tcW w:w="6060" w:type="dxa"/>
            <w:vAlign w:val="bottom"/>
          </w:tcPr>
          <w:p>
            <w:pPr>
              <w:ind w:left="200"/>
              <w:spacing w:after="0"/>
              <w:rPr>
                <w:sz w:val="20"/>
                <w:szCs w:val="20"/>
                <w:color w:val="auto"/>
              </w:rPr>
            </w:pPr>
            <w:r>
              <w:rPr>
                <w:rFonts w:ascii="Arial" w:cs="Arial" w:eastAsia="Arial" w:hAnsi="Arial"/>
                <w:sz w:val="17"/>
                <w:szCs w:val="17"/>
                <w:color w:val="auto"/>
              </w:rPr>
              <w:t>Unrealized gains on derivative instruments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1,021</w:t>
            </w:r>
          </w:p>
        </w:tc>
        <w:tc>
          <w:tcPr>
            <w:tcW w:w="2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2,616</w:t>
            </w:r>
          </w:p>
        </w:tc>
      </w:tr>
      <w:tr>
        <w:trPr>
          <w:trHeight w:val="207"/>
        </w:trPr>
        <w:tc>
          <w:tcPr>
            <w:tcW w:w="6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Foreign currency translation adjustments</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(1,929)</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(1,929)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6"/>
        </w:trPr>
        <w:tc>
          <w:tcPr>
            <w:tcW w:w="60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3"/>
        </w:trPr>
        <w:tc>
          <w:tcPr>
            <w:tcW w:w="6060" w:type="dxa"/>
            <w:vAlign w:val="bottom"/>
          </w:tcPr>
          <w:p>
            <w:pPr>
              <w:ind w:left="200"/>
              <w:spacing w:after="0"/>
              <w:rPr>
                <w:sz w:val="20"/>
                <w:szCs w:val="20"/>
                <w:color w:val="auto"/>
              </w:rPr>
            </w:pPr>
            <w:r>
              <w:rPr>
                <w:rFonts w:ascii="Arial" w:cs="Arial" w:eastAsia="Arial" w:hAnsi="Arial"/>
                <w:sz w:val="17"/>
                <w:szCs w:val="17"/>
                <w:color w:val="auto"/>
              </w:rPr>
              <w:t>Other comprehensive income, before income tax</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(1,929)</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(66,687)</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(1,929)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(35,222)</w:t>
            </w:r>
          </w:p>
        </w:tc>
      </w:tr>
      <w:tr>
        <w:trPr>
          <w:trHeight w:val="213"/>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Income tax expense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481</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22,786</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12,613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3"/>
        </w:trPr>
        <w:tc>
          <w:tcPr>
            <w:tcW w:w="6060" w:type="dxa"/>
            <w:vAlign w:val="bottom"/>
          </w:tcPr>
          <w:p>
            <w:pPr>
              <w:spacing w:after="0"/>
              <w:rPr>
                <w:sz w:val="20"/>
                <w:szCs w:val="20"/>
                <w:color w:val="auto"/>
              </w:rPr>
            </w:pPr>
            <w:r>
              <w:rPr>
                <w:rFonts w:ascii="Arial" w:cs="Arial" w:eastAsia="Arial" w:hAnsi="Arial"/>
                <w:sz w:val="17"/>
                <w:szCs w:val="17"/>
                <w:color w:val="auto"/>
              </w:rPr>
              <w:t>Other comprehensive income, net of income tax</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(1,448)</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(43,901)</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(1,448)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(22,609)</w:t>
            </w:r>
          </w:p>
        </w:tc>
      </w:tr>
      <w:tr>
        <w:trPr>
          <w:trHeight w:val="227"/>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Comprehensive income</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3,236,769</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2,441,963</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20,162,692</w:t>
            </w:r>
          </w:p>
        </w:tc>
        <w:tc>
          <w:tcPr>
            <w:tcW w:w="1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4,323,255</w:t>
            </w:r>
          </w:p>
        </w:tc>
        <w:tc>
          <w:tcPr>
            <w:tcW w:w="100" w:type="dxa"/>
            <w:vAlign w:val="bottom"/>
            <w:shd w:val="clear" w:color="auto" w:fill="CCEEFF"/>
          </w:tcPr>
          <w:p>
            <w:pPr>
              <w:spacing w:after="0"/>
              <w:rPr>
                <w:sz w:val="19"/>
                <w:szCs w:val="19"/>
                <w:color w:val="auto"/>
              </w:rPr>
            </w:pP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 (unaudited).</w:t>
      </w:r>
    </w:p>
    <w:p>
      <w:pPr>
        <w:spacing w:after="0" w:line="173"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color w:val="auto"/>
        </w:rPr>
        <w:t>SECURITY NATIONAL FINANCIAL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STATEMENTS OF STOCKHOLDERS'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1"/>
              </w:rPr>
              <w:t>Accumulated</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89"/>
              </w:rPr>
              <w:t>Class A</w:t>
            </w:r>
          </w:p>
        </w:tc>
        <w:tc>
          <w:tcPr>
            <w:tcW w:w="16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9"/>
              </w:rPr>
              <w:t>Class C</w:t>
            </w:r>
          </w:p>
        </w:tc>
        <w:tc>
          <w:tcPr>
            <w:tcW w:w="140" w:type="dxa"/>
            <w:vAlign w:val="bottom"/>
          </w:tcPr>
          <w:p>
            <w:pPr>
              <w:spacing w:after="0"/>
              <w:rPr>
                <w:sz w:val="17"/>
                <w:szCs w:val="17"/>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w w:val="96"/>
              </w:rPr>
              <w:t>Additional</w:t>
            </w:r>
          </w:p>
        </w:tc>
        <w:tc>
          <w:tcPr>
            <w:tcW w:w="10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6"/>
              </w:rPr>
              <w:t>Other</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2"/>
              </w:rPr>
              <w:t>Common</w:t>
            </w:r>
          </w:p>
        </w:tc>
        <w:tc>
          <w:tcPr>
            <w:tcW w:w="16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2"/>
              </w:rPr>
              <w:t>Common</w:t>
            </w:r>
          </w:p>
        </w:tc>
        <w:tc>
          <w:tcPr>
            <w:tcW w:w="14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7"/>
                <w:szCs w:val="17"/>
                <w:b w:val="1"/>
                <w:bCs w:val="1"/>
                <w:color w:val="auto"/>
              </w:rPr>
              <w:t>Paid-in</w:t>
            </w:r>
          </w:p>
        </w:tc>
        <w:tc>
          <w:tcPr>
            <w:tcW w:w="1400" w:type="dxa"/>
            <w:vAlign w:val="bottom"/>
            <w:gridSpan w:val="3"/>
          </w:tcPr>
          <w:p>
            <w:pPr>
              <w:ind w:left="20"/>
              <w:spacing w:after="0"/>
              <w:rPr>
                <w:sz w:val="20"/>
                <w:szCs w:val="20"/>
                <w:color w:val="auto"/>
              </w:rPr>
            </w:pPr>
            <w:r>
              <w:rPr>
                <w:rFonts w:ascii="Arial" w:cs="Arial" w:eastAsia="Arial" w:hAnsi="Arial"/>
                <w:sz w:val="17"/>
                <w:szCs w:val="17"/>
                <w:b w:val="1"/>
                <w:bCs w:val="1"/>
                <w:color w:val="auto"/>
              </w:rPr>
              <w:t>Comprehensive</w:t>
            </w:r>
          </w:p>
        </w:tc>
        <w:tc>
          <w:tcPr>
            <w:tcW w:w="16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Retained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322"/>
              <w:spacing w:after="0"/>
              <w:rPr>
                <w:sz w:val="20"/>
                <w:szCs w:val="20"/>
                <w:color w:val="auto"/>
              </w:rPr>
            </w:pPr>
            <w:r>
              <w:rPr>
                <w:rFonts w:ascii="Arial" w:cs="Arial" w:eastAsia="Arial" w:hAnsi="Arial"/>
                <w:sz w:val="17"/>
                <w:szCs w:val="17"/>
                <w:b w:val="1"/>
                <w:bCs w:val="1"/>
                <w:color w:val="auto"/>
              </w:rPr>
              <w:t>Treasury</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1"/>
        </w:trPr>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90"/>
              </w:rPr>
              <w:t>Stock</w:t>
            </w: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90"/>
              </w:rPr>
              <w:t>Stock</w:t>
            </w:r>
          </w:p>
        </w:tc>
        <w:tc>
          <w:tcPr>
            <w:tcW w:w="14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Capital</w:t>
            </w:r>
          </w:p>
        </w:tc>
        <w:tc>
          <w:tcPr>
            <w:tcW w:w="10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0"/>
              </w:rPr>
              <w:t>Income</w:t>
            </w:r>
          </w:p>
        </w:tc>
        <w:tc>
          <w:tcPr>
            <w:tcW w:w="16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Earnings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42"/>
              <w:spacing w:after="0"/>
              <w:rPr>
                <w:sz w:val="20"/>
                <w:szCs w:val="20"/>
                <w:color w:val="auto"/>
              </w:rPr>
            </w:pPr>
            <w:r>
              <w:rPr>
                <w:rFonts w:ascii="Arial" w:cs="Arial" w:eastAsia="Arial" w:hAnsi="Arial"/>
                <w:sz w:val="17"/>
                <w:szCs w:val="17"/>
                <w:b w:val="1"/>
                <w:bCs w:val="1"/>
                <w:color w:val="auto"/>
              </w:rPr>
              <w:t>Stock</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Total</w:t>
            </w:r>
          </w:p>
        </w:tc>
      </w:tr>
      <w:tr>
        <w:trPr>
          <w:trHeight w:val="207"/>
        </w:trPr>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8"/>
        </w:trPr>
        <w:tc>
          <w:tcPr>
            <w:tcW w:w="18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w w:val="92"/>
              </w:rPr>
              <w:t>Balance at December 31,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5"/>
        </w:trPr>
        <w:tc>
          <w:tcPr>
            <w:tcW w:w="1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2016</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27,638,012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3,804,458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34,813,246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264,822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67,409,204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2"/>
              <w:spacing w:after="0"/>
              <w:rPr>
                <w:sz w:val="20"/>
                <w:szCs w:val="20"/>
                <w:color w:val="auto"/>
              </w:rPr>
            </w:pPr>
            <w:r>
              <w:rPr>
                <w:rFonts w:ascii="Arial" w:cs="Arial" w:eastAsia="Arial" w:hAnsi="Arial"/>
                <w:sz w:val="17"/>
                <w:szCs w:val="17"/>
                <w:color w:val="auto"/>
              </w:rPr>
              <w:t>(1,370,611)</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132,559,131</w:t>
            </w:r>
          </w:p>
        </w:tc>
        <w:tc>
          <w:tcPr>
            <w:tcW w:w="100" w:type="dxa"/>
            <w:vAlign w:val="bottom"/>
            <w:shd w:val="clear" w:color="auto" w:fill="CCEEFF"/>
          </w:tcPr>
          <w:p>
            <w:pPr>
              <w:spacing w:after="0"/>
              <w:rPr>
                <w:sz w:val="19"/>
                <w:szCs w:val="19"/>
                <w:color w:val="auto"/>
              </w:rPr>
            </w:pPr>
          </w:p>
        </w:tc>
      </w:tr>
      <w:tr>
        <w:trPr>
          <w:trHeight w:val="207"/>
        </w:trPr>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1880" w:type="dxa"/>
            <w:vAlign w:val="bottom"/>
            <w:shd w:val="clear" w:color="auto" w:fill="CCEEFF"/>
          </w:tcPr>
          <w:p>
            <w:pPr>
              <w:spacing w:after="0"/>
              <w:rPr>
                <w:sz w:val="20"/>
                <w:szCs w:val="20"/>
                <w:color w:val="auto"/>
              </w:rPr>
            </w:pPr>
            <w:r>
              <w:rPr>
                <w:rFonts w:ascii="Arial" w:cs="Arial" w:eastAsia="Arial" w:hAnsi="Arial"/>
                <w:sz w:val="17"/>
                <w:szCs w:val="17"/>
                <w:color w:val="auto"/>
              </w:rPr>
              <w:t>Net earnings</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4,345,864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4,345,864</w:t>
            </w:r>
          </w:p>
        </w:tc>
        <w:tc>
          <w:tcPr>
            <w:tcW w:w="100" w:type="dxa"/>
            <w:vAlign w:val="bottom"/>
            <w:shd w:val="clear" w:color="auto" w:fill="CCEEFF"/>
          </w:tcPr>
          <w:p>
            <w:pPr>
              <w:spacing w:after="0"/>
              <w:rPr>
                <w:sz w:val="17"/>
                <w:szCs w:val="17"/>
                <w:color w:val="auto"/>
              </w:rPr>
            </w:pPr>
          </w:p>
        </w:tc>
      </w:tr>
      <w:tr>
        <w:trPr>
          <w:trHeight w:val="194"/>
        </w:trPr>
        <w:tc>
          <w:tcPr>
            <w:tcW w:w="1880" w:type="dxa"/>
            <w:vAlign w:val="bottom"/>
          </w:tcPr>
          <w:p>
            <w:pPr>
              <w:spacing w:after="0" w:line="194" w:lineRule="exact"/>
              <w:rPr>
                <w:sz w:val="20"/>
                <w:szCs w:val="20"/>
                <w:color w:val="auto"/>
              </w:rPr>
            </w:pPr>
            <w:r>
              <w:rPr>
                <w:rFonts w:ascii="Arial" w:cs="Arial" w:eastAsia="Arial" w:hAnsi="Arial"/>
                <w:sz w:val="17"/>
                <w:szCs w:val="17"/>
                <w:color w:val="auto"/>
              </w:rPr>
              <w:t>Other comprehensive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9"/>
        </w:trPr>
        <w:tc>
          <w:tcPr>
            <w:tcW w:w="1880" w:type="dxa"/>
            <w:vAlign w:val="bottom"/>
          </w:tcPr>
          <w:p>
            <w:pPr>
              <w:spacing w:after="0"/>
              <w:rPr>
                <w:sz w:val="20"/>
                <w:szCs w:val="20"/>
                <w:color w:val="auto"/>
              </w:rPr>
            </w:pPr>
            <w:r>
              <w:rPr>
                <w:rFonts w:ascii="Arial" w:cs="Arial" w:eastAsia="Arial" w:hAnsi="Arial"/>
                <w:sz w:val="17"/>
                <w:szCs w:val="17"/>
                <w:color w:val="auto"/>
              </w:rPr>
              <w:t>income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(22,609)</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82"/>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(22,609)</w:t>
            </w:r>
          </w:p>
        </w:tc>
      </w:tr>
      <w:tr>
        <w:trPr>
          <w:trHeight w:val="207"/>
        </w:trPr>
        <w:tc>
          <w:tcPr>
            <w:tcW w:w="1880" w:type="dxa"/>
            <w:vAlign w:val="bottom"/>
            <w:shd w:val="clear" w:color="auto" w:fill="CCEEFF"/>
          </w:tcPr>
          <w:p>
            <w:pPr>
              <w:spacing w:after="0"/>
              <w:rPr>
                <w:sz w:val="20"/>
                <w:szCs w:val="20"/>
                <w:color w:val="auto"/>
              </w:rPr>
            </w:pPr>
            <w:r>
              <w:rPr>
                <w:rFonts w:ascii="Arial" w:cs="Arial" w:eastAsia="Arial" w:hAnsi="Arial"/>
                <w:sz w:val="17"/>
                <w:szCs w:val="17"/>
                <w:color w:val="auto"/>
              </w:rPr>
              <w:t>Grant of stock options</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203,312</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203,312</w:t>
            </w:r>
          </w:p>
        </w:tc>
      </w:tr>
      <w:tr>
        <w:trPr>
          <w:trHeight w:val="207"/>
        </w:trPr>
        <w:tc>
          <w:tcPr>
            <w:tcW w:w="1880" w:type="dxa"/>
            <w:vAlign w:val="bottom"/>
          </w:tcPr>
          <w:p>
            <w:pPr>
              <w:spacing w:after="0"/>
              <w:rPr>
                <w:sz w:val="20"/>
                <w:szCs w:val="20"/>
                <w:color w:val="auto"/>
              </w:rPr>
            </w:pPr>
            <w:r>
              <w:rPr>
                <w:rFonts w:ascii="Arial" w:cs="Arial" w:eastAsia="Arial" w:hAnsi="Arial"/>
                <w:sz w:val="17"/>
                <w:szCs w:val="17"/>
                <w:color w:val="auto"/>
                <w:w w:val="98"/>
              </w:rPr>
              <w:t>Exercise of stock options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206,804</w:t>
            </w: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(206,806)</w:t>
            </w:r>
          </w:p>
        </w:tc>
        <w:tc>
          <w:tcPr>
            <w:tcW w:w="1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82"/>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7"/>
        </w:trPr>
        <w:tc>
          <w:tcPr>
            <w:tcW w:w="1880" w:type="dxa"/>
            <w:vAlign w:val="bottom"/>
            <w:shd w:val="clear" w:color="auto" w:fill="CCEEFF"/>
          </w:tcPr>
          <w:p>
            <w:pPr>
              <w:spacing w:after="0"/>
              <w:rPr>
                <w:sz w:val="20"/>
                <w:szCs w:val="20"/>
                <w:color w:val="auto"/>
              </w:rPr>
            </w:pPr>
            <w:r>
              <w:rPr>
                <w:rFonts w:ascii="Arial" w:cs="Arial" w:eastAsia="Arial" w:hAnsi="Arial"/>
                <w:sz w:val="17"/>
                <w:szCs w:val="17"/>
                <w:color w:val="auto"/>
              </w:rPr>
              <w:t>Sale of treasury stock</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373,385</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351,157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724,542</w:t>
            </w:r>
          </w:p>
        </w:tc>
      </w:tr>
      <w:tr>
        <w:trPr>
          <w:trHeight w:val="207"/>
        </w:trPr>
        <w:tc>
          <w:tcPr>
            <w:tcW w:w="1880" w:type="dxa"/>
            <w:vAlign w:val="bottom"/>
          </w:tcPr>
          <w:p>
            <w:pPr>
              <w:spacing w:after="0"/>
              <w:rPr>
                <w:sz w:val="20"/>
                <w:szCs w:val="20"/>
                <w:color w:val="auto"/>
              </w:rPr>
            </w:pPr>
            <w:r>
              <w:rPr>
                <w:rFonts w:ascii="Arial" w:cs="Arial" w:eastAsia="Arial" w:hAnsi="Arial"/>
                <w:sz w:val="17"/>
                <w:szCs w:val="17"/>
                <w:color w:val="auto"/>
                <w:w w:val="92"/>
              </w:rPr>
              <w:t>Purchase of treasury stock</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42"/>
              <w:spacing w:after="0"/>
              <w:rPr>
                <w:sz w:val="20"/>
                <w:szCs w:val="20"/>
                <w:color w:val="auto"/>
              </w:rPr>
            </w:pPr>
            <w:r>
              <w:rPr>
                <w:rFonts w:ascii="Arial" w:cs="Arial" w:eastAsia="Arial" w:hAnsi="Arial"/>
                <w:sz w:val="17"/>
                <w:szCs w:val="17"/>
                <w:color w:val="auto"/>
              </w:rPr>
              <w:t>(185,470)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(185,470)</w:t>
            </w:r>
          </w:p>
        </w:tc>
      </w:tr>
      <w:tr>
        <w:trPr>
          <w:trHeight w:val="207"/>
        </w:trPr>
        <w:tc>
          <w:tcPr>
            <w:tcW w:w="1880" w:type="dxa"/>
            <w:vAlign w:val="bottom"/>
            <w:shd w:val="clear" w:color="auto" w:fill="CCEEFF"/>
          </w:tcPr>
          <w:p>
            <w:pPr>
              <w:spacing w:after="0"/>
              <w:rPr>
                <w:sz w:val="20"/>
                <w:szCs w:val="20"/>
                <w:color w:val="auto"/>
              </w:rPr>
            </w:pPr>
            <w:r>
              <w:rPr>
                <w:rFonts w:ascii="Arial" w:cs="Arial" w:eastAsia="Arial" w:hAnsi="Arial"/>
                <w:sz w:val="17"/>
                <w:szCs w:val="17"/>
                <w:color w:val="auto"/>
              </w:rPr>
              <w:t>Stock dividends</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2,350</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(3,284)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194"/>
        </w:trPr>
        <w:tc>
          <w:tcPr>
            <w:tcW w:w="1880" w:type="dxa"/>
            <w:vAlign w:val="bottom"/>
          </w:tcPr>
          <w:p>
            <w:pPr>
              <w:spacing w:after="0" w:line="194" w:lineRule="exact"/>
              <w:rPr>
                <w:sz w:val="20"/>
                <w:szCs w:val="20"/>
                <w:color w:val="auto"/>
              </w:rPr>
            </w:pPr>
            <w:r>
              <w:rPr>
                <w:rFonts w:ascii="Arial" w:cs="Arial" w:eastAsia="Arial" w:hAnsi="Arial"/>
                <w:sz w:val="17"/>
                <w:szCs w:val="17"/>
                <w:color w:val="auto"/>
              </w:rPr>
              <w:t>Conversion Class C to</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1880" w:type="dxa"/>
            <w:vAlign w:val="bottom"/>
          </w:tcPr>
          <w:p>
            <w:pPr>
              <w:spacing w:after="0"/>
              <w:rPr>
                <w:sz w:val="20"/>
                <w:szCs w:val="20"/>
                <w:color w:val="auto"/>
              </w:rPr>
            </w:pPr>
            <w:r>
              <w:rPr>
                <w:rFonts w:ascii="Arial" w:cs="Arial" w:eastAsia="Arial" w:hAnsi="Arial"/>
                <w:sz w:val="17"/>
                <w:szCs w:val="17"/>
                <w:color w:val="auto"/>
              </w:rPr>
              <w:t>Class A</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1,214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(1,214)</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82"/>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r>
      <w:tr>
        <w:trPr>
          <w:trHeight w:val="247"/>
        </w:trPr>
        <w:tc>
          <w:tcPr>
            <w:tcW w:w="1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w w:val="92"/>
              </w:rPr>
              <w:t>Balance at June 30, 2017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27,640,158</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4,010,052</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35,185,487</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242,213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71,751,784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(1,204,924</w:t>
            </w:r>
          </w:p>
        </w:tc>
        <w:tc>
          <w:tcPr>
            <w:tcW w:w="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137,624,770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8"/>
        </w:trPr>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8"/>
        </w:trPr>
        <w:tc>
          <w:tcPr>
            <w:tcW w:w="18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w w:val="92"/>
              </w:rPr>
              <w:t>Balance at December 31,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5"/>
        </w:trPr>
        <w:tc>
          <w:tcPr>
            <w:tcW w:w="1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2017</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29,071,154</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4,178,748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38,125,042</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603,170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77,520,951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2"/>
              <w:spacing w:after="0"/>
              <w:rPr>
                <w:sz w:val="20"/>
                <w:szCs w:val="20"/>
                <w:color w:val="auto"/>
              </w:rPr>
            </w:pPr>
            <w:r>
              <w:rPr>
                <w:rFonts w:ascii="Arial" w:cs="Arial" w:eastAsia="Arial" w:hAnsi="Arial"/>
                <w:sz w:val="17"/>
                <w:szCs w:val="17"/>
                <w:color w:val="auto"/>
              </w:rPr>
              <w:t>(931,075)</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148,567,990</w:t>
            </w:r>
          </w:p>
        </w:tc>
        <w:tc>
          <w:tcPr>
            <w:tcW w:w="100" w:type="dxa"/>
            <w:vAlign w:val="bottom"/>
            <w:shd w:val="clear" w:color="auto" w:fill="CCEEFF"/>
          </w:tcPr>
          <w:p>
            <w:pPr>
              <w:spacing w:after="0"/>
              <w:rPr>
                <w:sz w:val="19"/>
                <w:szCs w:val="19"/>
                <w:color w:val="auto"/>
              </w:rPr>
            </w:pPr>
          </w:p>
        </w:tc>
      </w:tr>
      <w:tr>
        <w:trPr>
          <w:trHeight w:val="207"/>
        </w:trPr>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4"/>
        </w:trPr>
        <w:tc>
          <w:tcPr>
            <w:tcW w:w="18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Cumulative effect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7"/>
        </w:trPr>
        <w:tc>
          <w:tcPr>
            <w:tcW w:w="1880" w:type="dxa"/>
            <w:vAlign w:val="bottom"/>
            <w:shd w:val="clear" w:color="auto" w:fill="CCEEFF"/>
          </w:tcPr>
          <w:p>
            <w:pPr>
              <w:spacing w:after="0"/>
              <w:rPr>
                <w:sz w:val="20"/>
                <w:szCs w:val="20"/>
                <w:color w:val="auto"/>
              </w:rPr>
            </w:pPr>
            <w:r>
              <w:rPr>
                <w:rFonts w:ascii="Arial" w:cs="Arial" w:eastAsia="Arial" w:hAnsi="Arial"/>
                <w:sz w:val="17"/>
                <w:szCs w:val="17"/>
                <w:color w:val="auto"/>
                <w:w w:val="95"/>
              </w:rPr>
              <w:t>adjustment upon adoption</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7"/>
        </w:trPr>
        <w:tc>
          <w:tcPr>
            <w:tcW w:w="1880" w:type="dxa"/>
            <w:vAlign w:val="bottom"/>
            <w:shd w:val="clear" w:color="auto" w:fill="CCEEFF"/>
          </w:tcPr>
          <w:p>
            <w:pPr>
              <w:spacing w:after="0"/>
              <w:rPr>
                <w:sz w:val="20"/>
                <w:szCs w:val="20"/>
                <w:color w:val="auto"/>
              </w:rPr>
            </w:pPr>
            <w:r>
              <w:rPr>
                <w:rFonts w:ascii="Arial" w:cs="Arial" w:eastAsia="Arial" w:hAnsi="Arial"/>
                <w:sz w:val="17"/>
                <w:szCs w:val="17"/>
                <w:color w:val="auto"/>
              </w:rPr>
              <w:t>of new accounting</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9"/>
        </w:trPr>
        <w:tc>
          <w:tcPr>
            <w:tcW w:w="1880" w:type="dxa"/>
            <w:vAlign w:val="bottom"/>
            <w:shd w:val="clear" w:color="auto" w:fill="CCEEFF"/>
          </w:tcPr>
          <w:p>
            <w:pPr>
              <w:spacing w:after="0"/>
              <w:rPr>
                <w:sz w:val="20"/>
                <w:szCs w:val="20"/>
                <w:color w:val="auto"/>
              </w:rPr>
            </w:pPr>
            <w:r>
              <w:rPr>
                <w:rFonts w:ascii="Arial" w:cs="Arial" w:eastAsia="Arial" w:hAnsi="Arial"/>
                <w:sz w:val="17"/>
                <w:szCs w:val="17"/>
                <w:color w:val="auto"/>
              </w:rPr>
              <w:t>standard (ASU 2016-01)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(603,170)</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603,170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r>
      <w:tr>
        <w:trPr>
          <w:trHeight w:val="207"/>
        </w:trPr>
        <w:tc>
          <w:tcPr>
            <w:tcW w:w="1880" w:type="dxa"/>
            <w:vAlign w:val="bottom"/>
          </w:tcPr>
          <w:p>
            <w:pPr>
              <w:spacing w:after="0"/>
              <w:rPr>
                <w:sz w:val="20"/>
                <w:szCs w:val="20"/>
                <w:color w:val="auto"/>
              </w:rPr>
            </w:pPr>
            <w:r>
              <w:rPr>
                <w:rFonts w:ascii="Arial" w:cs="Arial" w:eastAsia="Arial" w:hAnsi="Arial"/>
                <w:sz w:val="17"/>
                <w:szCs w:val="17"/>
                <w:color w:val="auto"/>
              </w:rPr>
              <w:t>Net earnings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20,164,140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82"/>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20,164,140</w:t>
            </w:r>
          </w:p>
        </w:tc>
      </w:tr>
      <w:tr>
        <w:trPr>
          <w:trHeight w:val="207"/>
        </w:trPr>
        <w:tc>
          <w:tcPr>
            <w:tcW w:w="1880" w:type="dxa"/>
            <w:vAlign w:val="bottom"/>
            <w:shd w:val="clear" w:color="auto" w:fill="CCEEFF"/>
          </w:tcPr>
          <w:p>
            <w:pPr>
              <w:spacing w:after="0"/>
              <w:rPr>
                <w:sz w:val="20"/>
                <w:szCs w:val="20"/>
                <w:color w:val="auto"/>
              </w:rPr>
            </w:pPr>
            <w:r>
              <w:rPr>
                <w:rFonts w:ascii="Arial" w:cs="Arial" w:eastAsia="Arial" w:hAnsi="Arial"/>
                <w:sz w:val="17"/>
                <w:szCs w:val="17"/>
                <w:color w:val="auto"/>
                <w:w w:val="94"/>
              </w:rPr>
              <w:t>Other comprehensive loss</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(1,448)</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(1,448)</w:t>
            </w:r>
          </w:p>
        </w:tc>
      </w:tr>
      <w:tr>
        <w:trPr>
          <w:trHeight w:val="207"/>
        </w:trPr>
        <w:tc>
          <w:tcPr>
            <w:tcW w:w="1880" w:type="dxa"/>
            <w:vAlign w:val="bottom"/>
          </w:tcPr>
          <w:p>
            <w:pPr>
              <w:spacing w:after="0"/>
              <w:rPr>
                <w:sz w:val="20"/>
                <w:szCs w:val="20"/>
                <w:color w:val="auto"/>
              </w:rPr>
            </w:pPr>
            <w:r>
              <w:rPr>
                <w:rFonts w:ascii="Arial" w:cs="Arial" w:eastAsia="Arial" w:hAnsi="Arial"/>
                <w:sz w:val="17"/>
                <w:szCs w:val="17"/>
                <w:color w:val="auto"/>
              </w:rPr>
              <w:t>Grant of stock options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116,140</w:t>
            </w:r>
          </w:p>
        </w:tc>
        <w:tc>
          <w:tcPr>
            <w:tcW w:w="1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82"/>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116,140</w:t>
            </w:r>
          </w:p>
        </w:tc>
      </w:tr>
      <w:tr>
        <w:trPr>
          <w:trHeight w:val="207"/>
        </w:trPr>
        <w:tc>
          <w:tcPr>
            <w:tcW w:w="1880" w:type="dxa"/>
            <w:vAlign w:val="bottom"/>
            <w:shd w:val="clear" w:color="auto" w:fill="CCEEFF"/>
          </w:tcPr>
          <w:p>
            <w:pPr>
              <w:spacing w:after="0"/>
              <w:rPr>
                <w:sz w:val="20"/>
                <w:szCs w:val="20"/>
                <w:color w:val="auto"/>
              </w:rPr>
            </w:pPr>
            <w:r>
              <w:rPr>
                <w:rFonts w:ascii="Arial" w:cs="Arial" w:eastAsia="Arial" w:hAnsi="Arial"/>
                <w:sz w:val="17"/>
                <w:szCs w:val="17"/>
                <w:color w:val="auto"/>
                <w:w w:val="98"/>
              </w:rPr>
              <w:t>Exercise of stock options</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63,968</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(22,115)</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41,853</w:t>
            </w:r>
          </w:p>
        </w:tc>
      </w:tr>
      <w:tr>
        <w:trPr>
          <w:trHeight w:val="207"/>
        </w:trPr>
        <w:tc>
          <w:tcPr>
            <w:tcW w:w="1880" w:type="dxa"/>
            <w:vAlign w:val="bottom"/>
          </w:tcPr>
          <w:p>
            <w:pPr>
              <w:spacing w:after="0"/>
              <w:rPr>
                <w:sz w:val="20"/>
                <w:szCs w:val="20"/>
                <w:color w:val="auto"/>
              </w:rPr>
            </w:pPr>
            <w:r>
              <w:rPr>
                <w:rFonts w:ascii="Arial" w:cs="Arial" w:eastAsia="Arial" w:hAnsi="Arial"/>
                <w:sz w:val="17"/>
                <w:szCs w:val="17"/>
                <w:color w:val="auto"/>
              </w:rPr>
              <w:t>Sale of treasury stock</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252,299</w:t>
            </w:r>
          </w:p>
        </w:tc>
        <w:tc>
          <w:tcPr>
            <w:tcW w:w="1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82"/>
              <w:spacing w:after="0"/>
              <w:rPr>
                <w:sz w:val="20"/>
                <w:szCs w:val="20"/>
                <w:color w:val="auto"/>
              </w:rPr>
            </w:pPr>
            <w:r>
              <w:rPr>
                <w:rFonts w:ascii="Arial" w:cs="Arial" w:eastAsia="Arial" w:hAnsi="Arial"/>
                <w:sz w:val="17"/>
                <w:szCs w:val="17"/>
                <w:color w:val="auto"/>
              </w:rPr>
              <w:t>444,830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697,129</w:t>
            </w:r>
          </w:p>
        </w:tc>
      </w:tr>
      <w:tr>
        <w:trPr>
          <w:trHeight w:val="207"/>
        </w:trPr>
        <w:tc>
          <w:tcPr>
            <w:tcW w:w="1880" w:type="dxa"/>
            <w:vAlign w:val="bottom"/>
            <w:shd w:val="clear" w:color="auto" w:fill="CCEEFF"/>
          </w:tcPr>
          <w:p>
            <w:pPr>
              <w:spacing w:after="0"/>
              <w:rPr>
                <w:sz w:val="20"/>
                <w:szCs w:val="20"/>
                <w:color w:val="auto"/>
              </w:rPr>
            </w:pPr>
            <w:r>
              <w:rPr>
                <w:rFonts w:ascii="Arial" w:cs="Arial" w:eastAsia="Arial" w:hAnsi="Arial"/>
                <w:sz w:val="17"/>
                <w:szCs w:val="17"/>
                <w:color w:val="auto"/>
              </w:rPr>
              <w:t>Stock dividends</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3,520</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5,362</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(8,878)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194"/>
        </w:trPr>
        <w:tc>
          <w:tcPr>
            <w:tcW w:w="1880" w:type="dxa"/>
            <w:vAlign w:val="bottom"/>
          </w:tcPr>
          <w:p>
            <w:pPr>
              <w:spacing w:after="0" w:line="194" w:lineRule="exact"/>
              <w:rPr>
                <w:sz w:val="20"/>
                <w:szCs w:val="20"/>
                <w:color w:val="auto"/>
              </w:rPr>
            </w:pPr>
            <w:r>
              <w:rPr>
                <w:rFonts w:ascii="Arial" w:cs="Arial" w:eastAsia="Arial" w:hAnsi="Arial"/>
                <w:sz w:val="17"/>
                <w:szCs w:val="17"/>
                <w:color w:val="auto"/>
              </w:rPr>
              <w:t>Conversion Class C to</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1880" w:type="dxa"/>
            <w:vAlign w:val="bottom"/>
          </w:tcPr>
          <w:p>
            <w:pPr>
              <w:spacing w:after="0"/>
              <w:rPr>
                <w:sz w:val="20"/>
                <w:szCs w:val="20"/>
                <w:color w:val="auto"/>
              </w:rPr>
            </w:pPr>
            <w:r>
              <w:rPr>
                <w:rFonts w:ascii="Arial" w:cs="Arial" w:eastAsia="Arial" w:hAnsi="Arial"/>
                <w:sz w:val="17"/>
                <w:szCs w:val="17"/>
                <w:color w:val="auto"/>
              </w:rPr>
              <w:t>Class A</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376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(376)</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1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w w:val="92"/>
              </w:rPr>
              <w:t>Balance at June 30, 2018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29,139,018</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4,178,368</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38,476,728</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(1,448)</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98,279,383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(486,245)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169,585,804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 (unaudited).</w:t>
      </w:r>
    </w:p>
    <w:p>
      <w:pPr>
        <w:spacing w:after="0" w:line="173"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color w:val="auto"/>
        </w:rPr>
        <w:t>SECURITY NATIONAL FINANCIAL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5"/>
          </w:tcPr>
          <w:p>
            <w:pPr>
              <w:jc w:val="right"/>
              <w:ind w:right="440"/>
              <w:spacing w:after="0"/>
              <w:rPr>
                <w:sz w:val="20"/>
                <w:szCs w:val="20"/>
                <w:color w:val="auto"/>
              </w:rPr>
            </w:pPr>
            <w:r>
              <w:rPr>
                <w:rFonts w:ascii="Arial" w:cs="Arial" w:eastAsia="Arial" w:hAnsi="Arial"/>
                <w:sz w:val="17"/>
                <w:szCs w:val="17"/>
                <w:color w:val="auto"/>
                <w:w w:val="98"/>
              </w:rPr>
              <w:t>Six Months Ended June 30</w:t>
            </w:r>
          </w:p>
        </w:tc>
      </w:tr>
      <w:tr>
        <w:trPr>
          <w:trHeight w:val="213"/>
        </w:trPr>
        <w:tc>
          <w:tcPr>
            <w:tcW w:w="7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7"/>
                <w:szCs w:val="17"/>
                <w:color w:val="auto"/>
              </w:rPr>
              <w:t>2018</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8"/>
                <w:szCs w:val="18"/>
                <w:color w:val="auto"/>
              </w:rPr>
            </w:pPr>
          </w:p>
        </w:tc>
      </w:tr>
      <w:tr>
        <w:trPr>
          <w:trHeight w:val="207"/>
        </w:trPr>
        <w:tc>
          <w:tcPr>
            <w:tcW w:w="7580" w:type="dxa"/>
            <w:vAlign w:val="bottom"/>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7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cash provided by (used in) operating activities</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(27,786,532)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20,042,049</w:t>
            </w:r>
          </w:p>
        </w:tc>
      </w:tr>
      <w:tr>
        <w:trPr>
          <w:trHeight w:val="207"/>
        </w:trPr>
        <w:tc>
          <w:tcPr>
            <w:tcW w:w="758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7"/>
        </w:trPr>
        <w:tc>
          <w:tcPr>
            <w:tcW w:w="7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7"/>
        </w:trPr>
        <w:tc>
          <w:tcPr>
            <w:tcW w:w="7580" w:type="dxa"/>
            <w:vAlign w:val="bottom"/>
          </w:tcPr>
          <w:p>
            <w:pPr>
              <w:spacing w:after="0"/>
              <w:rPr>
                <w:sz w:val="20"/>
                <w:szCs w:val="20"/>
                <w:color w:val="auto"/>
              </w:rPr>
            </w:pPr>
            <w:r>
              <w:rPr>
                <w:rFonts w:ascii="Arial" w:cs="Arial" w:eastAsia="Arial" w:hAnsi="Arial"/>
                <w:sz w:val="17"/>
                <w:szCs w:val="17"/>
                <w:color w:val="auto"/>
              </w:rPr>
              <w:t>Purchases of fixed maturity securities</w:t>
            </w: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(11,414,568)</w:t>
            </w: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(14,739,655)</w:t>
            </w:r>
          </w:p>
        </w:tc>
      </w:tr>
      <w:tr>
        <w:trPr>
          <w:trHeight w:val="207"/>
        </w:trPr>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Calls and maturities of fixed maturity securities</w:t>
            </w: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10,740,357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5,780,429</w:t>
            </w:r>
          </w:p>
        </w:tc>
        <w:tc>
          <w:tcPr>
            <w:tcW w:w="100" w:type="dxa"/>
            <w:vAlign w:val="bottom"/>
            <w:shd w:val="clear" w:color="auto" w:fill="CCEEFF"/>
          </w:tcPr>
          <w:p>
            <w:pPr>
              <w:spacing w:after="0"/>
              <w:rPr>
                <w:sz w:val="17"/>
                <w:szCs w:val="17"/>
                <w:color w:val="auto"/>
              </w:rPr>
            </w:pPr>
          </w:p>
        </w:tc>
      </w:tr>
      <w:tr>
        <w:trPr>
          <w:trHeight w:val="207"/>
        </w:trPr>
        <w:tc>
          <w:tcPr>
            <w:tcW w:w="7580" w:type="dxa"/>
            <w:vAlign w:val="bottom"/>
          </w:tcPr>
          <w:p>
            <w:pPr>
              <w:spacing w:after="0"/>
              <w:rPr>
                <w:sz w:val="20"/>
                <w:szCs w:val="20"/>
                <w:color w:val="auto"/>
              </w:rPr>
            </w:pPr>
            <w:r>
              <w:rPr>
                <w:rFonts w:ascii="Arial" w:cs="Arial" w:eastAsia="Arial" w:hAnsi="Arial"/>
                <w:sz w:val="17"/>
                <w:szCs w:val="17"/>
                <w:color w:val="auto"/>
              </w:rPr>
              <w:t>Purchases of equity securities</w:t>
            </w: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(2,124,482)</w:t>
            </w: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(4,662,660)</w:t>
            </w:r>
          </w:p>
        </w:tc>
      </w:tr>
      <w:tr>
        <w:trPr>
          <w:trHeight w:val="207"/>
        </w:trPr>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Sales of equity securities</w:t>
            </w: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1,852,049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8,728,231</w:t>
            </w:r>
          </w:p>
        </w:tc>
        <w:tc>
          <w:tcPr>
            <w:tcW w:w="100" w:type="dxa"/>
            <w:vAlign w:val="bottom"/>
            <w:shd w:val="clear" w:color="auto" w:fill="CCEEFF"/>
          </w:tcPr>
          <w:p>
            <w:pPr>
              <w:spacing w:after="0"/>
              <w:rPr>
                <w:sz w:val="17"/>
                <w:szCs w:val="17"/>
                <w:color w:val="auto"/>
              </w:rPr>
            </w:pPr>
          </w:p>
        </w:tc>
      </w:tr>
      <w:tr>
        <w:trPr>
          <w:trHeight w:val="207"/>
        </w:trPr>
        <w:tc>
          <w:tcPr>
            <w:tcW w:w="7580" w:type="dxa"/>
            <w:vAlign w:val="bottom"/>
          </w:tcPr>
          <w:p>
            <w:pPr>
              <w:spacing w:after="0"/>
              <w:rPr>
                <w:sz w:val="20"/>
                <w:szCs w:val="20"/>
                <w:color w:val="auto"/>
              </w:rPr>
            </w:pPr>
            <w:r>
              <w:rPr>
                <w:rFonts w:ascii="Arial" w:cs="Arial" w:eastAsia="Arial" w:hAnsi="Arial"/>
                <w:sz w:val="17"/>
                <w:szCs w:val="17"/>
                <w:color w:val="auto"/>
              </w:rPr>
              <w:t>Purchases of short-term investments</w:t>
            </w: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(10,545,721)</w:t>
            </w:r>
          </w:p>
        </w:tc>
      </w:tr>
      <w:tr>
        <w:trPr>
          <w:trHeight w:val="207"/>
        </w:trPr>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Sales of short-term investments</w:t>
            </w: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14,657,281</w:t>
            </w:r>
          </w:p>
        </w:tc>
      </w:tr>
      <w:tr>
        <w:trPr>
          <w:trHeight w:val="207"/>
        </w:trPr>
        <w:tc>
          <w:tcPr>
            <w:tcW w:w="7580" w:type="dxa"/>
            <w:vAlign w:val="bottom"/>
          </w:tcPr>
          <w:p>
            <w:pPr>
              <w:spacing w:after="0"/>
              <w:rPr>
                <w:sz w:val="20"/>
                <w:szCs w:val="20"/>
                <w:color w:val="auto"/>
              </w:rPr>
            </w:pPr>
            <w:r>
              <w:rPr>
                <w:rFonts w:ascii="Arial" w:cs="Arial" w:eastAsia="Arial" w:hAnsi="Arial"/>
                <w:sz w:val="17"/>
                <w:szCs w:val="17"/>
                <w:color w:val="auto"/>
              </w:rPr>
              <w:t>Net changes in restricted assets</w:t>
            </w: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165,631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(172,770)</w:t>
            </w:r>
          </w:p>
        </w:tc>
      </w:tr>
      <w:tr>
        <w:trPr>
          <w:trHeight w:val="207"/>
        </w:trPr>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Net changes in perpetual care trusts</w:t>
            </w: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1,670,976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(162,966)</w:t>
            </w:r>
          </w:p>
        </w:tc>
      </w:tr>
      <w:tr>
        <w:trPr>
          <w:trHeight w:val="207"/>
        </w:trPr>
        <w:tc>
          <w:tcPr>
            <w:tcW w:w="7580" w:type="dxa"/>
            <w:vAlign w:val="bottom"/>
          </w:tcPr>
          <w:p>
            <w:pPr>
              <w:spacing w:after="0"/>
              <w:rPr>
                <w:sz w:val="20"/>
                <w:szCs w:val="20"/>
                <w:color w:val="auto"/>
              </w:rPr>
            </w:pPr>
            <w:r>
              <w:rPr>
                <w:rFonts w:ascii="Arial" w:cs="Arial" w:eastAsia="Arial" w:hAnsi="Arial"/>
                <w:sz w:val="17"/>
                <w:szCs w:val="17"/>
                <w:color w:val="auto"/>
              </w:rPr>
              <w:t>Mortgage loans, other investments and policy loans made</w:t>
            </w: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w w:val="96"/>
              </w:rPr>
              <w:t>(251,952,076)</w:t>
            </w: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(225,709,097)</w:t>
            </w:r>
          </w:p>
        </w:tc>
      </w:tr>
      <w:tr>
        <w:trPr>
          <w:trHeight w:val="207"/>
        </w:trPr>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Payments received for mortgage loans, other investments and policy loans</w:t>
            </w: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266,703,802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243,249,202</w:t>
            </w:r>
          </w:p>
        </w:tc>
        <w:tc>
          <w:tcPr>
            <w:tcW w:w="100" w:type="dxa"/>
            <w:vAlign w:val="bottom"/>
            <w:shd w:val="clear" w:color="auto" w:fill="CCEEFF"/>
          </w:tcPr>
          <w:p>
            <w:pPr>
              <w:spacing w:after="0"/>
              <w:rPr>
                <w:sz w:val="17"/>
                <w:szCs w:val="17"/>
                <w:color w:val="auto"/>
              </w:rPr>
            </w:pPr>
          </w:p>
        </w:tc>
      </w:tr>
      <w:tr>
        <w:trPr>
          <w:trHeight w:val="207"/>
        </w:trPr>
        <w:tc>
          <w:tcPr>
            <w:tcW w:w="7580" w:type="dxa"/>
            <w:vAlign w:val="bottom"/>
          </w:tcPr>
          <w:p>
            <w:pPr>
              <w:spacing w:after="0"/>
              <w:rPr>
                <w:sz w:val="20"/>
                <w:szCs w:val="20"/>
                <w:color w:val="auto"/>
              </w:rPr>
            </w:pPr>
            <w:r>
              <w:rPr>
                <w:rFonts w:ascii="Arial" w:cs="Arial" w:eastAsia="Arial" w:hAnsi="Arial"/>
                <w:sz w:val="17"/>
                <w:szCs w:val="17"/>
                <w:color w:val="auto"/>
              </w:rPr>
              <w:t>Purchase of property and equipment</w:t>
            </w: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(662,579)</w:t>
            </w: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(396,225)</w:t>
            </w:r>
          </w:p>
        </w:tc>
      </w:tr>
      <w:tr>
        <w:trPr>
          <w:trHeight w:val="207"/>
        </w:trPr>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Sale of property and equipment</w:t>
            </w: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2,011,700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9,973</w:t>
            </w:r>
          </w:p>
        </w:tc>
      </w:tr>
      <w:tr>
        <w:trPr>
          <w:trHeight w:val="207"/>
        </w:trPr>
        <w:tc>
          <w:tcPr>
            <w:tcW w:w="7580" w:type="dxa"/>
            <w:vAlign w:val="bottom"/>
          </w:tcPr>
          <w:p>
            <w:pPr>
              <w:spacing w:after="0"/>
              <w:rPr>
                <w:sz w:val="20"/>
                <w:szCs w:val="20"/>
                <w:color w:val="auto"/>
              </w:rPr>
            </w:pPr>
            <w:r>
              <w:rPr>
                <w:rFonts w:ascii="Arial" w:cs="Arial" w:eastAsia="Arial" w:hAnsi="Arial"/>
                <w:sz w:val="17"/>
                <w:szCs w:val="17"/>
                <w:color w:val="auto"/>
              </w:rPr>
              <w:t>Purchase of real estate</w:t>
            </w: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(21,152,074)</w:t>
            </w: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(9,792,553)</w:t>
            </w:r>
          </w:p>
        </w:tc>
      </w:tr>
      <w:tr>
        <w:trPr>
          <w:trHeight w:val="207"/>
        </w:trPr>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Sale of real estate</w:t>
            </w: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59,629,788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6,955,785</w:t>
            </w:r>
          </w:p>
        </w:tc>
        <w:tc>
          <w:tcPr>
            <w:tcW w:w="100" w:type="dxa"/>
            <w:vAlign w:val="bottom"/>
            <w:shd w:val="clear" w:color="auto" w:fill="CCEEFF"/>
          </w:tcPr>
          <w:p>
            <w:pPr>
              <w:spacing w:after="0"/>
              <w:rPr>
                <w:sz w:val="17"/>
                <w:szCs w:val="17"/>
                <w:color w:val="auto"/>
              </w:rPr>
            </w:pPr>
          </w:p>
        </w:tc>
      </w:tr>
      <w:tr>
        <w:trPr>
          <w:trHeight w:val="213"/>
        </w:trPr>
        <w:tc>
          <w:tcPr>
            <w:tcW w:w="7580" w:type="dxa"/>
            <w:vAlign w:val="bottom"/>
          </w:tcPr>
          <w:p>
            <w:pPr>
              <w:spacing w:after="0"/>
              <w:rPr>
                <w:sz w:val="20"/>
                <w:szCs w:val="20"/>
                <w:color w:val="auto"/>
              </w:rPr>
            </w:pPr>
            <w:r>
              <w:rPr>
                <w:rFonts w:ascii="Arial" w:cs="Arial" w:eastAsia="Arial" w:hAnsi="Arial"/>
                <w:sz w:val="17"/>
                <w:szCs w:val="17"/>
                <w:color w:val="auto"/>
              </w:rPr>
              <w:t>Cash paid for purchase of subsidiaries, net of cash acquired</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(3,405,783)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13"/>
        </w:trPr>
        <w:tc>
          <w:tcPr>
            <w:tcW w:w="7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Net cash provided by investing activities</w:t>
            </w:r>
          </w:p>
        </w:tc>
        <w:tc>
          <w:tcPr>
            <w:tcW w:w="1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52,062,741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13,199,254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7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7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7"/>
        </w:trPr>
        <w:tc>
          <w:tcPr>
            <w:tcW w:w="7580" w:type="dxa"/>
            <w:vAlign w:val="bottom"/>
          </w:tcPr>
          <w:p>
            <w:pPr>
              <w:spacing w:after="0"/>
              <w:rPr>
                <w:sz w:val="20"/>
                <w:szCs w:val="20"/>
                <w:color w:val="auto"/>
              </w:rPr>
            </w:pPr>
            <w:r>
              <w:rPr>
                <w:rFonts w:ascii="Arial" w:cs="Arial" w:eastAsia="Arial" w:hAnsi="Arial"/>
                <w:sz w:val="17"/>
                <w:szCs w:val="17"/>
                <w:color w:val="auto"/>
              </w:rPr>
              <w:t>Investment contract receipts</w:t>
            </w: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5,727,714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6,619,919</w:t>
            </w:r>
          </w:p>
        </w:tc>
        <w:tc>
          <w:tcPr>
            <w:tcW w:w="100" w:type="dxa"/>
            <w:vAlign w:val="bottom"/>
          </w:tcPr>
          <w:p>
            <w:pPr>
              <w:spacing w:after="0"/>
              <w:rPr>
                <w:sz w:val="17"/>
                <w:szCs w:val="17"/>
                <w:color w:val="auto"/>
              </w:rPr>
            </w:pPr>
          </w:p>
        </w:tc>
      </w:tr>
      <w:tr>
        <w:trPr>
          <w:trHeight w:val="207"/>
        </w:trPr>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Investment contract withdrawals</w:t>
            </w: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(7,755,515)</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(8,281,872)</w:t>
            </w:r>
          </w:p>
        </w:tc>
      </w:tr>
      <w:tr>
        <w:trPr>
          <w:trHeight w:val="207"/>
        </w:trPr>
        <w:tc>
          <w:tcPr>
            <w:tcW w:w="7580" w:type="dxa"/>
            <w:vAlign w:val="bottom"/>
          </w:tcPr>
          <w:p>
            <w:pPr>
              <w:spacing w:after="0"/>
              <w:rPr>
                <w:sz w:val="20"/>
                <w:szCs w:val="20"/>
                <w:color w:val="auto"/>
              </w:rPr>
            </w:pPr>
            <w:r>
              <w:rPr>
                <w:rFonts w:ascii="Arial" w:cs="Arial" w:eastAsia="Arial" w:hAnsi="Arial"/>
                <w:sz w:val="17"/>
                <w:szCs w:val="17"/>
                <w:color w:val="auto"/>
              </w:rPr>
              <w:t>Proceeds from stock options exercised</w:t>
            </w: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41,853</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7"/>
        </w:trPr>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Purchase of treasury stock</w:t>
            </w: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(185,470)</w:t>
            </w:r>
          </w:p>
        </w:tc>
      </w:tr>
      <w:tr>
        <w:trPr>
          <w:trHeight w:val="207"/>
        </w:trPr>
        <w:tc>
          <w:tcPr>
            <w:tcW w:w="7580" w:type="dxa"/>
            <w:vAlign w:val="bottom"/>
          </w:tcPr>
          <w:p>
            <w:pPr>
              <w:spacing w:after="0"/>
              <w:rPr>
                <w:sz w:val="20"/>
                <w:szCs w:val="20"/>
                <w:color w:val="auto"/>
              </w:rPr>
            </w:pPr>
            <w:r>
              <w:rPr>
                <w:rFonts w:ascii="Arial" w:cs="Arial" w:eastAsia="Arial" w:hAnsi="Arial"/>
                <w:sz w:val="17"/>
                <w:szCs w:val="17"/>
                <w:color w:val="auto"/>
              </w:rPr>
              <w:t>Repayment of bank loans</w:t>
            </w: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(27,614,318)</w:t>
            </w: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(1,450,283)</w:t>
            </w:r>
          </w:p>
        </w:tc>
      </w:tr>
      <w:tr>
        <w:trPr>
          <w:trHeight w:val="207"/>
        </w:trPr>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Proceeds from borrowing on bank loans</w:t>
            </w: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11,049,325</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13,785,915</w:t>
            </w:r>
          </w:p>
        </w:tc>
      </w:tr>
      <w:tr>
        <w:trPr>
          <w:trHeight w:val="207"/>
        </w:trPr>
        <w:tc>
          <w:tcPr>
            <w:tcW w:w="7580" w:type="dxa"/>
            <w:vAlign w:val="bottom"/>
          </w:tcPr>
          <w:p>
            <w:pPr>
              <w:spacing w:after="0"/>
              <w:rPr>
                <w:sz w:val="20"/>
                <w:szCs w:val="20"/>
                <w:color w:val="auto"/>
              </w:rPr>
            </w:pPr>
            <w:r>
              <w:rPr>
                <w:rFonts w:ascii="Arial" w:cs="Arial" w:eastAsia="Arial" w:hAnsi="Arial"/>
                <w:sz w:val="17"/>
                <w:szCs w:val="17"/>
                <w:color w:val="auto"/>
              </w:rPr>
              <w:t>Net change in warehouse line borrowings</w:t>
            </w: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21,633,787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(891,035)</w:t>
            </w:r>
          </w:p>
        </w:tc>
      </w:tr>
      <w:tr>
        <w:trPr>
          <w:trHeight w:val="213"/>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change in line of credit borrowings</w:t>
            </w:r>
          </w:p>
        </w:tc>
        <w:tc>
          <w:tcPr>
            <w:tcW w:w="1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46,250,000</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3"/>
        </w:trPr>
        <w:tc>
          <w:tcPr>
            <w:tcW w:w="7580" w:type="dxa"/>
            <w:vAlign w:val="bottom"/>
          </w:tcPr>
          <w:p>
            <w:pPr>
              <w:ind w:left="260"/>
              <w:spacing w:after="0"/>
              <w:rPr>
                <w:sz w:val="20"/>
                <w:szCs w:val="20"/>
                <w:color w:val="auto"/>
              </w:rPr>
            </w:pPr>
            <w:r>
              <w:rPr>
                <w:rFonts w:ascii="Arial" w:cs="Arial" w:eastAsia="Arial" w:hAnsi="Arial"/>
                <w:sz w:val="17"/>
                <w:szCs w:val="17"/>
                <w:color w:val="auto"/>
              </w:rPr>
              <w:t>Net cash provided by financing activities</w:t>
            </w:r>
          </w:p>
        </w:tc>
        <w:tc>
          <w:tcPr>
            <w:tcW w:w="1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49,332,846</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9,597,174</w:t>
            </w:r>
          </w:p>
        </w:tc>
        <w:tc>
          <w:tcPr>
            <w:tcW w:w="100" w:type="dxa"/>
            <w:vAlign w:val="bottom"/>
          </w:tcPr>
          <w:p>
            <w:pPr>
              <w:spacing w:after="0"/>
              <w:rPr>
                <w:sz w:val="18"/>
                <w:szCs w:val="18"/>
                <w:color w:val="auto"/>
              </w:rPr>
            </w:pPr>
          </w:p>
        </w:tc>
      </w:tr>
      <w:tr>
        <w:trPr>
          <w:trHeight w:val="207"/>
        </w:trPr>
        <w:tc>
          <w:tcPr>
            <w:tcW w:w="75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spacing w:after="0"/>
              <w:rPr>
                <w:sz w:val="17"/>
                <w:szCs w:val="17"/>
                <w:color w:val="auto"/>
              </w:rPr>
            </w:pPr>
          </w:p>
        </w:tc>
      </w:tr>
      <w:tr>
        <w:trPr>
          <w:trHeight w:val="213"/>
        </w:trPr>
        <w:tc>
          <w:tcPr>
            <w:tcW w:w="7580" w:type="dxa"/>
            <w:vAlign w:val="bottom"/>
          </w:tcPr>
          <w:p>
            <w:pPr>
              <w:spacing w:after="0"/>
              <w:rPr>
                <w:sz w:val="20"/>
                <w:szCs w:val="20"/>
                <w:color w:val="auto"/>
              </w:rPr>
            </w:pPr>
            <w:r>
              <w:rPr>
                <w:rFonts w:ascii="Arial" w:cs="Arial" w:eastAsia="Arial" w:hAnsi="Arial"/>
                <w:sz w:val="17"/>
                <w:szCs w:val="17"/>
                <w:b w:val="1"/>
                <w:bCs w:val="1"/>
                <w:color w:val="auto"/>
              </w:rPr>
              <w:t>Net change in cash, cash equivalents, restricted cash and restricted cash equivalents</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73,609,055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42,838,477</w:t>
            </w:r>
          </w:p>
        </w:tc>
      </w:tr>
      <w:tr>
        <w:trPr>
          <w:trHeight w:val="207"/>
        </w:trPr>
        <w:tc>
          <w:tcPr>
            <w:tcW w:w="75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7580" w:type="dxa"/>
            <w:vAlign w:val="bottom"/>
          </w:tcPr>
          <w:p>
            <w:pPr>
              <w:spacing w:after="0"/>
              <w:rPr>
                <w:sz w:val="20"/>
                <w:szCs w:val="20"/>
                <w:color w:val="auto"/>
              </w:rPr>
            </w:pPr>
            <w:r>
              <w:rPr>
                <w:rFonts w:ascii="Arial" w:cs="Arial" w:eastAsia="Arial" w:hAnsi="Arial"/>
                <w:sz w:val="17"/>
                <w:szCs w:val="17"/>
                <w:color w:val="auto"/>
              </w:rPr>
              <w:t>Cash, cash equivalents, restricted cash and restricted cash equivalents at beginning of period</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54,501,923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46,942,293</w:t>
            </w:r>
          </w:p>
        </w:tc>
      </w:tr>
      <w:tr>
        <w:trPr>
          <w:trHeight w:val="207"/>
        </w:trPr>
        <w:tc>
          <w:tcPr>
            <w:tcW w:w="75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7"/>
        </w:trPr>
        <w:tc>
          <w:tcPr>
            <w:tcW w:w="7580" w:type="dxa"/>
            <w:vAlign w:val="bottom"/>
          </w:tcPr>
          <w:p>
            <w:pPr>
              <w:spacing w:after="0"/>
              <w:rPr>
                <w:sz w:val="20"/>
                <w:szCs w:val="20"/>
                <w:color w:val="auto"/>
              </w:rPr>
            </w:pPr>
            <w:r>
              <w:rPr>
                <w:rFonts w:ascii="Arial" w:cs="Arial" w:eastAsia="Arial" w:hAnsi="Arial"/>
                <w:sz w:val="17"/>
                <w:szCs w:val="17"/>
                <w:b w:val="1"/>
                <w:bCs w:val="1"/>
                <w:color w:val="auto"/>
              </w:rPr>
              <w:t>Cash, cash equivalents, restricted cash and restricted cash equivalents at end of period</w:t>
            </w:r>
          </w:p>
        </w:tc>
        <w:tc>
          <w:tcPr>
            <w:tcW w:w="13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128,110,978</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89,780,770</w:t>
            </w:r>
          </w:p>
        </w:tc>
      </w:tr>
      <w:tr>
        <w:trPr>
          <w:trHeight w:val="20"/>
        </w:trPr>
        <w:tc>
          <w:tcPr>
            <w:tcW w:w="7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75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7"/>
        </w:trPr>
        <w:tc>
          <w:tcPr>
            <w:tcW w:w="7580" w:type="dxa"/>
            <w:vAlign w:val="bottom"/>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Cash paid (received) during the year for:</w:t>
            </w: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7"/>
        </w:trPr>
        <w:tc>
          <w:tcPr>
            <w:tcW w:w="7580" w:type="dxa"/>
            <w:vAlign w:val="bottom"/>
          </w:tcPr>
          <w:p>
            <w:pPr>
              <w:spacing w:after="0"/>
              <w:rPr>
                <w:sz w:val="20"/>
                <w:szCs w:val="20"/>
                <w:color w:val="auto"/>
              </w:rPr>
            </w:pPr>
            <w:r>
              <w:rPr>
                <w:rFonts w:ascii="Arial" w:cs="Arial" w:eastAsia="Arial" w:hAnsi="Arial"/>
                <w:sz w:val="17"/>
                <w:szCs w:val="17"/>
                <w:color w:val="auto"/>
              </w:rPr>
              <w:t>Interest (net of amount capitalized)</w:t>
            </w:r>
          </w:p>
        </w:tc>
        <w:tc>
          <w:tcPr>
            <w:tcW w:w="13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3,401,874</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2,617,241</w:t>
            </w:r>
          </w:p>
        </w:tc>
        <w:tc>
          <w:tcPr>
            <w:tcW w:w="100" w:type="dxa"/>
            <w:vAlign w:val="bottom"/>
          </w:tcPr>
          <w:p>
            <w:pPr>
              <w:spacing w:after="0"/>
              <w:rPr>
                <w:sz w:val="17"/>
                <w:szCs w:val="17"/>
                <w:color w:val="auto"/>
              </w:rPr>
            </w:pPr>
          </w:p>
        </w:tc>
      </w:tr>
      <w:tr>
        <w:trPr>
          <w:trHeight w:val="207"/>
        </w:trPr>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Income taxes (net of refunds)</w:t>
            </w: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147,327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(804,859)</w:t>
            </w:r>
          </w:p>
        </w:tc>
      </w:tr>
      <w:tr>
        <w:trPr>
          <w:trHeight w:val="207"/>
        </w:trPr>
        <w:tc>
          <w:tcPr>
            <w:tcW w:w="7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7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Non Cash Operating, Investing and Financing Activities:</w:t>
            </w: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7"/>
        </w:trPr>
        <w:tc>
          <w:tcPr>
            <w:tcW w:w="7580" w:type="dxa"/>
            <w:vAlign w:val="bottom"/>
          </w:tcPr>
          <w:p>
            <w:pPr>
              <w:spacing w:after="0"/>
              <w:rPr>
                <w:sz w:val="20"/>
                <w:szCs w:val="20"/>
                <w:color w:val="auto"/>
              </w:rPr>
            </w:pPr>
            <w:r>
              <w:rPr>
                <w:rFonts w:ascii="Arial" w:cs="Arial" w:eastAsia="Arial" w:hAnsi="Arial"/>
                <w:sz w:val="17"/>
                <w:szCs w:val="17"/>
                <w:color w:val="auto"/>
              </w:rPr>
              <w:t>Receivable for maturities of fixed maturity securities</w:t>
            </w:r>
          </w:p>
        </w:tc>
        <w:tc>
          <w:tcPr>
            <w:tcW w:w="13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10,000,000</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7"/>
        </w:trPr>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Benefit plans funded with treasury stock</w:t>
            </w: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697,129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724,542</w:t>
            </w:r>
          </w:p>
        </w:tc>
      </w:tr>
      <w:tr>
        <w:trPr>
          <w:trHeight w:val="207"/>
        </w:trPr>
        <w:tc>
          <w:tcPr>
            <w:tcW w:w="7580" w:type="dxa"/>
            <w:vAlign w:val="bottom"/>
          </w:tcPr>
          <w:p>
            <w:pPr>
              <w:spacing w:after="0"/>
              <w:rPr>
                <w:sz w:val="20"/>
                <w:szCs w:val="20"/>
                <w:color w:val="auto"/>
              </w:rPr>
            </w:pPr>
            <w:r>
              <w:rPr>
                <w:rFonts w:ascii="Arial" w:cs="Arial" w:eastAsia="Arial" w:hAnsi="Arial"/>
                <w:sz w:val="17"/>
                <w:szCs w:val="17"/>
                <w:color w:val="auto"/>
              </w:rPr>
              <w:t>Accrued real estate construction costs and retainage</w:t>
            </w: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681,167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3,013,225</w:t>
            </w:r>
          </w:p>
        </w:tc>
        <w:tc>
          <w:tcPr>
            <w:tcW w:w="100" w:type="dxa"/>
            <w:vAlign w:val="bottom"/>
          </w:tcPr>
          <w:p>
            <w:pPr>
              <w:spacing w:after="0"/>
              <w:rPr>
                <w:sz w:val="17"/>
                <w:szCs w:val="17"/>
                <w:color w:val="auto"/>
              </w:rPr>
            </w:pPr>
          </w:p>
        </w:tc>
      </w:tr>
      <w:tr>
        <w:trPr>
          <w:trHeight w:val="207"/>
        </w:trPr>
        <w:tc>
          <w:tcPr>
            <w:tcW w:w="7580" w:type="dxa"/>
            <w:vAlign w:val="bottom"/>
            <w:shd w:val="clear" w:color="auto" w:fill="CCEEFF"/>
          </w:tcPr>
          <w:p>
            <w:pPr>
              <w:spacing w:after="0"/>
              <w:rPr>
                <w:sz w:val="20"/>
                <w:szCs w:val="20"/>
                <w:color w:val="auto"/>
              </w:rPr>
            </w:pPr>
            <w:r>
              <w:rPr>
                <w:rFonts w:ascii="Arial" w:cs="Arial" w:eastAsia="Arial" w:hAnsi="Arial"/>
                <w:sz w:val="17"/>
                <w:szCs w:val="17"/>
                <w:color w:val="auto"/>
              </w:rPr>
              <w:t>Mortgage loans foreclosed into real estate</w:t>
            </w: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565,341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1,345,213</w:t>
            </w:r>
          </w:p>
        </w:tc>
        <w:tc>
          <w:tcPr>
            <w:tcW w:w="100" w:type="dxa"/>
            <w:vAlign w:val="bottom"/>
            <w:shd w:val="clear" w:color="auto" w:fill="CCEEFF"/>
          </w:tcPr>
          <w:p>
            <w:pPr>
              <w:spacing w:after="0"/>
              <w:rPr>
                <w:sz w:val="17"/>
                <w:szCs w:val="17"/>
                <w:color w:val="auto"/>
              </w:rPr>
            </w:pPr>
          </w:p>
        </w:tc>
      </w:tr>
      <w:tr>
        <w:trPr>
          <w:trHeight w:val="219"/>
        </w:trPr>
        <w:tc>
          <w:tcPr>
            <w:tcW w:w="7580" w:type="dxa"/>
            <w:vAlign w:val="bottom"/>
          </w:tcPr>
          <w:p>
            <w:pPr>
              <w:spacing w:after="0"/>
              <w:rPr>
                <w:sz w:val="20"/>
                <w:szCs w:val="20"/>
                <w:color w:val="auto"/>
              </w:rPr>
            </w:pPr>
            <w:r>
              <w:rPr>
                <w:rFonts w:ascii="Arial" w:cs="Arial" w:eastAsia="Arial" w:hAnsi="Arial"/>
                <w:sz w:val="17"/>
                <w:szCs w:val="17"/>
                <w:color w:val="auto"/>
              </w:rPr>
              <w:t>Transfer of loans held for sale to mortgage loans held for investment</w:t>
            </w: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139,464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5,032,147</w:t>
            </w:r>
          </w:p>
        </w:tc>
        <w:tc>
          <w:tcPr>
            <w:tcW w:w="100" w:type="dxa"/>
            <w:vAlign w:val="bottom"/>
          </w:tcPr>
          <w:p>
            <w:pPr>
              <w:spacing w:after="0"/>
              <w:rPr>
                <w:sz w:val="19"/>
                <w:szCs w:val="19"/>
                <w:color w:val="auto"/>
              </w:rPr>
            </w:pPr>
          </w:p>
        </w:tc>
      </w:tr>
      <w:tr>
        <w:trPr>
          <w:trHeight w:val="828"/>
        </w:trPr>
        <w:tc>
          <w:tcPr>
            <w:tcW w:w="7580" w:type="dxa"/>
            <w:vAlign w:val="bottom"/>
          </w:tcPr>
          <w:p>
            <w:pPr>
              <w:ind w:left="5680"/>
              <w:spacing w:after="0"/>
              <w:rPr>
                <w:sz w:val="20"/>
                <w:szCs w:val="20"/>
                <w:color w:val="auto"/>
              </w:rPr>
            </w:pPr>
            <w:r>
              <w:rPr>
                <w:rFonts w:ascii="Arial" w:cs="Arial" w:eastAsia="Arial" w:hAnsi="Arial"/>
                <w:sz w:val="14"/>
                <w:szCs w:val="14"/>
                <w:color w:val="auto"/>
              </w:rPr>
              <w:t>8</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
        </w:trPr>
        <w:tc>
          <w:tcPr>
            <w:tcW w:w="75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2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color w:val="auto"/>
        </w:rPr>
        <w:t>SECURITY NATIONAL FINANCIAL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STATEMENTS OF CASH FLOWS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57"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Reconciliation of cash, cash equivalents, restricted cash and restricted cash equivalents as shown in the condensed consolidated statements of cash flows is presented in the table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20" w:type="dxa"/>
            <w:vAlign w:val="bottom"/>
            <w:gridSpan w:val="5"/>
          </w:tcPr>
          <w:p>
            <w:pPr>
              <w:jc w:val="right"/>
              <w:ind w:right="440"/>
              <w:spacing w:after="0"/>
              <w:rPr>
                <w:sz w:val="20"/>
                <w:szCs w:val="20"/>
                <w:color w:val="auto"/>
              </w:rPr>
            </w:pPr>
            <w:r>
              <w:rPr>
                <w:rFonts w:ascii="Arial" w:cs="Arial" w:eastAsia="Arial" w:hAnsi="Arial"/>
                <w:sz w:val="17"/>
                <w:szCs w:val="17"/>
                <w:color w:val="auto"/>
                <w:w w:val="96"/>
              </w:rPr>
              <w:t>Six Months Ended June 30</w:t>
            </w:r>
          </w:p>
        </w:tc>
      </w:tr>
      <w:tr>
        <w:trPr>
          <w:trHeight w:val="213"/>
        </w:trPr>
        <w:tc>
          <w:tcPr>
            <w:tcW w:w="7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7"/>
                <w:szCs w:val="17"/>
                <w:color w:val="auto"/>
              </w:rPr>
              <w:t>2018</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8"/>
                <w:szCs w:val="18"/>
                <w:color w:val="auto"/>
              </w:rPr>
            </w:pPr>
          </w:p>
        </w:tc>
      </w:tr>
      <w:tr>
        <w:trPr>
          <w:trHeight w:val="207"/>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118,705,581</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82,258,418</w:t>
            </w:r>
          </w:p>
        </w:tc>
        <w:tc>
          <w:tcPr>
            <w:tcW w:w="100" w:type="dxa"/>
            <w:vAlign w:val="bottom"/>
            <w:shd w:val="clear" w:color="auto" w:fill="CCEEFF"/>
          </w:tcPr>
          <w:p>
            <w:pPr>
              <w:spacing w:after="0"/>
              <w:rPr>
                <w:sz w:val="17"/>
                <w:szCs w:val="17"/>
                <w:color w:val="auto"/>
              </w:rPr>
            </w:pPr>
          </w:p>
        </w:tc>
      </w:tr>
      <w:tr>
        <w:trPr>
          <w:trHeight w:val="207"/>
        </w:trPr>
        <w:tc>
          <w:tcPr>
            <w:tcW w:w="7340" w:type="dxa"/>
            <w:vAlign w:val="bottom"/>
          </w:tcPr>
          <w:p>
            <w:pPr>
              <w:spacing w:after="0"/>
              <w:rPr>
                <w:sz w:val="20"/>
                <w:szCs w:val="20"/>
                <w:color w:val="auto"/>
              </w:rPr>
            </w:pPr>
            <w:r>
              <w:rPr>
                <w:rFonts w:ascii="Arial" w:cs="Arial" w:eastAsia="Arial" w:hAnsi="Arial"/>
                <w:sz w:val="17"/>
                <w:szCs w:val="17"/>
                <w:color w:val="auto"/>
              </w:rPr>
              <w:t>Restricted assets</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7,886,262</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6,681,375</w:t>
            </w:r>
          </w:p>
        </w:tc>
        <w:tc>
          <w:tcPr>
            <w:tcW w:w="100" w:type="dxa"/>
            <w:vAlign w:val="bottom"/>
          </w:tcPr>
          <w:p>
            <w:pPr>
              <w:spacing w:after="0"/>
              <w:rPr>
                <w:sz w:val="17"/>
                <w:szCs w:val="17"/>
                <w:color w:val="auto"/>
              </w:rPr>
            </w:pPr>
          </w:p>
        </w:tc>
      </w:tr>
      <w:tr>
        <w:trPr>
          <w:trHeight w:val="213"/>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Cemetery perpetual care trust investments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1,519,135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840,977</w:t>
            </w:r>
          </w:p>
        </w:tc>
      </w:tr>
      <w:tr>
        <w:trPr>
          <w:trHeight w:val="207"/>
        </w:trPr>
        <w:tc>
          <w:tcPr>
            <w:tcW w:w="734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47"/>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Total cash, cash equivalents, restricted cash and restricted cash equivalents</w:t>
            </w:r>
          </w:p>
        </w:tc>
        <w:tc>
          <w:tcPr>
            <w:tcW w:w="1660" w:type="dxa"/>
            <w:vAlign w:val="bottom"/>
            <w:gridSpan w:val="2"/>
            <w:shd w:val="clear" w:color="auto" w:fill="CCEEFF"/>
          </w:tcPr>
          <w:p>
            <w:pPr>
              <w:jc w:val="right"/>
              <w:ind w:right="45"/>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9"/>
              </w:rPr>
              <w:t>128,110,978</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89,780,770</w:t>
            </w:r>
          </w:p>
        </w:tc>
      </w:tr>
      <w:tr>
        <w:trPr>
          <w:trHeight w:val="457"/>
        </w:trPr>
        <w:tc>
          <w:tcPr>
            <w:tcW w:w="734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See accompanying notes to condensed consolidated financial statements (unaudited).</w:t>
            </w:r>
          </w:p>
        </w:tc>
        <w:tc>
          <w:tcPr>
            <w:tcW w:w="146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324"/>
        </w:trPr>
        <w:tc>
          <w:tcPr>
            <w:tcW w:w="7340" w:type="dxa"/>
            <w:vAlign w:val="bottom"/>
          </w:tcPr>
          <w:p>
            <w:pPr>
              <w:ind w:left="5680"/>
              <w:spacing w:after="0"/>
              <w:rPr>
                <w:sz w:val="20"/>
                <w:szCs w:val="20"/>
                <w:color w:val="auto"/>
              </w:rPr>
            </w:pPr>
            <w:r>
              <w:rPr>
                <w:rFonts w:ascii="Arial" w:cs="Arial" w:eastAsia="Arial" w:hAnsi="Arial"/>
                <w:sz w:val="14"/>
                <w:szCs w:val="14"/>
                <w:color w:val="auto"/>
              </w:rPr>
              <w:t>9</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
        </w:trPr>
        <w:tc>
          <w:tcPr>
            <w:tcW w:w="7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385" w:right="239" w:bottom="1440" w:gutter="0" w:footer="0" w:header="0"/>
        </w:sectPr>
      </w:pPr>
    </w:p>
    <w:bookmarkStart w:id="9" w:name="page10"/>
    <w:bookmarkEnd w:id="9"/>
    <w:p>
      <w:pPr>
        <w:ind w:left="2920"/>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4"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Notes to Condensed Consolidated Financial Statements</w:t>
      </w:r>
    </w:p>
    <w:p>
      <w:pPr>
        <w:spacing w:after="0" w:line="11"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June 30, 2018 (Unaudited)</w:t>
      </w:r>
    </w:p>
    <w:p>
      <w:pPr>
        <w:spacing w:after="0" w:line="11" w:lineRule="exact"/>
        <w:rPr>
          <w:sz w:val="20"/>
          <w:szCs w:val="20"/>
          <w:color w:val="auto"/>
        </w:rPr>
      </w:pPr>
    </w:p>
    <w:p>
      <w:pPr>
        <w:ind w:left="620" w:hanging="61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Basis of Presentation</w:t>
      </w:r>
    </w:p>
    <w:p>
      <w:pPr>
        <w:spacing w:after="0" w:line="257" w:lineRule="exact"/>
        <w:rPr>
          <w:sz w:val="20"/>
          <w:szCs w:val="20"/>
          <w:color w:val="auto"/>
        </w:rPr>
      </w:pPr>
    </w:p>
    <w:p>
      <w:pPr>
        <w:jc w:val="both"/>
        <w:spacing w:after="0" w:line="208" w:lineRule="exact"/>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for interim financial information and with the instructions to Form 10</w:t>
      </w:r>
      <w:r>
        <w:rPr>
          <w:rFonts w:ascii="MS PGothic" w:cs="MS PGothic" w:eastAsia="MS PGothic" w:hAnsi="MS PGothic"/>
          <w:sz w:val="17"/>
          <w:szCs w:val="17"/>
          <w:color w:val="auto"/>
        </w:rPr>
        <w:t>‑</w:t>
      </w:r>
      <w:r>
        <w:rPr>
          <w:rFonts w:ascii="Arial" w:cs="Arial" w:eastAsia="Arial" w:hAnsi="Arial"/>
          <w:sz w:val="17"/>
          <w:szCs w:val="17"/>
          <w:color w:val="auto"/>
        </w:rPr>
        <w:t>Q and Articles 8 and 10 of Regulation S</w:t>
      </w:r>
      <w:r>
        <w:rPr>
          <w:rFonts w:ascii="MS PGothic" w:cs="MS PGothic" w:eastAsia="MS PGothic" w:hAnsi="MS PGothic"/>
          <w:sz w:val="17"/>
          <w:szCs w:val="17"/>
          <w:color w:val="auto"/>
        </w:rPr>
        <w:t>‑</w:t>
      </w:r>
      <w:r>
        <w:rPr>
          <w:rFonts w:ascii="Arial" w:cs="Arial" w:eastAsia="Arial" w:hAnsi="Arial"/>
          <w:sz w:val="17"/>
          <w:szCs w:val="17"/>
          <w:color w:val="auto"/>
        </w:rPr>
        <w:t>X. Accordingly, they do not include all of the information and disclosures required by accounting principles generally accepted in the United States of America for complete financial statements. These financial statements should be read in conjunction with the consolidated financial statements of the Company and notes thereto for the year ended December 31, 2017, included in the Company's Annual Report on Form 10-K (file number 000-09341). In the opinion of management, all adjustments (consisting of normal recurring accruals) considered necessary for a fair presentation have been included. Operating results for the six months ended June 30, 2018 are not necessarily indicative of the results that may be expected for the year ending December 31, 2018. The presentation of certain amounts in the prior year have been reclassified to conform to the 2018 presentation.</w:t>
      </w:r>
    </w:p>
    <w:p>
      <w:pPr>
        <w:spacing w:after="0" w:line="251" w:lineRule="exact"/>
        <w:rPr>
          <w:sz w:val="20"/>
          <w:szCs w:val="20"/>
          <w:color w:val="auto"/>
        </w:rPr>
      </w:pPr>
    </w:p>
    <w:p>
      <w:pPr>
        <w:jc w:val="both"/>
        <w:spacing w:after="0" w:line="352"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of America requires management to make estimates and assumptions that affect the amounts reported in the financial statements and accompanying notes. Actual results could differ from those estimates.</w:t>
      </w:r>
    </w:p>
    <w:p>
      <w:pPr>
        <w:spacing w:after="0" w:line="16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value of mortgage loans foreclosed to real estate held for investment; those used in determining the liability for future policy benefits and unearned revenue; those used in determining the estimated future costs for pre-need sales; those used in determining the value of mortgage servicing rights; those used in determining allowances for loan losses for mortgage loans held for investment; those used in determining loan loss reserve; and those used in determining deferred tax assets and liabilities. Although some variability is inherent in these estimates, management believes the amounts provided are fairly stated in all material respects.</w:t>
      </w:r>
    </w:p>
    <w:p>
      <w:pPr>
        <w:spacing w:after="0" w:line="220" w:lineRule="exact"/>
        <w:rPr>
          <w:sz w:val="20"/>
          <w:szCs w:val="20"/>
          <w:color w:val="auto"/>
        </w:rPr>
      </w:pPr>
    </w:p>
    <w:p>
      <w:pPr>
        <w:ind w:left="620" w:hanging="61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Recent Accounting Pronouncements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Standards Adopted in 2018</w:t>
      </w:r>
    </w:p>
    <w:p>
      <w:pPr>
        <w:spacing w:after="0" w:line="27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u w:val="single" w:color="auto"/>
          <w:color w:val="auto"/>
        </w:rPr>
        <w:t>Accounting Standards Update ("ASU") No. 2017-01: "Business Combinations (Topic 805): Clarifying the Definition of a Business"</w:t>
      </w:r>
      <w:r>
        <w:rPr>
          <w:rFonts w:ascii="Arial" w:cs="Arial" w:eastAsia="Arial" w:hAnsi="Arial"/>
          <w:sz w:val="16"/>
          <w:szCs w:val="16"/>
          <w:color w:val="auto"/>
        </w:rPr>
        <w:t xml:space="preserve"> – Issued in January 2017, ASU 2017-01 intends to clarify the definition of a business with the objective of adding guidance to assist entities with evaluating whether transactions should be accounted for as acquisitions (or disposals) of assets or businesses. Under the current implementation guidance in Topic 805, there are three elements of a business: inputs, processes, and outputs. While an integrated set of assets and activities, collectively referred to as a "set," that is a business usually has outputs, outputs are not required to be present. ASU 2017-01 provides a screen to determine when a set is not a business. The screen requires that when substantially all of the fair value of the gross assets acquired (or disposed of) is concentrated in a single identifiable asset or a group of similar identifiable assets, the set is not a business. While the Company's acquisitions have historically been classified as either business combinations or asset acquisitions, certain acquisitions that were classified as business combinations by the Company would have been considered asset acquisitions under the new standard. As a result, transaction costs may be capitalized more often since the Company expects some of its future acquisitions to be classified as asset acquisitions under this new standard. In addition, goodwill that was previously allocated to businesses that were sold or held for sale will no longer be allocated and written off upon sale if future sales were deemed to be sales of assets and not businesses. ASU 2017-01 was adopted by the Company on January 1, 2018 and it will be applied prospectively to transactions occurring after the adoption date, as applicable.</w:t>
      </w:r>
    </w:p>
    <w:p>
      <w:pPr>
        <w:spacing w:after="0" w:line="2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u w:val="single" w:color="auto"/>
          <w:color w:val="auto"/>
        </w:rPr>
        <w:t>ASU No. 2016-18: "Statement of Cash Flows (Topic 230): Restricted Cash"</w:t>
      </w:r>
      <w:r>
        <w:rPr>
          <w:rFonts w:ascii="Arial" w:cs="Arial" w:eastAsia="Arial" w:hAnsi="Arial"/>
          <w:sz w:val="16"/>
          <w:szCs w:val="16"/>
          <w:color w:val="auto"/>
        </w:rPr>
        <w:t xml:space="preserve"> – Issued in November 2016, ASU 2016-18 requires restricted cash and cash equivalents to be included with cash and cash equivalents in the consolidated statement of cash flows and disclose the nature of the restrictions on cash and cash equivalents. The Company currently discloses the restrictions on cash and cash equivalents in Note 8 of the Notes to Consolidated Financial Statements in the Company's Annual Report on Form 10-K and will continue these disclosures. Note 8 also discloses the components of the Company's restricted assets and cemetery perpetual care trust investments which include restricted cash and cash equivalents. ASU 2016-18 was adopted by the Company on January 1, 2018. The Company previously presented changes in restricted cash and cash equivalents under investing activities on the consolidated statements of cash flows. Upon adoption of ASU 2016-18, the Company amended the presentation in the consolidated statements of cash flows to include the restricted cash and cash equivalents with cash and cash equivalents and retrospectively reclassified all periods presented. The adoption of this standard does not impact the Company's total cash and cash equivalents but is a change in presentation within the consolidated statements of cash flows.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 w:name="page11"/>
    <w:bookmarkEnd w:id="10"/>
    <w:p>
      <w:pPr>
        <w:ind w:left="2920"/>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4"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Notes to Condensed Consolidated Financial Statements</w:t>
      </w:r>
    </w:p>
    <w:p>
      <w:pPr>
        <w:spacing w:after="0" w:line="11"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June 30, 2018 (Unaudited)</w:t>
      </w:r>
    </w:p>
    <w:p>
      <w:pPr>
        <w:spacing w:after="0" w:line="257" w:lineRule="exact"/>
        <w:rPr>
          <w:sz w:val="20"/>
          <w:szCs w:val="20"/>
          <w:color w:val="auto"/>
        </w:rPr>
      </w:pPr>
    </w:p>
    <w:p>
      <w:pPr>
        <w:ind w:left="620" w:hanging="61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Recent Accounting Pronouncements</w:t>
      </w:r>
      <w:r>
        <w:rPr>
          <w:rFonts w:ascii="Arial" w:cs="Arial" w:eastAsia="Arial" w:hAnsi="Arial"/>
          <w:sz w:val="17"/>
          <w:szCs w:val="17"/>
          <w:color w:val="auto"/>
        </w:rPr>
        <w:t xml:space="preserve"> (Continued)</w:t>
      </w:r>
    </w:p>
    <w:p>
      <w:pPr>
        <w:spacing w:after="0" w:line="200" w:lineRule="exact"/>
        <w:rPr>
          <w:sz w:val="20"/>
          <w:szCs w:val="20"/>
          <w:color w:val="auto"/>
        </w:rPr>
      </w:pPr>
    </w:p>
    <w:p>
      <w:pPr>
        <w:spacing w:after="0" w:line="328" w:lineRule="exact"/>
        <w:rPr>
          <w:sz w:val="20"/>
          <w:szCs w:val="20"/>
          <w:color w:val="auto"/>
        </w:rPr>
      </w:pPr>
    </w:p>
    <w:p>
      <w:pPr>
        <w:jc w:val="both"/>
        <w:spacing w:after="0" w:line="294" w:lineRule="auto"/>
        <w:rPr>
          <w:sz w:val="20"/>
          <w:szCs w:val="20"/>
          <w:color w:val="auto"/>
        </w:rPr>
      </w:pPr>
      <w:r>
        <w:rPr>
          <w:rFonts w:ascii="Arial" w:cs="Arial" w:eastAsia="Arial" w:hAnsi="Arial"/>
          <w:sz w:val="15"/>
          <w:szCs w:val="15"/>
          <w:u w:val="single" w:color="auto"/>
          <w:color w:val="auto"/>
        </w:rPr>
        <w:t>ASU No. 2016-01: "Financial Instruments – Overall (Topic 825-10)"</w:t>
      </w:r>
      <w:r>
        <w:rPr>
          <w:rFonts w:ascii="Arial" w:cs="Arial" w:eastAsia="Arial" w:hAnsi="Arial"/>
          <w:sz w:val="15"/>
          <w:szCs w:val="15"/>
          <w:color w:val="auto"/>
        </w:rPr>
        <w:t xml:space="preserve"> – Issued in January 2016, ASU 2016-01 changes the accounting for non-consolidated equity investments that are not accounted for under the equity method of accounting by requiring changes in fair value to be recognized in income. The Company adopted this standard on January 1, 2018 using the modified retrospective approach with the cumulative effect of the adoption made to the balance sheet as of the date of adoption. Thus, the adoption resulted in a reclassification of the related accumulated net unrealized gains of $603,170 included in accumulated other comprehensive income as of December 31, 2017 to retained earnings. Under previous guidance, changes in fair value for investments of this nature were recognized in accumulated other comprehensive income as a component of stockholders' equity. Additionally, ASU 2016-01 simplifies the impairment assessment of equity investments without readily determinable fair values; requires entities to use the exit price when estimating the fair value of financial instruments; and modifies various presentation disclosure requirements for financial instruments. The Company holds equity securities that were previously measured at fair value with changes in fair value recognized through other comprehensive income. Upon adoption of ASU 2016-01 the Company now recognizes the changes in the fair value of these equity securities through earnings as part of gains on investments and other assets on the condensed consolidated statements of earnings, thus increasing the volatility of the Company's earnings. The adoption of this standard does not significantly affect the Company's comprehensive income or stockholders' equity.</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u w:val="single" w:color="auto"/>
          <w:color w:val="auto"/>
        </w:rPr>
        <w:t>ASU No. 2014-09: "Revenue from Contracts with Customers (Topic 606)"</w:t>
      </w:r>
      <w:r>
        <w:rPr>
          <w:rFonts w:ascii="Arial" w:cs="Arial" w:eastAsia="Arial" w:hAnsi="Arial"/>
          <w:sz w:val="17"/>
          <w:szCs w:val="17"/>
          <w:color w:val="auto"/>
        </w:rPr>
        <w:t xml:space="preserve"> - Issued in May 2014, ASU 2014-09 supersedes the revenue recognition requirements in ASC Topic 605, "Revenue Recognition". ASU 2014-09 clarifies the principles for recognizing revenue in order to improve comparability of revenue recognition practices across entities and industries. ASU 2014-09 provides guidance to assist in the identification of contracts with customers and separate performance obligations within those contracts, the determination and allocation of the transaction price to those identified performance obligations and the recognition of revenue when a performance obligation has been satisfied. ASU 2014-09 also requires disclosures regarding the nature, amount, timing, and uncertainty of revenues and cash flows from contracts with customers. Premiums and related fees from insurance contracts and mortgage banking revenues are excluded from the scope of this new guidance.</w:t>
      </w:r>
    </w:p>
    <w:p>
      <w:pPr>
        <w:spacing w:after="0" w:line="235"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The Company adopted this standard on January 1, 2018 using a modified retrospective approach. No cumulative effect adjustment was made to beginning retained earnings. The Company's revenues from contracts with customers that are subject to ASU 2014-09 include revenues on mortuary and cemetery contracts, which is less than 5% of the Company's total revenues. The recognition and measurement of these items did not change as a result of the Company's adoption of ASU 2014-09 and thus the adoption of ASU 2014-09 does not significantly impact the Company's condensed consolidated statements of earnings or condensed consolidated statements of cash flows. The Company reclassified $856,479 of amounts due from customers for unfulfilled performance obligations on cancelable pre-need contracts from Receivables, net to Deferred pre-need cemetery and mortuary contract revenues on the Company's condensed consolidated balance sheets.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standard primarily impacts the manner in which the Company recognizes a) certain nonrefundable up-front fees and b) incremental costs to acquire new pre-need funeral trust contracts and pre-need and at-need cemetery contracts (i.e., selling costs). The nonrefundable fees will continue to be deferred and recognized as revenue when the underlying goods and services are delivered to the customer. The incremental selling costs will continue to be deferred and amortized by specific identification to the delivery of the underlying goods and services. Additionally, the amounts due from customers for undelivered performance obligations on cancelable pre-need contracts represent contract assets, which are required to be netted with deferred pre-need cemetery and mortuary contract revenues, instead of receivables on the Company's consolidated balance sheets.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1" w:name="page12"/>
    <w:bookmarkEnd w:id="11"/>
    <w:p>
      <w:pPr>
        <w:ind w:left="2920"/>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4"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Notes to Condensed Consolidated Financial Statements</w:t>
      </w:r>
    </w:p>
    <w:p>
      <w:pPr>
        <w:spacing w:after="0" w:line="11"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June 30, 2018 (Unaudited)</w:t>
      </w:r>
    </w:p>
    <w:p>
      <w:pPr>
        <w:spacing w:after="0" w:line="200" w:lineRule="exact"/>
        <w:rPr>
          <w:sz w:val="20"/>
          <w:szCs w:val="20"/>
          <w:color w:val="auto"/>
        </w:rPr>
      </w:pPr>
    </w:p>
    <w:p>
      <w:pPr>
        <w:spacing w:after="0" w:line="332" w:lineRule="exact"/>
        <w:rPr>
          <w:sz w:val="20"/>
          <w:szCs w:val="20"/>
          <w:color w:val="auto"/>
        </w:rPr>
      </w:pPr>
    </w:p>
    <w:p>
      <w:pPr>
        <w:ind w:left="640" w:hanging="637"/>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17"/>
          <w:szCs w:val="17"/>
          <w:u w:val="single" w:color="auto"/>
          <w:color w:val="auto"/>
        </w:rPr>
        <w:t>Recent Accounting Pronouncements</w:t>
      </w:r>
      <w:r>
        <w:rPr>
          <w:rFonts w:ascii="Arial" w:cs="Arial" w:eastAsia="Arial" w:hAnsi="Arial"/>
          <w:sz w:val="17"/>
          <w:szCs w:val="17"/>
          <w:color w:val="auto"/>
        </w:rPr>
        <w:t xml:space="preserve"> (Continued)</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Standards Issued But Not Yet Adopted</w:t>
      </w:r>
    </w:p>
    <w:p>
      <w:pPr>
        <w:spacing w:after="0" w:line="276" w:lineRule="exact"/>
        <w:rPr>
          <w:sz w:val="20"/>
          <w:szCs w:val="20"/>
          <w:color w:val="auto"/>
        </w:rPr>
      </w:pPr>
    </w:p>
    <w:p>
      <w:pPr>
        <w:jc w:val="both"/>
        <w:spacing w:after="0" w:line="298" w:lineRule="auto"/>
        <w:rPr>
          <w:sz w:val="20"/>
          <w:szCs w:val="20"/>
          <w:color w:val="auto"/>
        </w:rPr>
      </w:pPr>
      <w:r>
        <w:rPr>
          <w:rFonts w:ascii="Arial" w:cs="Arial" w:eastAsia="Arial" w:hAnsi="Arial"/>
          <w:sz w:val="15"/>
          <w:szCs w:val="15"/>
          <w:u w:val="single" w:color="auto"/>
          <w:color w:val="auto"/>
        </w:rPr>
        <w:t>ASU No. 2016-13: "Financial Instruments – Credit Losses (Topic 326)"</w:t>
      </w:r>
      <w:r>
        <w:rPr>
          <w:rFonts w:ascii="Arial" w:cs="Arial" w:eastAsia="Arial" w:hAnsi="Arial"/>
          <w:sz w:val="15"/>
          <w:szCs w:val="15"/>
          <w:color w:val="auto"/>
        </w:rPr>
        <w:t xml:space="preserve"> – Issued in June 2016, ASU 2016-13 amends guidance on reporting credit losses for assets held at amortized cost basis (such as mortgage loans and held to maturity debt securities) and available for sale debt securities. For assets held at amortized cost basis, Topic 326 eliminates the probable initial recognition threshold in current general accepted accounting principles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write-down. The new authoritative guidance will be effective for the Company on January 1, 2020. The Company is in the process of evaluating the potential impact of this standard.</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u w:val="single" w:color="auto"/>
          <w:color w:val="auto"/>
        </w:rPr>
        <w:t>ASU No. 2016-02: "Leases (Topic 842)"</w:t>
      </w:r>
      <w:r>
        <w:rPr>
          <w:rFonts w:ascii="Arial" w:cs="Arial" w:eastAsia="Arial" w:hAnsi="Arial"/>
          <w:sz w:val="17"/>
          <w:szCs w:val="17"/>
          <w:color w:val="auto"/>
        </w:rPr>
        <w:t xml:space="preserve"> - Issued in February 2016, ASU 2016-02 supersedes the requirements in Accounting Standards Codification ("ASC") Topic 840, "Leases", and was issued to increase transparency and comparability among organizations by recognizing lease assets and lease liabilities on the balance sheet and disclosing key information about leasing arrangements. The new authoritative guidance will be effective for the Company on January 1, 2019. The Company is in the process of evaluating the potential impact of this standard, which is not expected to be material to the Company's results of operations but will have an effect on the balance sheet presentation for leased assets and obligations.</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Company has reviewed other recent accounting pronouncements and has determined that they will not significantly impact the Company's results of operations or financial position.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 w:name="page13"/>
    <w:bookmarkEnd w:id="12"/>
    <w:p>
      <w:pPr>
        <w:ind w:left="2920"/>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4"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Notes to Condensed Consolidated Financial Statements</w:t>
      </w:r>
    </w:p>
    <w:p>
      <w:pPr>
        <w:spacing w:after="0" w:line="11"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June 30, 2018 (Unaudited)</w:t>
      </w:r>
    </w:p>
    <w:p>
      <w:pPr>
        <w:spacing w:after="0" w:line="200" w:lineRule="exact"/>
        <w:rPr>
          <w:sz w:val="20"/>
          <w:szCs w:val="20"/>
          <w:color w:val="auto"/>
        </w:rPr>
      </w:pPr>
    </w:p>
    <w:p>
      <w:pPr>
        <w:spacing w:after="0" w:line="315" w:lineRule="exact"/>
        <w:rPr>
          <w:sz w:val="20"/>
          <w:szCs w:val="20"/>
          <w:color w:val="auto"/>
        </w:rPr>
      </w:pPr>
    </w:p>
    <w:p>
      <w:pPr>
        <w:ind w:left="620" w:hanging="61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Investments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investments as of June 30, 2018 are summarized as follows: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74"/>
              <w:spacing w:after="0"/>
              <w:rPr>
                <w:sz w:val="20"/>
                <w:szCs w:val="20"/>
                <w:color w:val="auto"/>
              </w:rPr>
            </w:pPr>
            <w:r>
              <w:rPr>
                <w:rFonts w:ascii="Arial" w:cs="Arial" w:eastAsia="Arial" w:hAnsi="Arial"/>
                <w:sz w:val="17"/>
                <w:szCs w:val="17"/>
                <w:color w:val="auto"/>
              </w:rPr>
              <w:t>Gross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7"/>
                <w:szCs w:val="17"/>
                <w:color w:val="auto"/>
                <w:w w:val="88"/>
              </w:rPr>
              <w:t>Gross</w:t>
            </w:r>
          </w:p>
        </w:tc>
        <w:tc>
          <w:tcPr>
            <w:tcW w:w="80" w:type="dxa"/>
            <w:vAlign w:val="bottom"/>
          </w:tcPr>
          <w:p>
            <w:pPr>
              <w:spacing w:after="0"/>
              <w:rPr>
                <w:sz w:val="17"/>
                <w:szCs w:val="17"/>
                <w:color w:val="auto"/>
              </w:rPr>
            </w:pPr>
          </w:p>
        </w:tc>
        <w:tc>
          <w:tcPr>
            <w:tcW w:w="880" w:type="dxa"/>
            <w:vAlign w:val="bottom"/>
          </w:tcPr>
          <w:p>
            <w:pPr>
              <w:jc w:val="center"/>
              <w:ind w:right="14"/>
              <w:spacing w:after="0"/>
              <w:rPr>
                <w:sz w:val="20"/>
                <w:szCs w:val="20"/>
                <w:color w:val="auto"/>
              </w:rPr>
            </w:pPr>
            <w:r>
              <w:rPr>
                <w:rFonts w:ascii="Arial" w:cs="Arial" w:eastAsia="Arial" w:hAnsi="Arial"/>
                <w:sz w:val="17"/>
                <w:szCs w:val="17"/>
                <w:color w:val="auto"/>
                <w:w w:val="92"/>
              </w:rPr>
              <w:t>Estimated</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w w:val="98"/>
              </w:rPr>
              <w:t>Unrealized</w:t>
            </w:r>
          </w:p>
        </w:tc>
        <w:tc>
          <w:tcPr>
            <w:tcW w:w="180" w:type="dxa"/>
            <w:vAlign w:val="bottom"/>
          </w:tcPr>
          <w:p>
            <w:pPr>
              <w:spacing w:after="0"/>
              <w:rPr>
                <w:sz w:val="17"/>
                <w:szCs w:val="17"/>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7"/>
                <w:szCs w:val="17"/>
                <w:color w:val="auto"/>
                <w:w w:val="93"/>
              </w:rPr>
              <w:t>Unrealized</w:t>
            </w:r>
          </w:p>
        </w:tc>
        <w:tc>
          <w:tcPr>
            <w:tcW w:w="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95"/>
              </w:rPr>
              <w:t>Fair</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rPr>
              <w:t>Cost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74"/>
              <w:spacing w:after="0"/>
              <w:rPr>
                <w:sz w:val="20"/>
                <w:szCs w:val="20"/>
                <w:color w:val="auto"/>
              </w:rPr>
            </w:pPr>
            <w:r>
              <w:rPr>
                <w:rFonts w:ascii="Arial" w:cs="Arial" w:eastAsia="Arial" w:hAnsi="Arial"/>
                <w:sz w:val="17"/>
                <w:szCs w:val="17"/>
                <w:color w:val="auto"/>
              </w:rPr>
              <w:t>Gains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7"/>
                <w:szCs w:val="17"/>
                <w:color w:val="auto"/>
                <w:w w:val="89"/>
              </w:rPr>
              <w:t>Losses</w:t>
            </w:r>
          </w:p>
        </w:tc>
        <w:tc>
          <w:tcPr>
            <w:tcW w:w="80" w:type="dxa"/>
            <w:vAlign w:val="bottom"/>
          </w:tcPr>
          <w:p>
            <w:pPr>
              <w:spacing w:after="0"/>
              <w:rPr>
                <w:sz w:val="19"/>
                <w:szCs w:val="19"/>
                <w:color w:val="auto"/>
              </w:rPr>
            </w:pPr>
          </w:p>
        </w:tc>
        <w:tc>
          <w:tcPr>
            <w:tcW w:w="880" w:type="dxa"/>
            <w:vAlign w:val="bottom"/>
          </w:tcPr>
          <w:p>
            <w:pPr>
              <w:jc w:val="center"/>
              <w:ind w:right="14"/>
              <w:spacing w:after="0"/>
              <w:rPr>
                <w:sz w:val="20"/>
                <w:szCs w:val="20"/>
                <w:color w:val="auto"/>
              </w:rPr>
            </w:pPr>
            <w:r>
              <w:rPr>
                <w:rFonts w:ascii="Arial" w:cs="Arial" w:eastAsia="Arial" w:hAnsi="Arial"/>
                <w:sz w:val="17"/>
                <w:szCs w:val="17"/>
                <w:color w:val="auto"/>
                <w:w w:val="87"/>
              </w:rPr>
              <w:t>Value</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1140" w:type="dxa"/>
            <w:vAlign w:val="bottom"/>
          </w:tcPr>
          <w:p>
            <w:pPr>
              <w:spacing w:after="0"/>
              <w:rPr>
                <w:sz w:val="14"/>
                <w:szCs w:val="14"/>
                <w:color w:val="auto"/>
              </w:rPr>
            </w:pPr>
          </w:p>
        </w:tc>
        <w:tc>
          <w:tcPr>
            <w:tcW w:w="4800" w:type="dxa"/>
            <w:vAlign w:val="bottom"/>
            <w:gridSpan w:val="3"/>
          </w:tcPr>
          <w:p>
            <w:pPr>
              <w:spacing w:after="0" w:line="168" w:lineRule="exact"/>
              <w:rPr>
                <w:sz w:val="20"/>
                <w:szCs w:val="20"/>
                <w:color w:val="auto"/>
              </w:rPr>
            </w:pPr>
            <w:r>
              <w:rPr>
                <w:rFonts w:ascii="Arial" w:cs="Arial" w:eastAsia="Arial" w:hAnsi="Arial"/>
                <w:sz w:val="17"/>
                <w:szCs w:val="17"/>
                <w:color w:val="auto"/>
              </w:rPr>
              <w:t>June 30, 2018</w:t>
            </w: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4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Arial" w:cs="Arial" w:eastAsia="Arial" w:hAnsi="Arial"/>
                <w:sz w:val="17"/>
                <w:szCs w:val="17"/>
                <w:color w:val="auto"/>
                <w:w w:val="95"/>
              </w:rPr>
              <w:t>Fixed maturity securities held to maturity carried at amortized cost:</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80" w:type="dxa"/>
            <w:vAlign w:val="bottom"/>
            <w:gridSpan w:val="2"/>
          </w:tcPr>
          <w:p>
            <w:pPr>
              <w:ind w:left="160"/>
              <w:spacing w:after="0"/>
              <w:rPr>
                <w:sz w:val="20"/>
                <w:szCs w:val="20"/>
                <w:color w:val="auto"/>
              </w:rPr>
            </w:pPr>
            <w:r>
              <w:rPr>
                <w:rFonts w:ascii="Arial" w:cs="Arial" w:eastAsia="Arial" w:hAnsi="Arial"/>
                <w:sz w:val="17"/>
                <w:szCs w:val="17"/>
                <w:color w:val="auto"/>
              </w:rPr>
              <w:t>Bonds:</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80" w:type="dxa"/>
            <w:vAlign w:val="bottom"/>
            <w:tcBorders>
              <w:right w:val="single" w:sz="8" w:color="CCEEFF"/>
            </w:tcBorders>
            <w:gridSpan w:val="2"/>
            <w:shd w:val="clear" w:color="auto" w:fill="CCEEFF"/>
          </w:tcPr>
          <w:p>
            <w:pPr>
              <w:ind w:left="160"/>
              <w:spacing w:after="0" w:line="194" w:lineRule="exact"/>
              <w:rPr>
                <w:sz w:val="20"/>
                <w:szCs w:val="20"/>
                <w:color w:val="auto"/>
              </w:rPr>
            </w:pPr>
            <w:r>
              <w:rPr>
                <w:rFonts w:ascii="Arial" w:cs="Arial" w:eastAsia="Arial" w:hAnsi="Arial"/>
                <w:sz w:val="17"/>
                <w:szCs w:val="17"/>
                <w:color w:val="auto"/>
              </w:rPr>
              <w:t>U.S. Treasury securities and obligations of U.S. Government</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agencies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44,290,515</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161,391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(1,053,070)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43,398,836</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gridSpan w:val="2"/>
          </w:tcPr>
          <w:p>
            <w:pPr>
              <w:ind w:left="160"/>
              <w:spacing w:after="0"/>
              <w:rPr>
                <w:sz w:val="20"/>
                <w:szCs w:val="20"/>
                <w:color w:val="auto"/>
              </w:rPr>
            </w:pPr>
            <w:r>
              <w:rPr>
                <w:rFonts w:ascii="Arial" w:cs="Arial" w:eastAsia="Arial" w:hAnsi="Arial"/>
                <w:sz w:val="17"/>
                <w:szCs w:val="17"/>
                <w:color w:val="auto"/>
              </w:rPr>
              <w:t>Obligations of states and political subdivisions</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6,715,254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56,035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(154,442)</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6,616,847</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Corporate securities including public utilities</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154,368,566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8,196,301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(2,033,410)</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160,531,457</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gridSpan w:val="2"/>
          </w:tcPr>
          <w:p>
            <w:pPr>
              <w:ind w:left="160"/>
              <w:spacing w:after="0"/>
              <w:rPr>
                <w:sz w:val="20"/>
                <w:szCs w:val="20"/>
                <w:color w:val="auto"/>
              </w:rPr>
            </w:pPr>
            <w:r>
              <w:rPr>
                <w:rFonts w:ascii="Arial" w:cs="Arial" w:eastAsia="Arial" w:hAnsi="Arial"/>
                <w:sz w:val="17"/>
                <w:szCs w:val="17"/>
                <w:color w:val="auto"/>
              </w:rPr>
              <w:t>Mortgage-backed securities</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12,411,842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199,574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(295,001)</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12,316,415</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Redeemable preferred stock</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623,635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36,767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(299)</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660,103</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8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auto"/>
              </w:rPr>
              <w:t>Total fixed maturity securities held to maturity</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218,409,812</w:t>
            </w:r>
          </w:p>
        </w:tc>
        <w:tc>
          <w:tcPr>
            <w:tcW w:w="12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5"/>
              </w:rPr>
              <w:t>8,650,068</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(3,536,222)</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w w:val="90"/>
              </w:rPr>
              <w:t>223,523,658</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auto"/>
              </w:rPr>
              <w:t>Equity securities at estimated fair value:</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auto"/>
              </w:rPr>
              <w:t>Common stock:</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auto"/>
              </w:rPr>
              <w:t>Industrial, miscellaneous and all other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6,267,290</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557,705</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(746,228)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6,078,767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4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auto"/>
              </w:rPr>
              <w:t>Total equity securities at estimated fair value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6,267,290</w:t>
            </w:r>
          </w:p>
        </w:tc>
        <w:tc>
          <w:tcPr>
            <w:tcW w:w="12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557,705</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(746,228)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6,078,767</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auto"/>
              </w:rPr>
              <w:t>Mortgage loans held for investment at amortized cost:</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rPr>
              <w:t>Residential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87,960,136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gridSpan w:val="2"/>
          </w:tcPr>
          <w:p>
            <w:pPr>
              <w:ind w:left="340"/>
              <w:spacing w:after="0"/>
              <w:rPr>
                <w:sz w:val="20"/>
                <w:szCs w:val="20"/>
                <w:color w:val="auto"/>
              </w:rPr>
            </w:pPr>
            <w:r>
              <w:rPr>
                <w:rFonts w:ascii="Arial" w:cs="Arial" w:eastAsia="Arial" w:hAnsi="Arial"/>
                <w:sz w:val="17"/>
                <w:szCs w:val="17"/>
                <w:color w:val="auto"/>
              </w:rPr>
              <w:t>Residential construction</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63,461,371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rPr>
              <w:t>Commercial</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44,682,145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gridSpan w:val="2"/>
          </w:tcPr>
          <w:p>
            <w:pPr>
              <w:ind w:left="340"/>
              <w:spacing w:after="0"/>
              <w:rPr>
                <w:sz w:val="20"/>
                <w:szCs w:val="20"/>
                <w:color w:val="auto"/>
              </w:rPr>
            </w:pPr>
            <w:r>
              <w:rPr>
                <w:rFonts w:ascii="Arial" w:cs="Arial" w:eastAsia="Arial" w:hAnsi="Arial"/>
                <w:sz w:val="17"/>
                <w:szCs w:val="17"/>
                <w:color w:val="auto"/>
              </w:rPr>
              <w:t>Less: Unamortized deferred loan fees, net</w:t>
            </w:r>
          </w:p>
        </w:tc>
        <w:tc>
          <w:tcPr>
            <w:tcW w:w="8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(1,471,151)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rPr>
              <w:t>Less: Allowance for loan losses</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(1,563,664)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8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auto"/>
              </w:rPr>
              <w:t>Total mortgage loans held for investment</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193,068,837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auto"/>
                <w:w w:val="97"/>
              </w:rPr>
              <w:t>Real estate held for investment net of accumulated depreciation:</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rPr>
              <w:t>Residential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31,111,447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2"/>
          </w:tcPr>
          <w:p>
            <w:pPr>
              <w:ind w:left="340"/>
              <w:spacing w:after="0"/>
              <w:rPr>
                <w:sz w:val="20"/>
                <w:szCs w:val="20"/>
                <w:color w:val="auto"/>
              </w:rPr>
            </w:pPr>
            <w:r>
              <w:rPr>
                <w:rFonts w:ascii="Arial" w:cs="Arial" w:eastAsia="Arial" w:hAnsi="Arial"/>
                <w:sz w:val="17"/>
                <w:szCs w:val="17"/>
                <w:color w:val="auto"/>
              </w:rPr>
              <w:t>Commercial</w:t>
            </w: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93,467,392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8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real estate held for investment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124,578,839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9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Policy loans and other investments at amortized cost: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gridSpan w:val="2"/>
          </w:tcPr>
          <w:p>
            <w:pPr>
              <w:ind w:left="340"/>
              <w:spacing w:after="0"/>
              <w:rPr>
                <w:sz w:val="20"/>
                <w:szCs w:val="20"/>
                <w:color w:val="auto"/>
              </w:rPr>
            </w:pPr>
            <w:r>
              <w:rPr>
                <w:rFonts w:ascii="Arial" w:cs="Arial" w:eastAsia="Arial" w:hAnsi="Arial"/>
                <w:sz w:val="17"/>
                <w:szCs w:val="17"/>
                <w:color w:val="auto"/>
              </w:rPr>
              <w:t>Policy loans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6,310,614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rPr>
              <w:t>Insurance assignments</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32,705,857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gridSpan w:val="2"/>
          </w:tcPr>
          <w:p>
            <w:pPr>
              <w:ind w:left="340"/>
              <w:spacing w:after="0"/>
              <w:rPr>
                <w:sz w:val="20"/>
                <w:szCs w:val="20"/>
                <w:color w:val="auto"/>
              </w:rPr>
            </w:pPr>
            <w:r>
              <w:rPr>
                <w:rFonts w:ascii="Arial" w:cs="Arial" w:eastAsia="Arial" w:hAnsi="Arial"/>
                <w:sz w:val="17"/>
                <w:szCs w:val="17"/>
                <w:color w:val="auto"/>
              </w:rPr>
              <w:t>Federal Home Loan Bank stock</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2,508,700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rPr>
              <w:t>Other investments</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4,280,651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2"/>
          </w:tcPr>
          <w:p>
            <w:pPr>
              <w:ind w:left="340"/>
              <w:spacing w:after="0"/>
              <w:rPr>
                <w:sz w:val="20"/>
                <w:szCs w:val="20"/>
                <w:color w:val="auto"/>
              </w:rPr>
            </w:pPr>
            <w:r>
              <w:rPr>
                <w:rFonts w:ascii="Arial" w:cs="Arial" w:eastAsia="Arial" w:hAnsi="Arial"/>
                <w:sz w:val="17"/>
                <w:szCs w:val="17"/>
                <w:color w:val="auto"/>
              </w:rPr>
              <w:t>Less: Allowance for doubtful accounts</w:t>
            </w: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(1,011,924)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4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auto"/>
              </w:rPr>
              <w:t>Total policy loans and other investments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44,793,898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auto"/>
              </w:rPr>
              <w:t>Accrued investment income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3,968,447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auto"/>
              </w:rPr>
              <w:t>Total investments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590,898,600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40" w:type="dxa"/>
            <w:vAlign w:val="bottom"/>
            <w:gridSpan w:val="4"/>
            <w:vMerge w:val="restart"/>
          </w:tcPr>
          <w:p>
            <w:pPr>
              <w:jc w:val="right"/>
              <w:ind w:right="160"/>
              <w:spacing w:after="0"/>
              <w:rPr>
                <w:sz w:val="20"/>
                <w:szCs w:val="20"/>
                <w:color w:val="auto"/>
              </w:rPr>
            </w:pPr>
            <w:r>
              <w:rPr>
                <w:rFonts w:ascii="Arial" w:cs="Arial" w:eastAsia="Arial" w:hAnsi="Arial"/>
                <w:sz w:val="14"/>
                <w:szCs w:val="14"/>
                <w:color w:val="auto"/>
              </w:rPr>
              <w:t>13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3"/>
        </w:trPr>
        <w:tc>
          <w:tcPr>
            <w:tcW w:w="594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1"/>
          <w:szCs w:val="21"/>
          <w:color w:val="auto"/>
        </w:rPr>
        <w:t>SECURITY NATIONAL FINANCIAL CORPORATION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June 30, 2018 (Unaudited)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 w:type="dxa"/>
            <w:vAlign w:val="bottom"/>
          </w:tcPr>
          <w:p>
            <w:pPr>
              <w:spacing w:after="0"/>
              <w:rPr>
                <w:sz w:val="20"/>
                <w:szCs w:val="20"/>
                <w:color w:val="auto"/>
              </w:rPr>
            </w:pPr>
            <w:r>
              <w:rPr>
                <w:rFonts w:ascii="Arial" w:cs="Arial" w:eastAsia="Arial" w:hAnsi="Arial"/>
                <w:sz w:val="17"/>
                <w:szCs w:val="17"/>
                <w:color w:val="auto"/>
              </w:rPr>
              <w:t>3)</w:t>
            </w:r>
          </w:p>
        </w:tc>
        <w:tc>
          <w:tcPr>
            <w:tcW w:w="5320" w:type="dxa"/>
            <w:vAlign w:val="bottom"/>
            <w:gridSpan w:val="5"/>
          </w:tcPr>
          <w:p>
            <w:pPr>
              <w:jc w:val="right"/>
              <w:ind w:right="3620"/>
              <w:spacing w:after="0"/>
              <w:rPr>
                <w:sz w:val="20"/>
                <w:szCs w:val="20"/>
                <w:color w:val="auto"/>
              </w:rPr>
            </w:pPr>
            <w:r>
              <w:rPr>
                <w:rFonts w:ascii="Arial" w:cs="Arial" w:eastAsia="Arial" w:hAnsi="Arial"/>
                <w:sz w:val="17"/>
                <w:szCs w:val="17"/>
                <w:color w:val="auto"/>
                <w:w w:val="90"/>
              </w:rPr>
              <w:t>Investments (Continued)</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940" w:type="dxa"/>
            <w:vAlign w:val="bottom"/>
            <w:gridSpan w:val="6"/>
          </w:tcPr>
          <w:p>
            <w:pPr>
              <w:spacing w:after="0"/>
              <w:rPr>
                <w:sz w:val="20"/>
                <w:szCs w:val="20"/>
                <w:color w:val="auto"/>
              </w:rPr>
            </w:pPr>
            <w:r>
              <w:rPr>
                <w:rFonts w:ascii="Arial" w:cs="Arial" w:eastAsia="Arial" w:hAnsi="Arial"/>
                <w:sz w:val="17"/>
                <w:szCs w:val="17"/>
                <w:color w:val="auto"/>
                <w:w w:val="95"/>
              </w:rPr>
              <w:t>The Company's investments as of December 31, 2017 are summarized as follows:</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174"/>
              <w:spacing w:after="0"/>
              <w:rPr>
                <w:sz w:val="20"/>
                <w:szCs w:val="20"/>
                <w:color w:val="auto"/>
              </w:rPr>
            </w:pPr>
            <w:r>
              <w:rPr>
                <w:rFonts w:ascii="Arial" w:cs="Arial" w:eastAsia="Arial" w:hAnsi="Arial"/>
                <w:sz w:val="17"/>
                <w:szCs w:val="17"/>
                <w:color w:val="auto"/>
              </w:rPr>
              <w:t>Gross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7"/>
                <w:szCs w:val="17"/>
                <w:color w:val="auto"/>
              </w:rPr>
              <w:t>Gross</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1"/>
              </w:rPr>
              <w:t>Unrealized</w:t>
            </w:r>
          </w:p>
        </w:tc>
        <w:tc>
          <w:tcPr>
            <w:tcW w:w="180" w:type="dxa"/>
            <w:vAlign w:val="bottom"/>
          </w:tcPr>
          <w:p>
            <w:pPr>
              <w:spacing w:after="0"/>
              <w:rPr>
                <w:sz w:val="17"/>
                <w:szCs w:val="17"/>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7"/>
                <w:szCs w:val="17"/>
                <w:color w:val="auto"/>
                <w:w w:val="98"/>
              </w:rPr>
              <w:t>Unrealized</w:t>
            </w:r>
          </w:p>
        </w:tc>
        <w:tc>
          <w:tcPr>
            <w:tcW w:w="80" w:type="dxa"/>
            <w:vAlign w:val="bottom"/>
          </w:tcPr>
          <w:p>
            <w:pPr>
              <w:spacing w:after="0"/>
              <w:rPr>
                <w:sz w:val="17"/>
                <w:szCs w:val="17"/>
                <w:color w:val="auto"/>
              </w:rPr>
            </w:pPr>
          </w:p>
        </w:tc>
        <w:tc>
          <w:tcPr>
            <w:tcW w:w="880" w:type="dxa"/>
            <w:vAlign w:val="bottom"/>
          </w:tcPr>
          <w:p>
            <w:pPr>
              <w:jc w:val="right"/>
              <w:ind w:right="54"/>
              <w:spacing w:after="0"/>
              <w:rPr>
                <w:sz w:val="20"/>
                <w:szCs w:val="20"/>
                <w:color w:val="auto"/>
              </w:rPr>
            </w:pPr>
            <w:r>
              <w:rPr>
                <w:rFonts w:ascii="Arial" w:cs="Arial" w:eastAsia="Arial" w:hAnsi="Arial"/>
                <w:sz w:val="17"/>
                <w:szCs w:val="17"/>
                <w:color w:val="auto"/>
                <w:w w:val="95"/>
              </w:rPr>
              <w:t>Estimated</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rPr>
              <w:t>Cost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ind w:right="174"/>
              <w:spacing w:after="0"/>
              <w:rPr>
                <w:sz w:val="20"/>
                <w:szCs w:val="20"/>
                <w:color w:val="auto"/>
              </w:rPr>
            </w:pPr>
            <w:r>
              <w:rPr>
                <w:rFonts w:ascii="Arial" w:cs="Arial" w:eastAsia="Arial" w:hAnsi="Arial"/>
                <w:sz w:val="17"/>
                <w:szCs w:val="17"/>
                <w:color w:val="auto"/>
              </w:rPr>
              <w:t>Gains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Losses</w:t>
            </w:r>
          </w:p>
        </w:tc>
        <w:tc>
          <w:tcPr>
            <w:tcW w:w="80" w:type="dxa"/>
            <w:vAlign w:val="bottom"/>
          </w:tcPr>
          <w:p>
            <w:pPr>
              <w:spacing w:after="0"/>
              <w:rPr>
                <w:sz w:val="19"/>
                <w:szCs w:val="19"/>
                <w:color w:val="auto"/>
              </w:rPr>
            </w:pPr>
          </w:p>
        </w:tc>
        <w:tc>
          <w:tcPr>
            <w:tcW w:w="880" w:type="dxa"/>
            <w:vAlign w:val="bottom"/>
          </w:tcPr>
          <w:p>
            <w:pPr>
              <w:jc w:val="right"/>
              <w:ind w:right="54"/>
              <w:spacing w:after="0"/>
              <w:rPr>
                <w:sz w:val="20"/>
                <w:szCs w:val="20"/>
                <w:color w:val="auto"/>
              </w:rPr>
            </w:pPr>
            <w:r>
              <w:rPr>
                <w:rFonts w:ascii="Arial" w:cs="Arial" w:eastAsia="Arial" w:hAnsi="Arial"/>
                <w:sz w:val="17"/>
                <w:szCs w:val="17"/>
                <w:color w:val="auto"/>
                <w:w w:val="92"/>
              </w:rPr>
              <w:t>Fair Value</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0" w:type="dxa"/>
            <w:vAlign w:val="bottom"/>
            <w:gridSpan w:val="4"/>
          </w:tcPr>
          <w:p>
            <w:pPr>
              <w:spacing w:after="0" w:line="168" w:lineRule="exact"/>
              <w:rPr>
                <w:sz w:val="20"/>
                <w:szCs w:val="20"/>
                <w:color w:val="auto"/>
              </w:rPr>
            </w:pPr>
            <w:r>
              <w:rPr>
                <w:rFonts w:ascii="Arial" w:cs="Arial" w:eastAsia="Arial" w:hAnsi="Arial"/>
                <w:sz w:val="17"/>
                <w:szCs w:val="17"/>
                <w:color w:val="auto"/>
              </w:rPr>
              <w:t>December 31, 2017:</w:t>
            </w: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0" w:type="dxa"/>
            <w:vAlign w:val="bottom"/>
            <w:gridSpan w:val="4"/>
          </w:tcPr>
          <w:p>
            <w:pPr>
              <w:spacing w:after="0"/>
              <w:rPr>
                <w:sz w:val="20"/>
                <w:szCs w:val="20"/>
                <w:color w:val="auto"/>
              </w:rPr>
            </w:pPr>
            <w:r>
              <w:rPr>
                <w:rFonts w:ascii="Arial" w:cs="Arial" w:eastAsia="Arial" w:hAnsi="Arial"/>
                <w:sz w:val="17"/>
                <w:szCs w:val="17"/>
                <w:color w:val="auto"/>
                <w:w w:val="95"/>
              </w:rPr>
              <w:t>Fixed maturity securities held to maturity carried at amortized cost:</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80" w:type="dxa"/>
            <w:vAlign w:val="bottom"/>
            <w:gridSpan w:val="3"/>
          </w:tcPr>
          <w:p>
            <w:pPr>
              <w:ind w:left="160"/>
              <w:spacing w:after="0"/>
              <w:rPr>
                <w:sz w:val="20"/>
                <w:szCs w:val="20"/>
                <w:color w:val="auto"/>
              </w:rPr>
            </w:pPr>
            <w:r>
              <w:rPr>
                <w:rFonts w:ascii="Arial" w:cs="Arial" w:eastAsia="Arial" w:hAnsi="Arial"/>
                <w:sz w:val="17"/>
                <w:szCs w:val="17"/>
                <w:color w:val="auto"/>
              </w:rPr>
              <w:t>Bonds:</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80" w:type="dxa"/>
            <w:vAlign w:val="bottom"/>
            <w:tcBorders>
              <w:right w:val="single" w:sz="8" w:color="CCEEFF"/>
            </w:tcBorders>
            <w:gridSpan w:val="3"/>
            <w:shd w:val="clear" w:color="auto" w:fill="CCEEFF"/>
          </w:tcPr>
          <w:p>
            <w:pPr>
              <w:ind w:left="160"/>
              <w:spacing w:after="0" w:line="194" w:lineRule="exact"/>
              <w:rPr>
                <w:sz w:val="20"/>
                <w:szCs w:val="20"/>
                <w:color w:val="auto"/>
              </w:rPr>
            </w:pPr>
            <w:r>
              <w:rPr>
                <w:rFonts w:ascii="Arial" w:cs="Arial" w:eastAsia="Arial" w:hAnsi="Arial"/>
                <w:sz w:val="17"/>
                <w:szCs w:val="17"/>
                <w:color w:val="auto"/>
              </w:rPr>
              <w:t>U.S. Treasury securities and obligations of U.S. Government</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agencies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54,077,069</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211,824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(579,423)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53,709,470</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gridSpan w:val="3"/>
          </w:tcPr>
          <w:p>
            <w:pPr>
              <w:ind w:left="160"/>
              <w:spacing w:after="0"/>
              <w:rPr>
                <w:sz w:val="20"/>
                <w:szCs w:val="20"/>
                <w:color w:val="auto"/>
              </w:rPr>
            </w:pPr>
            <w:r>
              <w:rPr>
                <w:rFonts w:ascii="Arial" w:cs="Arial" w:eastAsia="Arial" w:hAnsi="Arial"/>
                <w:sz w:val="17"/>
                <w:szCs w:val="17"/>
                <w:color w:val="auto"/>
              </w:rPr>
              <w:t>Obligations of states and political subdivisions</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5,843,176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112,372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(71,013)</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5,884,535</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7"/>
                <w:szCs w:val="17"/>
                <w:color w:val="auto"/>
              </w:rPr>
              <w:t>Corporate securities including public utilities</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158,350,727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14,336,452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(1,007,504)</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171,679,675</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gridSpan w:val="3"/>
          </w:tcPr>
          <w:p>
            <w:pPr>
              <w:ind w:left="160"/>
              <w:spacing w:after="0"/>
              <w:rPr>
                <w:sz w:val="20"/>
                <w:szCs w:val="20"/>
                <w:color w:val="auto"/>
              </w:rPr>
            </w:pPr>
            <w:r>
              <w:rPr>
                <w:rFonts w:ascii="Arial" w:cs="Arial" w:eastAsia="Arial" w:hAnsi="Arial"/>
                <w:sz w:val="17"/>
                <w:szCs w:val="17"/>
                <w:color w:val="auto"/>
              </w:rPr>
              <w:t>Mortgage-backed securities</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9,503,016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210,652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(162,131)</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9,551,537</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7"/>
                <w:szCs w:val="17"/>
                <w:color w:val="auto"/>
              </w:rPr>
              <w:t>Redeemable preferred stock</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623,635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49,748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(191)</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673,192</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5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4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6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780" w:type="dxa"/>
            <w:vAlign w:val="bottom"/>
            <w:gridSpan w:val="3"/>
          </w:tcPr>
          <w:p>
            <w:pPr>
              <w:spacing w:after="0"/>
              <w:rPr>
                <w:sz w:val="20"/>
                <w:szCs w:val="20"/>
                <w:color w:val="auto"/>
              </w:rPr>
            </w:pPr>
            <w:r>
              <w:rPr>
                <w:rFonts w:ascii="Arial" w:cs="Arial" w:eastAsia="Arial" w:hAnsi="Arial"/>
                <w:sz w:val="17"/>
                <w:szCs w:val="17"/>
                <w:color w:val="auto"/>
              </w:rPr>
              <w:t>Total fixed maturity securities held to maturity</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228,397,623</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w w:val="91"/>
              </w:rPr>
              <w:t>14,921,048</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(1,820,262)</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w w:val="90"/>
              </w:rPr>
              <w:t>241,498,409</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20" w:type="dxa"/>
            <w:vAlign w:val="bottom"/>
          </w:tcPr>
          <w:p>
            <w:pPr>
              <w:spacing w:after="0"/>
              <w:rPr>
                <w:sz w:val="17"/>
                <w:szCs w:val="17"/>
                <w:color w:val="auto"/>
              </w:rPr>
            </w:pPr>
          </w:p>
        </w:tc>
        <w:tc>
          <w:tcPr>
            <w:tcW w:w="5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780" w:type="dxa"/>
            <w:vAlign w:val="bottom"/>
            <w:gridSpan w:val="3"/>
          </w:tcPr>
          <w:p>
            <w:pPr>
              <w:spacing w:after="0"/>
              <w:rPr>
                <w:sz w:val="20"/>
                <w:szCs w:val="20"/>
                <w:color w:val="auto"/>
              </w:rPr>
            </w:pPr>
            <w:r>
              <w:rPr>
                <w:rFonts w:ascii="Arial" w:cs="Arial" w:eastAsia="Arial" w:hAnsi="Arial"/>
                <w:sz w:val="17"/>
                <w:szCs w:val="17"/>
                <w:color w:val="auto"/>
              </w:rPr>
              <w:t>Equity securities at estimated fair value:</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780" w:type="dxa"/>
            <w:vAlign w:val="bottom"/>
            <w:gridSpan w:val="3"/>
          </w:tcPr>
          <w:p>
            <w:pPr>
              <w:spacing w:after="0"/>
              <w:rPr>
                <w:sz w:val="20"/>
                <w:szCs w:val="20"/>
                <w:color w:val="auto"/>
              </w:rPr>
            </w:pPr>
            <w:r>
              <w:rPr>
                <w:rFonts w:ascii="Arial" w:cs="Arial" w:eastAsia="Arial" w:hAnsi="Arial"/>
                <w:sz w:val="17"/>
                <w:szCs w:val="17"/>
                <w:color w:val="auto"/>
              </w:rPr>
              <w:t>Common stock:</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7"/>
                <w:szCs w:val="17"/>
                <w:color w:val="auto"/>
              </w:rPr>
              <w:t>Industrial, miscellaneous and all other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6,002,931</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667,593</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(632,669)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6,037,855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780" w:type="dxa"/>
            <w:vAlign w:val="bottom"/>
            <w:gridSpan w:val="3"/>
          </w:tcPr>
          <w:p>
            <w:pPr>
              <w:spacing w:after="0"/>
              <w:rPr>
                <w:sz w:val="20"/>
                <w:szCs w:val="20"/>
                <w:color w:val="auto"/>
              </w:rPr>
            </w:pPr>
            <w:r>
              <w:rPr>
                <w:rFonts w:ascii="Arial" w:cs="Arial" w:eastAsia="Arial" w:hAnsi="Arial"/>
                <w:sz w:val="17"/>
                <w:szCs w:val="17"/>
                <w:color w:val="auto"/>
              </w:rPr>
              <w:t>Total equity securities at estimated fair value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6,002,931</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667,593</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(632,669)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6,037,855</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20" w:type="dxa"/>
            <w:vAlign w:val="bottom"/>
          </w:tcPr>
          <w:p>
            <w:pPr>
              <w:spacing w:after="0"/>
              <w:rPr>
                <w:sz w:val="17"/>
                <w:szCs w:val="17"/>
                <w:color w:val="auto"/>
              </w:rPr>
            </w:pPr>
          </w:p>
        </w:tc>
        <w:tc>
          <w:tcPr>
            <w:tcW w:w="5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780" w:type="dxa"/>
            <w:vAlign w:val="bottom"/>
            <w:gridSpan w:val="3"/>
          </w:tcPr>
          <w:p>
            <w:pPr>
              <w:spacing w:after="0"/>
              <w:rPr>
                <w:sz w:val="20"/>
                <w:szCs w:val="20"/>
                <w:color w:val="auto"/>
              </w:rPr>
            </w:pPr>
            <w:r>
              <w:rPr>
                <w:rFonts w:ascii="Arial" w:cs="Arial" w:eastAsia="Arial" w:hAnsi="Arial"/>
                <w:sz w:val="17"/>
                <w:szCs w:val="17"/>
                <w:color w:val="auto"/>
              </w:rPr>
              <w:t>Mortgage loans held for investment at amortized cost:</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50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7"/>
                <w:szCs w:val="17"/>
                <w:color w:val="auto"/>
              </w:rPr>
              <w:t>Residential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102,527,111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00" w:type="dxa"/>
            <w:vAlign w:val="bottom"/>
            <w:gridSpan w:val="2"/>
          </w:tcPr>
          <w:p>
            <w:pPr>
              <w:ind w:left="60"/>
              <w:spacing w:after="0"/>
              <w:rPr>
                <w:sz w:val="20"/>
                <w:szCs w:val="20"/>
                <w:color w:val="auto"/>
              </w:rPr>
            </w:pPr>
            <w:r>
              <w:rPr>
                <w:rFonts w:ascii="Arial" w:cs="Arial" w:eastAsia="Arial" w:hAnsi="Arial"/>
                <w:sz w:val="17"/>
                <w:szCs w:val="17"/>
                <w:color w:val="auto"/>
              </w:rPr>
              <w:t>Residential construction</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50,157,533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50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7"/>
                <w:szCs w:val="17"/>
                <w:color w:val="auto"/>
              </w:rPr>
              <w:t>Commercial</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54,954,865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00" w:type="dxa"/>
            <w:vAlign w:val="bottom"/>
            <w:gridSpan w:val="2"/>
          </w:tcPr>
          <w:p>
            <w:pPr>
              <w:ind w:left="60"/>
              <w:spacing w:after="0"/>
              <w:rPr>
                <w:sz w:val="20"/>
                <w:szCs w:val="20"/>
                <w:color w:val="auto"/>
              </w:rPr>
            </w:pPr>
            <w:r>
              <w:rPr>
                <w:rFonts w:ascii="Arial" w:cs="Arial" w:eastAsia="Arial" w:hAnsi="Arial"/>
                <w:sz w:val="17"/>
                <w:szCs w:val="17"/>
                <w:color w:val="auto"/>
              </w:rPr>
              <w:t>Less: Unamortized deferred loan fees, net</w:t>
            </w:r>
          </w:p>
        </w:tc>
        <w:tc>
          <w:tcPr>
            <w:tcW w:w="8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(1,659,828)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50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7"/>
                <w:szCs w:val="17"/>
                <w:color w:val="auto"/>
              </w:rPr>
              <w:t>Less: Allowance for loan losses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(1,768,796)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34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620" w:type="dxa"/>
            <w:vAlign w:val="bottom"/>
          </w:tcPr>
          <w:p>
            <w:pPr>
              <w:spacing w:after="0"/>
              <w:rPr>
                <w:sz w:val="21"/>
                <w:szCs w:val="21"/>
                <w:color w:val="auto"/>
              </w:rPr>
            </w:pPr>
          </w:p>
        </w:tc>
        <w:tc>
          <w:tcPr>
            <w:tcW w:w="52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47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Total mortgage loans held for investment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204,210,885</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20" w:type="dxa"/>
            <w:vAlign w:val="bottom"/>
          </w:tcPr>
          <w:p>
            <w:pPr>
              <w:spacing w:after="0"/>
              <w:rPr>
                <w:sz w:val="17"/>
                <w:szCs w:val="17"/>
                <w:color w:val="auto"/>
              </w:rPr>
            </w:pPr>
          </w:p>
        </w:tc>
        <w:tc>
          <w:tcPr>
            <w:tcW w:w="5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34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7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w w:val="99"/>
              </w:rPr>
              <w:t>Real estate held for investment net of accumlated depreciation:</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00" w:type="dxa"/>
            <w:vAlign w:val="bottom"/>
            <w:gridSpan w:val="2"/>
          </w:tcPr>
          <w:p>
            <w:pPr>
              <w:ind w:left="60"/>
              <w:spacing w:after="0"/>
              <w:rPr>
                <w:sz w:val="20"/>
                <w:szCs w:val="20"/>
                <w:color w:val="auto"/>
              </w:rPr>
            </w:pPr>
            <w:r>
              <w:rPr>
                <w:rFonts w:ascii="Arial" w:cs="Arial" w:eastAsia="Arial" w:hAnsi="Arial"/>
                <w:sz w:val="17"/>
                <w:szCs w:val="17"/>
                <w:color w:val="auto"/>
              </w:rPr>
              <w:t>Residential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98"/>
              </w:rPr>
              <w:t>68,329,917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right w:val="single" w:sz="8" w:color="CCEEFF"/>
            </w:tcBorders>
            <w:gridSpan w:val="2"/>
            <w:shd w:val="clear" w:color="auto" w:fill="CCEEFF"/>
          </w:tcPr>
          <w:p>
            <w:pPr>
              <w:ind w:left="60"/>
              <w:spacing w:after="0"/>
              <w:rPr>
                <w:sz w:val="20"/>
                <w:szCs w:val="20"/>
                <w:color w:val="auto"/>
              </w:rPr>
            </w:pPr>
            <w:r>
              <w:rPr>
                <w:rFonts w:ascii="Arial" w:cs="Arial" w:eastAsia="Arial" w:hAnsi="Arial"/>
                <w:sz w:val="17"/>
                <w:szCs w:val="17"/>
                <w:color w:val="auto"/>
              </w:rPr>
              <w:t>Commercial</w:t>
            </w: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72,968,789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gridSpan w:val="3"/>
          </w:tcPr>
          <w:p>
            <w:pPr>
              <w:spacing w:after="0"/>
              <w:rPr>
                <w:sz w:val="20"/>
                <w:szCs w:val="20"/>
                <w:color w:val="auto"/>
              </w:rPr>
            </w:pPr>
            <w:r>
              <w:rPr>
                <w:rFonts w:ascii="Arial" w:cs="Arial" w:eastAsia="Arial" w:hAnsi="Arial"/>
                <w:sz w:val="17"/>
                <w:szCs w:val="17"/>
                <w:color w:val="auto"/>
              </w:rPr>
              <w:t>Total real estate held for investment</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141,298,706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20" w:type="dxa"/>
            <w:vAlign w:val="bottom"/>
          </w:tcPr>
          <w:p>
            <w:pPr>
              <w:spacing w:after="0"/>
              <w:rPr>
                <w:sz w:val="17"/>
                <w:szCs w:val="17"/>
                <w:color w:val="auto"/>
              </w:rPr>
            </w:pPr>
          </w:p>
        </w:tc>
        <w:tc>
          <w:tcPr>
            <w:tcW w:w="5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780" w:type="dxa"/>
            <w:vAlign w:val="bottom"/>
            <w:gridSpan w:val="3"/>
          </w:tcPr>
          <w:p>
            <w:pPr>
              <w:spacing w:after="0"/>
              <w:rPr>
                <w:sz w:val="20"/>
                <w:szCs w:val="20"/>
                <w:color w:val="auto"/>
              </w:rPr>
            </w:pPr>
            <w:r>
              <w:rPr>
                <w:rFonts w:ascii="Arial" w:cs="Arial" w:eastAsia="Arial" w:hAnsi="Arial"/>
                <w:sz w:val="17"/>
                <w:szCs w:val="17"/>
                <w:color w:val="auto"/>
              </w:rPr>
              <w:t>Policy loans and other investments at amortized cost:</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50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7"/>
                <w:szCs w:val="17"/>
                <w:color w:val="auto"/>
              </w:rPr>
              <w:t>Policy loans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6,531,352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00" w:type="dxa"/>
            <w:vAlign w:val="bottom"/>
            <w:gridSpan w:val="2"/>
          </w:tcPr>
          <w:p>
            <w:pPr>
              <w:ind w:left="60"/>
              <w:spacing w:after="0"/>
              <w:rPr>
                <w:sz w:val="20"/>
                <w:szCs w:val="20"/>
                <w:color w:val="auto"/>
              </w:rPr>
            </w:pPr>
            <w:r>
              <w:rPr>
                <w:rFonts w:ascii="Arial" w:cs="Arial" w:eastAsia="Arial" w:hAnsi="Arial"/>
                <w:sz w:val="17"/>
                <w:szCs w:val="17"/>
                <w:color w:val="auto"/>
              </w:rPr>
              <w:t>Insurance assignments</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36,301,739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50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7"/>
                <w:szCs w:val="17"/>
                <w:color w:val="auto"/>
              </w:rPr>
              <w:t>Federal Home Loan Bank stock</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689,400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00" w:type="dxa"/>
            <w:vAlign w:val="bottom"/>
            <w:gridSpan w:val="2"/>
          </w:tcPr>
          <w:p>
            <w:pPr>
              <w:ind w:left="60"/>
              <w:spacing w:after="0"/>
              <w:rPr>
                <w:sz w:val="20"/>
                <w:szCs w:val="20"/>
                <w:color w:val="auto"/>
              </w:rPr>
            </w:pPr>
            <w:r>
              <w:rPr>
                <w:rFonts w:ascii="Arial" w:cs="Arial" w:eastAsia="Arial" w:hAnsi="Arial"/>
                <w:sz w:val="17"/>
                <w:szCs w:val="17"/>
                <w:color w:val="auto"/>
              </w:rPr>
              <w:t>Other investments</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3,219,622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50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7"/>
                <w:szCs w:val="17"/>
                <w:color w:val="auto"/>
              </w:rPr>
              <w:t>Less: Allowance for doubtful accounts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(846,641)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34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620" w:type="dxa"/>
            <w:vAlign w:val="bottom"/>
          </w:tcPr>
          <w:p>
            <w:pPr>
              <w:spacing w:after="0"/>
              <w:rPr>
                <w:sz w:val="21"/>
                <w:szCs w:val="21"/>
                <w:color w:val="auto"/>
              </w:rPr>
            </w:pPr>
          </w:p>
        </w:tc>
        <w:tc>
          <w:tcPr>
            <w:tcW w:w="52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47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Total policy loans and other investments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45,895,472</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34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780" w:type="dxa"/>
            <w:vAlign w:val="bottom"/>
            <w:gridSpan w:val="3"/>
          </w:tcPr>
          <w:p>
            <w:pPr>
              <w:spacing w:after="0"/>
              <w:rPr>
                <w:sz w:val="20"/>
                <w:szCs w:val="20"/>
                <w:color w:val="auto"/>
              </w:rPr>
            </w:pPr>
            <w:r>
              <w:rPr>
                <w:rFonts w:ascii="Arial" w:cs="Arial" w:eastAsia="Arial" w:hAnsi="Arial"/>
                <w:sz w:val="17"/>
                <w:szCs w:val="17"/>
                <w:color w:val="auto"/>
              </w:rPr>
              <w:t>Accrued investment income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3,644,077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20" w:type="dxa"/>
            <w:vAlign w:val="bottom"/>
          </w:tcPr>
          <w:p>
            <w:pPr>
              <w:spacing w:after="0"/>
              <w:rPr>
                <w:sz w:val="17"/>
                <w:szCs w:val="17"/>
                <w:color w:val="auto"/>
              </w:rPr>
            </w:pPr>
          </w:p>
        </w:tc>
        <w:tc>
          <w:tcPr>
            <w:tcW w:w="5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780" w:type="dxa"/>
            <w:vAlign w:val="bottom"/>
            <w:gridSpan w:val="3"/>
          </w:tcPr>
          <w:p>
            <w:pPr>
              <w:spacing w:after="0"/>
              <w:rPr>
                <w:sz w:val="20"/>
                <w:szCs w:val="20"/>
                <w:color w:val="auto"/>
              </w:rPr>
            </w:pPr>
            <w:r>
              <w:rPr>
                <w:rFonts w:ascii="Arial" w:cs="Arial" w:eastAsia="Arial" w:hAnsi="Arial"/>
                <w:sz w:val="17"/>
                <w:szCs w:val="17"/>
                <w:color w:val="auto"/>
              </w:rPr>
              <w:t>Total investments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629,484,618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320" w:type="dxa"/>
            <w:vAlign w:val="bottom"/>
            <w:gridSpan w:val="5"/>
            <w:vMerge w:val="restart"/>
          </w:tcPr>
          <w:p>
            <w:pPr>
              <w:jc w:val="right"/>
              <w:ind w:right="160"/>
              <w:spacing w:after="0"/>
              <w:rPr>
                <w:sz w:val="20"/>
                <w:szCs w:val="20"/>
                <w:color w:val="auto"/>
              </w:rPr>
            </w:pPr>
            <w:r>
              <w:rPr>
                <w:rFonts w:ascii="Arial" w:cs="Arial" w:eastAsia="Arial" w:hAnsi="Arial"/>
                <w:sz w:val="14"/>
                <w:szCs w:val="14"/>
                <w:color w:val="auto"/>
              </w:rPr>
              <w:t>14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20" w:type="dxa"/>
            <w:vAlign w:val="bottom"/>
          </w:tcPr>
          <w:p>
            <w:pPr>
              <w:spacing w:after="0"/>
              <w:rPr>
                <w:sz w:val="24"/>
                <w:szCs w:val="24"/>
                <w:color w:val="auto"/>
              </w:rPr>
            </w:pPr>
          </w:p>
        </w:tc>
        <w:tc>
          <w:tcPr>
            <w:tcW w:w="5320" w:type="dxa"/>
            <w:vAlign w:val="bottom"/>
            <w:gridSpan w:val="5"/>
            <w:vMerge w:val="continue"/>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6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21"/>
          <w:szCs w:val="21"/>
          <w:color w:val="auto"/>
        </w:rPr>
        <w:t>SECURITY NATIONAL FINANCIAL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June 30, 2018 (Unaudited)</w:t>
      </w:r>
    </w:p>
    <w:p>
      <w:pPr>
        <w:spacing w:after="0" w:line="257" w:lineRule="exact"/>
        <w:rPr>
          <w:sz w:val="20"/>
          <w:szCs w:val="20"/>
          <w:color w:val="auto"/>
        </w:rPr>
      </w:pPr>
    </w:p>
    <w:p>
      <w:pPr>
        <w:ind w:left="620" w:hanging="61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Fixed Maturity Securities</w:t>
      </w:r>
    </w:p>
    <w:p>
      <w:pPr>
        <w:spacing w:after="0" w:line="2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following tables summarize unrealized losses on fixed maturity securities held to maturity, which are carried at amortized cost, at June 30, 2018 and December 31, 2017. The unrealized losses were primarily related to interest rate fluctuations. The tables set forth unrealized losses by duration with the fair value of the related fixed maturity securities:</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93"/>
              </w:rPr>
              <w:t>Unrealized</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91"/>
              </w:rPr>
              <w:t>Unrealized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ind w:right="14"/>
              <w:spacing w:after="0"/>
              <w:rPr>
                <w:sz w:val="20"/>
                <w:szCs w:val="20"/>
                <w:color w:val="auto"/>
              </w:rPr>
            </w:pPr>
            <w:r>
              <w:rPr>
                <w:rFonts w:ascii="Arial" w:cs="Arial" w:eastAsia="Arial" w:hAnsi="Arial"/>
                <w:sz w:val="17"/>
                <w:szCs w:val="17"/>
                <w:color w:val="auto"/>
                <w:w w:val="91"/>
              </w:rPr>
              <w:t>Losses for</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89"/>
              </w:rPr>
              <w:t>Losses for</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ind w:right="14"/>
              <w:spacing w:after="0"/>
              <w:rPr>
                <w:sz w:val="20"/>
                <w:szCs w:val="20"/>
                <w:color w:val="auto"/>
              </w:rPr>
            </w:pPr>
            <w:r>
              <w:rPr>
                <w:rFonts w:ascii="Arial" w:cs="Arial" w:eastAsia="Arial" w:hAnsi="Arial"/>
                <w:sz w:val="17"/>
                <w:szCs w:val="17"/>
                <w:color w:val="auto"/>
                <w:w w:val="86"/>
              </w:rPr>
              <w:t>Less than</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1"/>
              </w:rPr>
              <w:t>More than</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center"/>
              <w:ind w:right="74"/>
              <w:spacing w:after="0"/>
              <w:rPr>
                <w:sz w:val="20"/>
                <w:szCs w:val="20"/>
                <w:color w:val="auto"/>
              </w:rPr>
            </w:pPr>
            <w:r>
              <w:rPr>
                <w:rFonts w:ascii="Arial" w:cs="Arial" w:eastAsia="Arial" w:hAnsi="Arial"/>
                <w:sz w:val="17"/>
                <w:szCs w:val="17"/>
                <w:color w:val="auto"/>
                <w:w w:val="95"/>
              </w:rPr>
              <w:t>Total</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ind w:right="14"/>
              <w:spacing w:after="0"/>
              <w:rPr>
                <w:sz w:val="20"/>
                <w:szCs w:val="20"/>
                <w:color w:val="auto"/>
              </w:rPr>
            </w:pPr>
            <w:r>
              <w:rPr>
                <w:rFonts w:ascii="Arial" w:cs="Arial" w:eastAsia="Arial" w:hAnsi="Arial"/>
                <w:sz w:val="17"/>
                <w:szCs w:val="17"/>
                <w:color w:val="auto"/>
                <w:w w:val="96"/>
              </w:rPr>
              <w:t>Twelve</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2"/>
              </w:rPr>
              <w:t>Twelve</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93"/>
              </w:rPr>
              <w:t>Unrealized</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color w:val="auto"/>
                <w:w w:val="93"/>
              </w:rPr>
              <w:t>Months</w:t>
            </w:r>
          </w:p>
        </w:tc>
        <w:tc>
          <w:tcPr>
            <w:tcW w:w="180" w:type="dxa"/>
            <w:vAlign w:val="bottom"/>
          </w:tcPr>
          <w:p>
            <w:pPr>
              <w:spacing w:after="0"/>
              <w:rPr>
                <w:sz w:val="19"/>
                <w:szCs w:val="19"/>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Fair Value</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Months</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90"/>
              </w:rPr>
              <w:t>Fair Value</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color w:val="auto"/>
                <w:w w:val="88"/>
              </w:rPr>
              <w:t>Loss</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92"/>
              </w:rPr>
              <w:t>Fair Value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660" w:type="dxa"/>
            <w:vAlign w:val="bottom"/>
            <w:gridSpan w:val="4"/>
          </w:tcPr>
          <w:p>
            <w:pPr>
              <w:spacing w:after="0" w:line="168" w:lineRule="exact"/>
              <w:rPr>
                <w:sz w:val="20"/>
                <w:szCs w:val="20"/>
                <w:color w:val="auto"/>
              </w:rPr>
            </w:pPr>
            <w:r>
              <w:rPr>
                <w:rFonts w:ascii="Arial" w:cs="Arial" w:eastAsia="Arial" w:hAnsi="Arial"/>
                <w:sz w:val="17"/>
                <w:szCs w:val="17"/>
                <w:color w:val="auto"/>
              </w:rPr>
              <w:t>At June 30, 2018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U.S. Treasury securities and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obligations of U.S. Government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Agencies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980,567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$ 39,678,285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2,310,384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1,053,070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41,988,669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40" w:type="dxa"/>
            <w:vAlign w:val="bottom"/>
            <w:gridSpan w:val="3"/>
          </w:tcPr>
          <w:p>
            <w:pPr>
              <w:spacing w:after="0" w:line="194" w:lineRule="exact"/>
              <w:rPr>
                <w:sz w:val="20"/>
                <w:szCs w:val="20"/>
                <w:color w:val="auto"/>
              </w:rPr>
            </w:pPr>
            <w:r>
              <w:rPr>
                <w:rFonts w:ascii="Arial" w:cs="Arial" w:eastAsia="Arial" w:hAnsi="Arial"/>
                <w:sz w:val="17"/>
                <w:szCs w:val="17"/>
                <w:color w:val="auto"/>
              </w:rPr>
              <w:t>Obligations of states and political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660" w:type="dxa"/>
            <w:vAlign w:val="bottom"/>
            <w:gridSpan w:val="4"/>
          </w:tcPr>
          <w:p>
            <w:pPr>
              <w:spacing w:after="0"/>
              <w:rPr>
                <w:sz w:val="20"/>
                <w:szCs w:val="20"/>
                <w:color w:val="auto"/>
              </w:rPr>
            </w:pPr>
            <w:r>
              <w:rPr>
                <w:rFonts w:ascii="Arial" w:cs="Arial" w:eastAsia="Arial" w:hAnsi="Arial"/>
                <w:sz w:val="17"/>
                <w:szCs w:val="17"/>
                <w:color w:val="auto"/>
              </w:rPr>
              <w:t>subdivisions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27,244</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2,178,208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127,198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2,676,232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154,442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4,854,440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Corporate securities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1,474,703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52,689,981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558,707</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9,403,585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2,033,410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62,093,566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40" w:type="dxa"/>
            <w:vAlign w:val="bottom"/>
            <w:gridSpan w:val="3"/>
          </w:tcPr>
          <w:p>
            <w:pPr>
              <w:spacing w:after="0" w:line="194" w:lineRule="exact"/>
              <w:rPr>
                <w:sz w:val="20"/>
                <w:szCs w:val="20"/>
                <w:color w:val="auto"/>
              </w:rPr>
            </w:pPr>
            <w:r>
              <w:rPr>
                <w:rFonts w:ascii="Arial" w:cs="Arial" w:eastAsia="Arial" w:hAnsi="Arial"/>
                <w:sz w:val="17"/>
                <w:szCs w:val="17"/>
                <w:color w:val="auto"/>
              </w:rPr>
              <w:t>Mortgage and other asset-backed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660" w:type="dxa"/>
            <w:vAlign w:val="bottom"/>
            <w:gridSpan w:val="4"/>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91,703</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2,719,836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203,298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2,025,315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295,001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4,745,151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Redeemable preferred stock</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11,612</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11,612</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40" w:type="dxa"/>
            <w:vAlign w:val="bottom"/>
            <w:gridSpan w:val="3"/>
          </w:tcPr>
          <w:p>
            <w:pPr>
              <w:spacing w:after="0"/>
              <w:rPr>
                <w:sz w:val="20"/>
                <w:szCs w:val="20"/>
                <w:color w:val="auto"/>
              </w:rPr>
            </w:pPr>
            <w:r>
              <w:rPr>
                <w:rFonts w:ascii="Arial" w:cs="Arial" w:eastAsia="Arial" w:hAnsi="Arial"/>
                <w:sz w:val="17"/>
                <w:szCs w:val="17"/>
                <w:color w:val="auto"/>
              </w:rPr>
              <w:t>Total unrealized losses</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2,574,516</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$ 97,277,922</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961,706</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w w:val="91"/>
              </w:rPr>
              <w:t>16,415,516</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3,536,222</w:t>
            </w:r>
          </w:p>
        </w:tc>
        <w:tc>
          <w:tcPr>
            <w:tcW w:w="2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w w:val="90"/>
              </w:rPr>
              <w:t>113,693,438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auto"/>
            </w:tcBorders>
            <w:vMerge w:val="continue"/>
          </w:tcPr>
          <w:p>
            <w:pPr>
              <w:spacing w:after="0"/>
              <w:rPr>
                <w:sz w:val="14"/>
                <w:szCs w:val="14"/>
                <w:color w:val="auto"/>
              </w:rPr>
            </w:pPr>
          </w:p>
        </w:tc>
        <w:tc>
          <w:tcPr>
            <w:tcW w:w="1560" w:type="dxa"/>
            <w:vAlign w:val="bottom"/>
            <w:tcBorders>
              <w:bottom w:val="single" w:sz="8" w:color="auto"/>
            </w:tcBorders>
            <w:gridSpan w:val="2"/>
          </w:tcPr>
          <w:p>
            <w:pPr>
              <w:spacing w:after="0" w:line="168" w:lineRule="exact"/>
              <w:rPr>
                <w:sz w:val="20"/>
                <w:szCs w:val="20"/>
                <w:color w:val="auto"/>
              </w:rPr>
            </w:pPr>
            <w:r>
              <w:rPr>
                <w:rFonts w:ascii="Arial" w:cs="Arial" w:eastAsia="Arial" w:hAnsi="Arial"/>
                <w:sz w:val="17"/>
                <w:szCs w:val="17"/>
                <w:color w:val="auto"/>
                <w:w w:val="90"/>
              </w:rPr>
              <w:t>At December 31, 2017</w:t>
            </w: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U.S. Treasury securities and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obligations of U.S. Government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Agencies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532,010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$ 51,606,699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47,413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643,380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579,423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52,250,079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40" w:type="dxa"/>
            <w:vAlign w:val="bottom"/>
            <w:gridSpan w:val="3"/>
          </w:tcPr>
          <w:p>
            <w:pPr>
              <w:spacing w:after="0" w:line="194" w:lineRule="exact"/>
              <w:rPr>
                <w:sz w:val="20"/>
                <w:szCs w:val="20"/>
                <w:color w:val="auto"/>
              </w:rPr>
            </w:pPr>
            <w:r>
              <w:rPr>
                <w:rFonts w:ascii="Arial" w:cs="Arial" w:eastAsia="Arial" w:hAnsi="Arial"/>
                <w:sz w:val="17"/>
                <w:szCs w:val="17"/>
                <w:color w:val="auto"/>
              </w:rPr>
              <w:t>Obligations of states and political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660" w:type="dxa"/>
            <w:vAlign w:val="bottom"/>
            <w:gridSpan w:val="4"/>
          </w:tcPr>
          <w:p>
            <w:pPr>
              <w:spacing w:after="0"/>
              <w:rPr>
                <w:sz w:val="20"/>
                <w:szCs w:val="20"/>
                <w:color w:val="auto"/>
              </w:rPr>
            </w:pPr>
            <w:r>
              <w:rPr>
                <w:rFonts w:ascii="Arial" w:cs="Arial" w:eastAsia="Arial" w:hAnsi="Arial"/>
                <w:sz w:val="17"/>
                <w:szCs w:val="17"/>
                <w:color w:val="auto"/>
              </w:rPr>
              <w:t>subdivisions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296</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214,882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70,717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2,225,021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71,013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2,439,903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Corporate securities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167,786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11,551,865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839,718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13,193,258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1,007,504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24,745,123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40" w:type="dxa"/>
            <w:vAlign w:val="bottom"/>
            <w:gridSpan w:val="3"/>
          </w:tcPr>
          <w:p>
            <w:pPr>
              <w:spacing w:after="0" w:line="194" w:lineRule="exact"/>
              <w:rPr>
                <w:sz w:val="20"/>
                <w:szCs w:val="20"/>
                <w:color w:val="auto"/>
              </w:rPr>
            </w:pPr>
            <w:r>
              <w:rPr>
                <w:rFonts w:ascii="Arial" w:cs="Arial" w:eastAsia="Arial" w:hAnsi="Arial"/>
                <w:sz w:val="17"/>
                <w:szCs w:val="17"/>
                <w:color w:val="auto"/>
              </w:rPr>
              <w:t>Mortgage and other asset-backed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660" w:type="dxa"/>
            <w:vAlign w:val="bottom"/>
            <w:gridSpan w:val="4"/>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56,756</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2,516,660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105,375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1,676,494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162,131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4,193,154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Redeemable preferred stock</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11,421</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11,421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40" w:type="dxa"/>
            <w:vAlign w:val="bottom"/>
            <w:gridSpan w:val="3"/>
          </w:tcPr>
          <w:p>
            <w:pPr>
              <w:spacing w:after="0"/>
              <w:rPr>
                <w:sz w:val="20"/>
                <w:szCs w:val="20"/>
                <w:color w:val="auto"/>
              </w:rPr>
            </w:pPr>
            <w:r>
              <w:rPr>
                <w:rFonts w:ascii="Arial" w:cs="Arial" w:eastAsia="Arial" w:hAnsi="Arial"/>
                <w:sz w:val="17"/>
                <w:szCs w:val="17"/>
                <w:color w:val="auto"/>
              </w:rPr>
              <w:t>Total unrealized losses</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757,039</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$ 65,901,527</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1,063,223</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w w:val="91"/>
              </w:rPr>
              <w:t>17,738,153</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1,820,262</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83,639,680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There were 316 securities with fair value of 97.0% of amortized cost at June 30, 2018. There were 141 securities with fair value of 97.9% of amortized cost at December 31, 2017. During the three months ended June 30, 2018 and 2017, an other than temporary decline in fair value resulted in the recognition of credit losses on fixed maturity securities of $-0- and $266,227, respectively, and for the six months ended June 30, 2018 and 2017, an other than temporary decline in fair value resulted in the recognition of credit losses on fixed maturity securities of $-0- and $318,366, respectively.</w:t>
      </w:r>
    </w:p>
    <w:p>
      <w:pPr>
        <w:spacing w:after="0" w:line="22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a quarterly basis, the Company evaluates its fixed maturity securities held to maturity. This evaluation includes a review of current ratings by the National Association of Insurance Commissions ("NAIC"). Securities with a rating of 1 or 2 are considered investment grade and are not reviewed for impairment. Securities with ratings of 3 to 5 are evaluated for impairment. Securities with a rating of 6 are automatically determined to be impaired and are written down. The evaluation involves an analysis of the securities in relation to historical values, interest payment history, projected earnings and revenue growth rates as well as a review of the reason for a downgrade in the NAIC rating. Based on the analysis of a security that is rated 3 to 5, a determination is made whether the security will likely make interest and principal payments in accordance with the terms of the financial instrument. If it is unlikely that the security will meet contractual obligations, the loss is considered to be other than temporary, the security is written down to the new anticipated market value and an impairment loss is recognized. Impairment losses are treated as credit losses as the Company holds fixed maturity securities to maturity unless the underlying conditions have changed in the financial instrument to require an impairment.</w:t>
      </w:r>
    </w:p>
    <w:p>
      <w:pPr>
        <w:spacing w:after="0" w:line="23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fair values of fixed maturity securities are based on quoted market prices, when available. For fixed maturity 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1"/>
          <w:szCs w:val="21"/>
          <w:color w:val="auto"/>
        </w:rPr>
        <w:t>SECURITY NATIONAL FINANCIAL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June 30, 2018 (Unaudited)</w:t>
      </w:r>
    </w:p>
    <w:p>
      <w:pPr>
        <w:spacing w:after="0" w:line="257" w:lineRule="exact"/>
        <w:rPr>
          <w:sz w:val="20"/>
          <w:szCs w:val="20"/>
          <w:color w:val="auto"/>
        </w:rPr>
      </w:pPr>
    </w:p>
    <w:p>
      <w:pPr>
        <w:ind w:left="620" w:hanging="61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74" w:lineRule="exact"/>
        <w:rPr>
          <w:sz w:val="20"/>
          <w:szCs w:val="20"/>
          <w:color w:val="auto"/>
        </w:rPr>
      </w:pPr>
    </w:p>
    <w:p>
      <w:pPr>
        <w:jc w:val="both"/>
        <w:spacing w:after="0" w:line="268" w:lineRule="auto"/>
        <w:rPr>
          <w:sz w:val="20"/>
          <w:szCs w:val="20"/>
          <w:color w:val="auto"/>
        </w:rPr>
      </w:pPr>
      <w:r>
        <w:rPr>
          <w:rFonts w:ascii="Arial" w:cs="Arial" w:eastAsia="Arial" w:hAnsi="Arial"/>
          <w:sz w:val="21"/>
          <w:szCs w:val="21"/>
          <w:color w:val="auto"/>
        </w:rPr>
        <w:t>The amortized cost and estimated fair value of fixed maturity securities held to maturity, at June 30, 2018, by contractual maturity, are shown below. Expected maturities may differ from contractual maturities because certain borrowers may have the right to call or prepay obligations with or without call or prepayment penalties.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ind w:right="14"/>
              <w:spacing w:after="0"/>
              <w:rPr>
                <w:sz w:val="20"/>
                <w:szCs w:val="20"/>
                <w:color w:val="auto"/>
              </w:rPr>
            </w:pPr>
            <w:r>
              <w:rPr>
                <w:rFonts w:ascii="Arial" w:cs="Arial" w:eastAsia="Arial" w:hAnsi="Arial"/>
                <w:sz w:val="17"/>
                <w:szCs w:val="17"/>
                <w:color w:val="auto"/>
                <w:w w:val="92"/>
              </w:rPr>
              <w:t>Estimated</w:t>
            </w:r>
          </w:p>
        </w:tc>
        <w:tc>
          <w:tcPr>
            <w:tcW w:w="8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34"/>
              <w:spacing w:after="0"/>
              <w:rPr>
                <w:sz w:val="20"/>
                <w:szCs w:val="20"/>
                <w:color w:val="auto"/>
              </w:rPr>
            </w:pPr>
            <w:r>
              <w:rPr>
                <w:rFonts w:ascii="Arial" w:cs="Arial" w:eastAsia="Arial" w:hAnsi="Arial"/>
                <w:sz w:val="17"/>
                <w:szCs w:val="17"/>
                <w:color w:val="auto"/>
                <w:w w:val="96"/>
              </w:rPr>
              <w:t>Amortized</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95"/>
              </w:rPr>
              <w:t>Fair</w:t>
            </w:r>
          </w:p>
        </w:tc>
        <w:tc>
          <w:tcPr>
            <w:tcW w:w="8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Cost</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color w:val="auto"/>
                <w:w w:val="87"/>
              </w:rPr>
              <w:t>Value</w:t>
            </w:r>
          </w:p>
        </w:tc>
        <w:tc>
          <w:tcPr>
            <w:tcW w:w="80" w:type="dxa"/>
            <w:vAlign w:val="bottom"/>
          </w:tcPr>
          <w:p>
            <w:pPr>
              <w:spacing w:after="0"/>
              <w:rPr>
                <w:sz w:val="19"/>
                <w:szCs w:val="19"/>
                <w:color w:val="auto"/>
              </w:rPr>
            </w:pPr>
          </w:p>
        </w:tc>
      </w:tr>
      <w:tr>
        <w:trPr>
          <w:trHeight w:val="207"/>
        </w:trPr>
        <w:tc>
          <w:tcPr>
            <w:tcW w:w="4540" w:type="dxa"/>
            <w:vAlign w:val="bottom"/>
            <w:gridSpan w:val="2"/>
          </w:tcPr>
          <w:p>
            <w:pPr>
              <w:spacing w:after="0"/>
              <w:rPr>
                <w:sz w:val="20"/>
                <w:szCs w:val="20"/>
                <w:color w:val="auto"/>
              </w:rPr>
            </w:pPr>
            <w:r>
              <w:rPr>
                <w:rFonts w:ascii="Arial" w:cs="Arial" w:eastAsia="Arial" w:hAnsi="Arial"/>
                <w:sz w:val="17"/>
                <w:szCs w:val="17"/>
                <w:color w:val="auto"/>
              </w:rPr>
              <w:t>Held to Maturity:</w:t>
            </w:r>
          </w:p>
        </w:tc>
        <w:tc>
          <w:tcPr>
            <w:tcW w:w="2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Due in 1 year</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4,672,982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4,780,152</w:t>
            </w:r>
          </w:p>
        </w:tc>
        <w:tc>
          <w:tcPr>
            <w:tcW w:w="8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4520" w:type="dxa"/>
            <w:vAlign w:val="bottom"/>
          </w:tcPr>
          <w:p>
            <w:pPr>
              <w:ind w:left="160"/>
              <w:spacing w:after="0"/>
              <w:rPr>
                <w:sz w:val="20"/>
                <w:szCs w:val="20"/>
                <w:color w:val="auto"/>
              </w:rPr>
            </w:pPr>
            <w:r>
              <w:rPr>
                <w:rFonts w:ascii="Arial" w:cs="Arial" w:eastAsia="Arial" w:hAnsi="Arial"/>
                <w:sz w:val="17"/>
                <w:szCs w:val="17"/>
                <w:color w:val="auto"/>
              </w:rPr>
              <w:t>Due in 2-5 years</w:t>
            </w:r>
          </w:p>
        </w:tc>
        <w:tc>
          <w:tcPr>
            <w:tcW w:w="2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66,946,075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66,997,789</w:t>
            </w:r>
          </w:p>
        </w:tc>
        <w:tc>
          <w:tcPr>
            <w:tcW w:w="8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Due in 5-10 years</w:t>
            </w:r>
          </w:p>
        </w:tc>
        <w:tc>
          <w:tcPr>
            <w:tcW w:w="2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56,121,102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56,597,254</w:t>
            </w:r>
          </w:p>
        </w:tc>
        <w:tc>
          <w:tcPr>
            <w:tcW w:w="8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4520" w:type="dxa"/>
            <w:vAlign w:val="bottom"/>
          </w:tcPr>
          <w:p>
            <w:pPr>
              <w:ind w:left="160"/>
              <w:spacing w:after="0"/>
              <w:rPr>
                <w:sz w:val="20"/>
                <w:szCs w:val="20"/>
                <w:color w:val="auto"/>
              </w:rPr>
            </w:pPr>
            <w:r>
              <w:rPr>
                <w:rFonts w:ascii="Arial" w:cs="Arial" w:eastAsia="Arial" w:hAnsi="Arial"/>
                <w:sz w:val="17"/>
                <w:szCs w:val="17"/>
                <w:color w:val="auto"/>
              </w:rPr>
              <w:t>Due in more than 10 years</w:t>
            </w:r>
          </w:p>
        </w:tc>
        <w:tc>
          <w:tcPr>
            <w:tcW w:w="2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77,634,176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82,171,945</w:t>
            </w:r>
          </w:p>
        </w:tc>
        <w:tc>
          <w:tcPr>
            <w:tcW w:w="8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Mortgage-backed securities</w:t>
            </w:r>
          </w:p>
        </w:tc>
        <w:tc>
          <w:tcPr>
            <w:tcW w:w="2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12,411,842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12,316,415</w:t>
            </w:r>
          </w:p>
        </w:tc>
        <w:tc>
          <w:tcPr>
            <w:tcW w:w="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7"/>
                <w:szCs w:val="17"/>
                <w:color w:val="auto"/>
              </w:rPr>
              <w:t>Redeemable preferred stock</w:t>
            </w:r>
          </w:p>
        </w:tc>
        <w:tc>
          <w:tcPr>
            <w:tcW w:w="2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623,635</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660,103</w:t>
            </w:r>
          </w:p>
        </w:tc>
        <w:tc>
          <w:tcPr>
            <w:tcW w:w="80" w:type="dxa"/>
            <w:vAlign w:val="bottom"/>
          </w:tcPr>
          <w:p>
            <w:pPr>
              <w:spacing w:after="0"/>
              <w:rPr>
                <w:sz w:val="18"/>
                <w:szCs w:val="18"/>
                <w:color w:val="auto"/>
              </w:rPr>
            </w:pPr>
          </w:p>
        </w:tc>
      </w:tr>
      <w:tr>
        <w:trPr>
          <w:trHeight w:val="247"/>
        </w:trPr>
        <w:tc>
          <w:tcPr>
            <w:tcW w:w="20" w:type="dxa"/>
            <w:vAlign w:val="bottom"/>
          </w:tcPr>
          <w:p>
            <w:pPr>
              <w:spacing w:after="0"/>
              <w:rPr>
                <w:sz w:val="21"/>
                <w:szCs w:val="21"/>
                <w:color w:val="auto"/>
              </w:rPr>
            </w:pPr>
          </w:p>
        </w:tc>
        <w:tc>
          <w:tcPr>
            <w:tcW w:w="4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held to maturity</w:t>
            </w:r>
          </w:p>
        </w:tc>
        <w:tc>
          <w:tcPr>
            <w:tcW w:w="2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218,409,812</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223,523,658</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50"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The Company is a member of the Federal Home Loan Bank of Des Moines ("FHLB"). The Company currently has deposited a total of $50,000,000, par value, of United States Treasury fixed maturity securities with FHLB. These securities generate interest income for the Company and are available to use as collateral on any cash borrowings from the FHLB. As of June 30, 2018, the Company owed $45,000,000 to the FHLB. This amount owed was paid in July 2018.</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Securities</w:t>
      </w:r>
    </w:p>
    <w:p>
      <w:pPr>
        <w:spacing w:after="0" w:line="2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following tables summarize unrealized losses on equity securities that were carried at estimated fair value based on quoted trading prices at December 31, 2017. The unrealized losses were primarily the result of decreases in fair value in the retail, industrial and energy sectors. The tables set forth unrealized losses by duration and number of investment positions, together with the fair value of the related equity securities in a loss position:</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34"/>
              <w:spacing w:after="0"/>
              <w:rPr>
                <w:sz w:val="20"/>
                <w:szCs w:val="20"/>
                <w:color w:val="auto"/>
              </w:rPr>
            </w:pPr>
            <w:r>
              <w:rPr>
                <w:rFonts w:ascii="Arial" w:cs="Arial" w:eastAsia="Arial" w:hAnsi="Arial"/>
                <w:sz w:val="17"/>
                <w:szCs w:val="17"/>
                <w:color w:val="auto"/>
                <w:w w:val="93"/>
              </w:rPr>
              <w:t>Unrealized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14"/>
              <w:spacing w:after="0"/>
              <w:rPr>
                <w:sz w:val="20"/>
                <w:szCs w:val="20"/>
                <w:color w:val="auto"/>
              </w:rPr>
            </w:pPr>
            <w:r>
              <w:rPr>
                <w:rFonts w:ascii="Arial" w:cs="Arial" w:eastAsia="Arial" w:hAnsi="Arial"/>
                <w:sz w:val="17"/>
                <w:szCs w:val="17"/>
                <w:color w:val="auto"/>
                <w:w w:val="93"/>
              </w:rPr>
              <w:t>Unrealized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34"/>
              <w:spacing w:after="0"/>
              <w:rPr>
                <w:sz w:val="20"/>
                <w:szCs w:val="20"/>
                <w:color w:val="auto"/>
              </w:rPr>
            </w:pPr>
            <w:r>
              <w:rPr>
                <w:rFonts w:ascii="Arial" w:cs="Arial" w:eastAsia="Arial" w:hAnsi="Arial"/>
                <w:sz w:val="17"/>
                <w:szCs w:val="17"/>
                <w:color w:val="auto"/>
                <w:w w:val="91"/>
              </w:rPr>
              <w:t>Losses for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14"/>
              <w:spacing w:after="0"/>
              <w:rPr>
                <w:sz w:val="20"/>
                <w:szCs w:val="20"/>
                <w:color w:val="auto"/>
              </w:rPr>
            </w:pPr>
            <w:r>
              <w:rPr>
                <w:rFonts w:ascii="Arial" w:cs="Arial" w:eastAsia="Arial" w:hAnsi="Arial"/>
                <w:sz w:val="17"/>
                <w:szCs w:val="17"/>
                <w:color w:val="auto"/>
                <w:w w:val="91"/>
              </w:rPr>
              <w:t>Losses for</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center"/>
              <w:ind w:right="114"/>
              <w:spacing w:after="0"/>
              <w:rPr>
                <w:sz w:val="20"/>
                <w:szCs w:val="20"/>
                <w:color w:val="auto"/>
              </w:rPr>
            </w:pPr>
            <w:r>
              <w:rPr>
                <w:rFonts w:ascii="Arial" w:cs="Arial" w:eastAsia="Arial" w:hAnsi="Arial"/>
                <w:sz w:val="17"/>
                <w:szCs w:val="17"/>
                <w:color w:val="auto"/>
                <w:w w:val="86"/>
              </w:rPr>
              <w:t>Less than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14"/>
              <w:spacing w:after="0"/>
              <w:rPr>
                <w:sz w:val="20"/>
                <w:szCs w:val="20"/>
                <w:color w:val="auto"/>
              </w:rPr>
            </w:pPr>
            <w:r>
              <w:rPr>
                <w:rFonts w:ascii="Arial" w:cs="Arial" w:eastAsia="Arial" w:hAnsi="Arial"/>
                <w:sz w:val="17"/>
                <w:szCs w:val="17"/>
                <w:color w:val="auto"/>
                <w:w w:val="96"/>
              </w:rPr>
              <w:t>No. of</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14"/>
              <w:spacing w:after="0"/>
              <w:rPr>
                <w:sz w:val="20"/>
                <w:szCs w:val="20"/>
                <w:color w:val="auto"/>
              </w:rPr>
            </w:pPr>
            <w:r>
              <w:rPr>
                <w:rFonts w:ascii="Arial" w:cs="Arial" w:eastAsia="Arial" w:hAnsi="Arial"/>
                <w:sz w:val="17"/>
                <w:szCs w:val="17"/>
                <w:color w:val="auto"/>
                <w:w w:val="94"/>
              </w:rPr>
              <w:t>More than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34"/>
              <w:spacing w:after="0"/>
              <w:rPr>
                <w:sz w:val="20"/>
                <w:szCs w:val="20"/>
                <w:color w:val="auto"/>
              </w:rPr>
            </w:pPr>
            <w:r>
              <w:rPr>
                <w:rFonts w:ascii="Arial" w:cs="Arial" w:eastAsia="Arial" w:hAnsi="Arial"/>
                <w:sz w:val="17"/>
                <w:szCs w:val="17"/>
                <w:color w:val="auto"/>
                <w:w w:val="96"/>
              </w:rPr>
              <w:t>No.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154"/>
              <w:spacing w:after="0"/>
              <w:rPr>
                <w:sz w:val="20"/>
                <w:szCs w:val="20"/>
                <w:color w:val="auto"/>
              </w:rPr>
            </w:pPr>
            <w:r>
              <w:rPr>
                <w:rFonts w:ascii="Arial" w:cs="Arial" w:eastAsia="Arial" w:hAnsi="Arial"/>
                <w:sz w:val="17"/>
                <w:szCs w:val="17"/>
                <w:color w:val="auto"/>
                <w:w w:val="89"/>
              </w:rPr>
              <w:t>Total</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center"/>
              <w:ind w:right="114"/>
              <w:spacing w:after="0"/>
              <w:rPr>
                <w:sz w:val="20"/>
                <w:szCs w:val="20"/>
                <w:color w:val="auto"/>
              </w:rPr>
            </w:pPr>
            <w:r>
              <w:rPr>
                <w:rFonts w:ascii="Arial" w:cs="Arial" w:eastAsia="Arial" w:hAnsi="Arial"/>
                <w:sz w:val="17"/>
                <w:szCs w:val="17"/>
                <w:color w:val="auto"/>
                <w:w w:val="96"/>
              </w:rPr>
              <w:t>Twelve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14"/>
              <w:spacing w:after="0"/>
              <w:rPr>
                <w:sz w:val="20"/>
                <w:szCs w:val="20"/>
                <w:color w:val="auto"/>
              </w:rPr>
            </w:pPr>
            <w:r>
              <w:rPr>
                <w:rFonts w:ascii="Arial" w:cs="Arial" w:eastAsia="Arial" w:hAnsi="Arial"/>
                <w:sz w:val="17"/>
                <w:szCs w:val="17"/>
                <w:color w:val="auto"/>
                <w:w w:val="91"/>
              </w:rPr>
              <w:t>Investment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114"/>
              <w:spacing w:after="0"/>
              <w:rPr>
                <w:sz w:val="20"/>
                <w:szCs w:val="20"/>
                <w:color w:val="auto"/>
              </w:rPr>
            </w:pPr>
            <w:r>
              <w:rPr>
                <w:rFonts w:ascii="Arial" w:cs="Arial" w:eastAsia="Arial" w:hAnsi="Arial"/>
                <w:sz w:val="17"/>
                <w:szCs w:val="17"/>
                <w:color w:val="auto"/>
                <w:w w:val="92"/>
              </w:rPr>
              <w:t>Twelve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14"/>
              <w:spacing w:after="0"/>
              <w:rPr>
                <w:sz w:val="20"/>
                <w:szCs w:val="20"/>
                <w:color w:val="auto"/>
              </w:rPr>
            </w:pPr>
            <w:r>
              <w:rPr>
                <w:rFonts w:ascii="Arial" w:cs="Arial" w:eastAsia="Arial" w:hAnsi="Arial"/>
                <w:sz w:val="17"/>
                <w:szCs w:val="17"/>
                <w:color w:val="auto"/>
                <w:w w:val="93"/>
              </w:rPr>
              <w:t>Investment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4"/>
              <w:spacing w:after="0"/>
              <w:rPr>
                <w:sz w:val="20"/>
                <w:szCs w:val="20"/>
                <w:color w:val="auto"/>
              </w:rPr>
            </w:pPr>
            <w:r>
              <w:rPr>
                <w:rFonts w:ascii="Arial" w:cs="Arial" w:eastAsia="Arial" w:hAnsi="Arial"/>
                <w:sz w:val="17"/>
                <w:szCs w:val="17"/>
                <w:color w:val="auto"/>
                <w:w w:val="93"/>
              </w:rPr>
              <w:t>Unrealized</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color w:val="auto"/>
                <w:w w:val="93"/>
              </w:rPr>
              <w:t>Months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color w:val="auto"/>
                <w:w w:val="92"/>
              </w:rPr>
              <w:t>Positions</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color w:val="auto"/>
                <w:w w:val="93"/>
              </w:rPr>
              <w:t>Months</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color w:val="auto"/>
                <w:w w:val="89"/>
              </w:rPr>
              <w:t>Positions</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54"/>
              <w:spacing w:after="0"/>
              <w:rPr>
                <w:sz w:val="20"/>
                <w:szCs w:val="20"/>
                <w:color w:val="auto"/>
              </w:rPr>
            </w:pPr>
            <w:r>
              <w:rPr>
                <w:rFonts w:ascii="Arial" w:cs="Arial" w:eastAsia="Arial" w:hAnsi="Arial"/>
                <w:sz w:val="17"/>
                <w:szCs w:val="17"/>
                <w:color w:val="auto"/>
                <w:w w:val="85"/>
              </w:rPr>
              <w:t>Losses</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1580" w:type="dxa"/>
            <w:vAlign w:val="bottom"/>
            <w:tcBorders>
              <w:bottom w:val="single" w:sz="8" w:color="auto"/>
            </w:tcBorders>
            <w:gridSpan w:val="2"/>
          </w:tcPr>
          <w:p>
            <w:pPr>
              <w:spacing w:after="0" w:line="168" w:lineRule="exact"/>
              <w:rPr>
                <w:sz w:val="20"/>
                <w:szCs w:val="20"/>
                <w:color w:val="auto"/>
              </w:rPr>
            </w:pPr>
            <w:r>
              <w:rPr>
                <w:rFonts w:ascii="Arial" w:cs="Arial" w:eastAsia="Arial" w:hAnsi="Arial"/>
                <w:sz w:val="17"/>
                <w:szCs w:val="17"/>
                <w:color w:val="auto"/>
                <w:w w:val="91"/>
              </w:rPr>
              <w:t>At December 31, 2017</w:t>
            </w: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Industrial, miscellaneous and all other</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213,097</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419,572</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632,669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3640" w:type="dxa"/>
            <w:vAlign w:val="bottom"/>
            <w:gridSpan w:val="2"/>
          </w:tcPr>
          <w:p>
            <w:pPr>
              <w:spacing w:after="0"/>
              <w:rPr>
                <w:sz w:val="20"/>
                <w:szCs w:val="20"/>
                <w:color w:val="auto"/>
              </w:rPr>
            </w:pPr>
            <w:r>
              <w:rPr>
                <w:rFonts w:ascii="Arial" w:cs="Arial" w:eastAsia="Arial" w:hAnsi="Arial"/>
                <w:sz w:val="17"/>
                <w:szCs w:val="17"/>
                <w:color w:val="auto"/>
              </w:rPr>
              <w:t>Total unrealized losses</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213,097</w:t>
            </w:r>
          </w:p>
        </w:tc>
        <w:tc>
          <w:tcPr>
            <w:tcW w:w="200" w:type="dxa"/>
            <w:vAlign w:val="bottom"/>
            <w:gridSpan w:val="2"/>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98</w:t>
            </w:r>
          </w:p>
        </w:tc>
        <w:tc>
          <w:tcPr>
            <w:tcW w:w="3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419,572</w:t>
            </w: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81</w:t>
            </w:r>
          </w:p>
        </w:tc>
        <w:tc>
          <w:tcPr>
            <w:tcW w:w="3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632,669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3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Fair Value</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847,718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1,329,213</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2,176,931</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average fair value of the equity securities was 77.5% of the original investment as of December 31, 2017. The intent of the Company is to retain equity securities for a period of time sufficient to allow for the recovery in fair value. However, the Company may sell equity securities during a period in which the fair value has declined below the amount of the original investment. In certain situations, new factors, including changes in the business environment, can change the Company's previous intent to continue holding a security.</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fair values for equity securities are based on quoted market prices.</w:t>
      </w:r>
    </w:p>
    <w:p>
      <w:pPr>
        <w:spacing w:after="0" w:line="2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See Note 2 regarding the adoption of ASU 2016-01 on January 1, 2018. The Company now recognizes the changes (unrealized gains and losses) in the fair value of these equity securities through earnings as part of gains on investments and other assets on the condensed consolidated statements of earnings instead of other comprehensive income on the condensed consolidated balance sheets.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1"/>
          <w:szCs w:val="21"/>
          <w:color w:val="auto"/>
        </w:rPr>
        <w:t>SECURITY NATIONAL FINANCIAL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June 30, 2018 (Unaudited)</w:t>
      </w:r>
    </w:p>
    <w:p>
      <w:pPr>
        <w:spacing w:after="0" w:line="257" w:lineRule="exact"/>
        <w:rPr>
          <w:sz w:val="20"/>
          <w:szCs w:val="20"/>
          <w:color w:val="auto"/>
        </w:rPr>
      </w:pPr>
    </w:p>
    <w:p>
      <w:pPr>
        <w:ind w:left="620" w:hanging="617"/>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74" w:lineRule="exact"/>
        <w:rPr>
          <w:sz w:val="20"/>
          <w:szCs w:val="20"/>
          <w:color w:val="auto"/>
        </w:rPr>
      </w:pPr>
    </w:p>
    <w:p>
      <w:pPr>
        <w:jc w:val="both"/>
        <w:spacing w:after="0" w:line="305" w:lineRule="auto"/>
        <w:rPr>
          <w:sz w:val="20"/>
          <w:szCs w:val="20"/>
          <w:color w:val="auto"/>
        </w:rPr>
      </w:pPr>
      <w:r>
        <w:rPr>
          <w:rFonts w:ascii="Arial" w:cs="Arial" w:eastAsia="Arial" w:hAnsi="Arial"/>
          <w:sz w:val="20"/>
          <w:szCs w:val="20"/>
          <w:color w:val="auto"/>
        </w:rPr>
        <w:t>The Company's net gains from investments and other assets, including net realized gains and losses from sales, calls, and maturities, unrealized gains and losses on equity securities, and other than temporary impairments are summarized as follows:</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gridSpan w:val="6"/>
          </w:tcPr>
          <w:p>
            <w:pPr>
              <w:jc w:val="right"/>
              <w:ind w:right="220"/>
              <w:spacing w:after="0"/>
              <w:rPr>
                <w:sz w:val="20"/>
                <w:szCs w:val="20"/>
                <w:color w:val="auto"/>
              </w:rPr>
            </w:pPr>
            <w:r>
              <w:rPr>
                <w:rFonts w:ascii="Arial" w:cs="Arial" w:eastAsia="Arial" w:hAnsi="Arial"/>
                <w:sz w:val="17"/>
                <w:szCs w:val="17"/>
                <w:color w:val="auto"/>
                <w:w w:val="89"/>
              </w:rPr>
              <w:t>Three Months Ended June 30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gridSpan w:val="6"/>
          </w:tcPr>
          <w:p>
            <w:pPr>
              <w:jc w:val="right"/>
              <w:ind w:right="320"/>
              <w:spacing w:after="0"/>
              <w:rPr>
                <w:sz w:val="20"/>
                <w:szCs w:val="20"/>
                <w:color w:val="auto"/>
              </w:rPr>
            </w:pPr>
            <w:r>
              <w:rPr>
                <w:rFonts w:ascii="Arial" w:cs="Arial" w:eastAsia="Arial" w:hAnsi="Arial"/>
                <w:sz w:val="17"/>
                <w:szCs w:val="17"/>
                <w:color w:val="auto"/>
                <w:w w:val="94"/>
              </w:rPr>
              <w:t>Six Months Ended June 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color w:val="auto"/>
              </w:rPr>
              <w:t>2018</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color w:val="auto"/>
              </w:rPr>
              <w:t>2017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color w:val="auto"/>
              </w:rPr>
              <w:t>2018</w:t>
            </w: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color w:val="auto"/>
              </w:rPr>
              <w:t>2017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320" w:type="dxa"/>
            <w:vAlign w:val="bottom"/>
            <w:gridSpan w:val="2"/>
          </w:tcPr>
          <w:p>
            <w:pPr>
              <w:spacing w:after="0"/>
              <w:rPr>
                <w:sz w:val="20"/>
                <w:szCs w:val="20"/>
                <w:color w:val="auto"/>
              </w:rPr>
            </w:pPr>
            <w:r>
              <w:rPr>
                <w:rFonts w:ascii="Arial" w:cs="Arial" w:eastAsia="Arial" w:hAnsi="Arial"/>
                <w:sz w:val="17"/>
                <w:szCs w:val="17"/>
                <w:color w:val="auto"/>
              </w:rPr>
              <w:t>Fixed maturity securities held to maturity:</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3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Gross realized gains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259,503</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50,987</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287,635</w:t>
            </w: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53,422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300" w:type="dxa"/>
            <w:vAlign w:val="bottom"/>
          </w:tcPr>
          <w:p>
            <w:pPr>
              <w:ind w:left="360"/>
              <w:spacing w:after="0"/>
              <w:rPr>
                <w:sz w:val="20"/>
                <w:szCs w:val="20"/>
                <w:color w:val="auto"/>
              </w:rPr>
            </w:pPr>
            <w:r>
              <w:rPr>
                <w:rFonts w:ascii="Arial" w:cs="Arial" w:eastAsia="Arial" w:hAnsi="Arial"/>
                <w:sz w:val="17"/>
                <w:szCs w:val="17"/>
                <w:color w:val="auto"/>
              </w:rPr>
              <w:t>Gross realized losses</w:t>
            </w:r>
          </w:p>
        </w:tc>
        <w:tc>
          <w:tcPr>
            <w:tcW w:w="10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(260,702)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(35,066)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(569,633)</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(35,066)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3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Other than temporary impairments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(266,227)</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(318,366)</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300" w:type="dxa"/>
            <w:vAlign w:val="bottom"/>
          </w:tcPr>
          <w:p>
            <w:pPr>
              <w:ind w:left="360"/>
              <w:spacing w:after="0"/>
              <w:rPr>
                <w:sz w:val="20"/>
                <w:szCs w:val="20"/>
                <w:color w:val="auto"/>
              </w:rPr>
            </w:pPr>
            <w:r>
              <w:rPr>
                <w:rFonts w:ascii="Arial" w:cs="Arial" w:eastAsia="Arial" w:hAnsi="Arial"/>
                <w:sz w:val="17"/>
                <w:szCs w:val="17"/>
                <w:color w:val="auto"/>
              </w:rPr>
              <w:t>Gross realized gains</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45,474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106,452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3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Gross realized losses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(53,881)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(58,437)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00" w:type="dxa"/>
            <w:vAlign w:val="bottom"/>
          </w:tcPr>
          <w:p>
            <w:pPr>
              <w:ind w:left="360"/>
              <w:spacing w:after="0" w:line="194" w:lineRule="exact"/>
              <w:rPr>
                <w:sz w:val="20"/>
                <w:szCs w:val="20"/>
                <w:color w:val="auto"/>
              </w:rPr>
            </w:pPr>
            <w:r>
              <w:rPr>
                <w:rFonts w:ascii="Arial" w:cs="Arial" w:eastAsia="Arial" w:hAnsi="Arial"/>
                <w:sz w:val="17"/>
                <w:szCs w:val="17"/>
                <w:color w:val="auto"/>
              </w:rPr>
              <w:t>Gains and (losses) during 2018 on securities sold in</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320" w:type="dxa"/>
            <w:vAlign w:val="bottom"/>
            <w:gridSpan w:val="2"/>
          </w:tcPr>
          <w:p>
            <w:pPr>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(39,797)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(25,146)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00" w:type="dxa"/>
            <w:vAlign w:val="bottom"/>
            <w:shd w:val="clear" w:color="auto" w:fill="CCEEFF"/>
          </w:tcPr>
          <w:p>
            <w:pPr>
              <w:ind w:left="360"/>
              <w:spacing w:after="0" w:line="194" w:lineRule="exact"/>
              <w:rPr>
                <w:sz w:val="20"/>
                <w:szCs w:val="20"/>
                <w:color w:val="auto"/>
              </w:rPr>
            </w:pPr>
            <w:r>
              <w:rPr>
                <w:rFonts w:ascii="Arial" w:cs="Arial" w:eastAsia="Arial" w:hAnsi="Arial"/>
                <w:sz w:val="17"/>
                <w:szCs w:val="17"/>
                <w:color w:val="auto"/>
                <w:w w:val="96"/>
              </w:rPr>
              <w:t>Unrealized gains and (losses) on securities held at the</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end of the period</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158,993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(213,048)</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assets:</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300" w:type="dxa"/>
            <w:vAlign w:val="bottom"/>
          </w:tcPr>
          <w:p>
            <w:pPr>
              <w:ind w:left="360"/>
              <w:spacing w:after="0"/>
              <w:rPr>
                <w:sz w:val="20"/>
                <w:szCs w:val="20"/>
                <w:color w:val="auto"/>
              </w:rPr>
            </w:pPr>
            <w:r>
              <w:rPr>
                <w:rFonts w:ascii="Arial" w:cs="Arial" w:eastAsia="Arial" w:hAnsi="Arial"/>
                <w:sz w:val="17"/>
                <w:szCs w:val="17"/>
                <w:color w:val="auto"/>
              </w:rPr>
              <w:t>Gross realized gains</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2,294,404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1,325,424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25,246,127</w:t>
            </w:r>
          </w:p>
        </w:tc>
        <w:tc>
          <w:tcPr>
            <w:tcW w:w="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96"/>
              </w:rPr>
              <w:t>(1)</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1,781,698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3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Gross realized losses</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(84,172)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(445,536)</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(376,767)</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(815,337)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3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4300" w:type="dxa"/>
            <w:vAlign w:val="bottom"/>
          </w:tcPr>
          <w:p>
            <w:pPr>
              <w:ind w:left="560"/>
              <w:spacing w:after="0"/>
              <w:rPr>
                <w:sz w:val="20"/>
                <w:szCs w:val="20"/>
                <w:color w:val="auto"/>
              </w:rPr>
            </w:pPr>
            <w:r>
              <w:rPr>
                <w:rFonts w:ascii="Arial" w:cs="Arial" w:eastAsia="Arial" w:hAnsi="Arial"/>
                <w:sz w:val="17"/>
                <w:szCs w:val="17"/>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2,328,229</w:t>
            </w:r>
          </w:p>
        </w:tc>
        <w:tc>
          <w:tcPr>
            <w:tcW w:w="120" w:type="dxa"/>
            <w:vAlign w:val="bottom"/>
          </w:tcPr>
          <w:p>
            <w:pPr>
              <w:spacing w:after="0"/>
              <w:rPr>
                <w:sz w:val="17"/>
                <w:szCs w:val="17"/>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621,175</w:t>
            </w:r>
          </w:p>
        </w:tc>
        <w:tc>
          <w:tcPr>
            <w:tcW w:w="120" w:type="dxa"/>
            <w:vAlign w:val="bottom"/>
          </w:tcPr>
          <w:p>
            <w:pPr>
              <w:spacing w:after="0"/>
              <w:rPr>
                <w:sz w:val="17"/>
                <w:szCs w:val="17"/>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w w:val="96"/>
              </w:rPr>
              <w:t>24,349,168</w:t>
            </w:r>
          </w:p>
        </w:tc>
        <w:tc>
          <w:tcPr>
            <w:tcW w:w="80" w:type="dxa"/>
            <w:vAlign w:val="bottom"/>
          </w:tcPr>
          <w:p>
            <w:pPr>
              <w:spacing w:after="0"/>
              <w:rPr>
                <w:sz w:val="17"/>
                <w:szCs w:val="17"/>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714,366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(1) Includes a one-time gain of $22,252,000 from the sale of Dry Creek at East Village apartments.</w:t>
      </w:r>
    </w:p>
    <w:p>
      <w:pPr>
        <w:spacing w:after="0" w:line="27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net realized gains and losses on the sale of securities are recorded on the trade date, and the cost of the securities sold is determined using the specific identification method.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carrying amount of held to maturity securities sold was $2,432,180 and $255,509 for the six months ended June 30, 2018 and 2017, respectively. The net realized loss related to these sales was $314,643 for the six months ended June 30, 2018 and the net realized gain related to these sales was $39,374 for the six months ended June 30, 2017. Although the intent is to buy and hold a fixed maturity security to maturity, the Company will sell a security prior to maturity if conditions have changed within the entity that issued the security to increase the risk of default to an unacceptable level.</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21"/>
          <w:szCs w:val="21"/>
          <w:color w:val="auto"/>
        </w:rPr>
        <w:t>SECURITY NATIONAL FINANCIAL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June 30, 2018 (Unaudited)</w:t>
      </w:r>
    </w:p>
    <w:p>
      <w:pPr>
        <w:spacing w:after="0" w:line="257" w:lineRule="exact"/>
        <w:rPr>
          <w:sz w:val="20"/>
          <w:szCs w:val="20"/>
          <w:color w:val="auto"/>
        </w:rPr>
      </w:pPr>
    </w:p>
    <w:p>
      <w:pPr>
        <w:ind w:left="620" w:hanging="61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020" w:type="dxa"/>
            <w:vAlign w:val="bottom"/>
            <w:gridSpan w:val="2"/>
          </w:tcPr>
          <w:p>
            <w:pPr>
              <w:spacing w:after="0"/>
              <w:rPr>
                <w:sz w:val="20"/>
                <w:szCs w:val="20"/>
                <w:color w:val="auto"/>
              </w:rPr>
            </w:pPr>
            <w:r>
              <w:rPr>
                <w:rFonts w:ascii="Arial" w:cs="Arial" w:eastAsia="Arial" w:hAnsi="Arial"/>
                <w:sz w:val="17"/>
                <w:szCs w:val="17"/>
                <w:color w:val="auto"/>
              </w:rPr>
              <w:t>Major categories of net investment income are as follows:</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01"/>
        </w:trPr>
        <w:tc>
          <w:tcPr>
            <w:tcW w:w="11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5"/>
          </w:tcPr>
          <w:p>
            <w:pPr>
              <w:jc w:val="right"/>
              <w:ind w:right="280"/>
              <w:spacing w:after="0"/>
              <w:rPr>
                <w:sz w:val="20"/>
                <w:szCs w:val="20"/>
                <w:color w:val="auto"/>
              </w:rPr>
            </w:pPr>
            <w:r>
              <w:rPr>
                <w:rFonts w:ascii="Arial" w:cs="Arial" w:eastAsia="Arial" w:hAnsi="Arial"/>
                <w:sz w:val="17"/>
                <w:szCs w:val="17"/>
                <w:color w:val="auto"/>
                <w:w w:val="89"/>
              </w:rPr>
              <w:t>Three Months Ended June</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5"/>
        </w:trPr>
        <w:tc>
          <w:tcPr>
            <w:tcW w:w="116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gridSpan w:val="6"/>
          </w:tcPr>
          <w:p>
            <w:pPr>
              <w:jc w:val="right"/>
              <w:ind w:right="160"/>
              <w:spacing w:after="0"/>
              <w:rPr>
                <w:sz w:val="20"/>
                <w:szCs w:val="20"/>
                <w:color w:val="auto"/>
              </w:rPr>
            </w:pPr>
            <w:r>
              <w:rPr>
                <w:rFonts w:ascii="Arial" w:cs="Arial" w:eastAsia="Arial" w:hAnsi="Arial"/>
                <w:sz w:val="17"/>
                <w:szCs w:val="17"/>
                <w:color w:val="auto"/>
                <w:w w:val="93"/>
              </w:rPr>
              <w:t>Six Months Ended June 30</w:t>
            </w:r>
          </w:p>
        </w:tc>
      </w:tr>
      <w:tr>
        <w:trPr>
          <w:trHeight w:val="213"/>
        </w:trPr>
        <w:tc>
          <w:tcPr>
            <w:tcW w:w="11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2018</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rPr>
              <w:t>2017</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2018</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rPr>
              <w:t>2017</w:t>
            </w:r>
          </w:p>
        </w:tc>
        <w:tc>
          <w:tcPr>
            <w:tcW w:w="80" w:type="dxa"/>
            <w:vAlign w:val="bottom"/>
          </w:tcPr>
          <w:p>
            <w:pPr>
              <w:spacing w:after="0"/>
              <w:rPr>
                <w:sz w:val="18"/>
                <w:szCs w:val="18"/>
                <w:color w:val="auto"/>
              </w:rPr>
            </w:pPr>
          </w:p>
        </w:tc>
      </w:tr>
      <w:tr>
        <w:trPr>
          <w:trHeight w:val="207"/>
        </w:trPr>
        <w:tc>
          <w:tcPr>
            <w:tcW w:w="116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Fixed maturity securities held to maturity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2,510,842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2,508,454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5,040,682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4,933,259</w:t>
            </w:r>
          </w:p>
        </w:tc>
        <w:tc>
          <w:tcPr>
            <w:tcW w:w="80" w:type="dxa"/>
            <w:vAlign w:val="bottom"/>
            <w:shd w:val="clear" w:color="auto" w:fill="CCEEFF"/>
          </w:tcPr>
          <w:p>
            <w:pPr>
              <w:spacing w:after="0"/>
              <w:rPr>
                <w:sz w:val="17"/>
                <w:szCs w:val="17"/>
                <w:color w:val="auto"/>
              </w:rPr>
            </w:pPr>
          </w:p>
        </w:tc>
      </w:tr>
      <w:tr>
        <w:trPr>
          <w:trHeight w:val="207"/>
        </w:trPr>
        <w:tc>
          <w:tcPr>
            <w:tcW w:w="116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Equity securities</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53,620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59,066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111,912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113,852</w:t>
            </w:r>
          </w:p>
        </w:tc>
        <w:tc>
          <w:tcPr>
            <w:tcW w:w="80" w:type="dxa"/>
            <w:vAlign w:val="bottom"/>
          </w:tcPr>
          <w:p>
            <w:pPr>
              <w:spacing w:after="0"/>
              <w:rPr>
                <w:sz w:val="17"/>
                <w:szCs w:val="17"/>
                <w:color w:val="auto"/>
              </w:rPr>
            </w:pPr>
          </w:p>
        </w:tc>
      </w:tr>
      <w:tr>
        <w:trPr>
          <w:trHeight w:val="207"/>
        </w:trPr>
        <w:tc>
          <w:tcPr>
            <w:tcW w:w="116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Mortgage loans held for investment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4,872,441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2,410,234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9,776,361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5,810,030</w:t>
            </w:r>
          </w:p>
        </w:tc>
        <w:tc>
          <w:tcPr>
            <w:tcW w:w="80" w:type="dxa"/>
            <w:vAlign w:val="bottom"/>
            <w:shd w:val="clear" w:color="auto" w:fill="CCEEFF"/>
          </w:tcPr>
          <w:p>
            <w:pPr>
              <w:spacing w:after="0"/>
              <w:rPr>
                <w:sz w:val="17"/>
                <w:szCs w:val="17"/>
                <w:color w:val="auto"/>
              </w:rPr>
            </w:pPr>
          </w:p>
        </w:tc>
      </w:tr>
      <w:tr>
        <w:trPr>
          <w:trHeight w:val="207"/>
        </w:trPr>
        <w:tc>
          <w:tcPr>
            <w:tcW w:w="116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Real estate held for investment</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1,623,044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2,834,022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4,299,858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5,722,084</w:t>
            </w:r>
          </w:p>
        </w:tc>
        <w:tc>
          <w:tcPr>
            <w:tcW w:w="80" w:type="dxa"/>
            <w:vAlign w:val="bottom"/>
          </w:tcPr>
          <w:p>
            <w:pPr>
              <w:spacing w:after="0"/>
              <w:rPr>
                <w:sz w:val="17"/>
                <w:szCs w:val="17"/>
                <w:color w:val="auto"/>
              </w:rPr>
            </w:pPr>
          </w:p>
        </w:tc>
      </w:tr>
      <w:tr>
        <w:trPr>
          <w:trHeight w:val="207"/>
        </w:trPr>
        <w:tc>
          <w:tcPr>
            <w:tcW w:w="116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Policy loans</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108,630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153,552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211,496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270,397</w:t>
            </w:r>
          </w:p>
        </w:tc>
        <w:tc>
          <w:tcPr>
            <w:tcW w:w="80" w:type="dxa"/>
            <w:vAlign w:val="bottom"/>
            <w:shd w:val="clear" w:color="auto" w:fill="CCEEFF"/>
          </w:tcPr>
          <w:p>
            <w:pPr>
              <w:spacing w:after="0"/>
              <w:rPr>
                <w:sz w:val="17"/>
                <w:szCs w:val="17"/>
                <w:color w:val="auto"/>
              </w:rPr>
            </w:pPr>
          </w:p>
        </w:tc>
      </w:tr>
      <w:tr>
        <w:trPr>
          <w:trHeight w:val="207"/>
        </w:trPr>
        <w:tc>
          <w:tcPr>
            <w:tcW w:w="116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Insurance assignments</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3,511,749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3,100,721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7,372,687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6,382,333</w:t>
            </w:r>
          </w:p>
        </w:tc>
        <w:tc>
          <w:tcPr>
            <w:tcW w:w="80" w:type="dxa"/>
            <w:vAlign w:val="bottom"/>
          </w:tcPr>
          <w:p>
            <w:pPr>
              <w:spacing w:after="0"/>
              <w:rPr>
                <w:sz w:val="17"/>
                <w:szCs w:val="17"/>
                <w:color w:val="auto"/>
              </w:rPr>
            </w:pPr>
          </w:p>
        </w:tc>
      </w:tr>
      <w:tr>
        <w:trPr>
          <w:trHeight w:val="207"/>
        </w:trPr>
        <w:tc>
          <w:tcPr>
            <w:tcW w:w="116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Other investments</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75,871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12,448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129,544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19,990</w:t>
            </w:r>
          </w:p>
        </w:tc>
        <w:tc>
          <w:tcPr>
            <w:tcW w:w="80" w:type="dxa"/>
            <w:vAlign w:val="bottom"/>
            <w:shd w:val="clear" w:color="auto" w:fill="CCEEFF"/>
          </w:tcPr>
          <w:p>
            <w:pPr>
              <w:spacing w:after="0"/>
              <w:rPr>
                <w:sz w:val="17"/>
                <w:szCs w:val="17"/>
                <w:color w:val="auto"/>
              </w:rPr>
            </w:pPr>
          </w:p>
        </w:tc>
      </w:tr>
      <w:tr>
        <w:trPr>
          <w:trHeight w:val="213"/>
        </w:trPr>
        <w:tc>
          <w:tcPr>
            <w:tcW w:w="11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239,661</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155,073</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377,029</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256,943</w:t>
            </w:r>
          </w:p>
        </w:tc>
        <w:tc>
          <w:tcPr>
            <w:tcW w:w="80" w:type="dxa"/>
            <w:vAlign w:val="bottom"/>
          </w:tcPr>
          <w:p>
            <w:pPr>
              <w:spacing w:after="0"/>
              <w:rPr>
                <w:sz w:val="18"/>
                <w:szCs w:val="18"/>
                <w:color w:val="auto"/>
              </w:rPr>
            </w:pPr>
          </w:p>
        </w:tc>
      </w:tr>
      <w:tr>
        <w:trPr>
          <w:trHeight w:val="207"/>
        </w:trPr>
        <w:tc>
          <w:tcPr>
            <w:tcW w:w="116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Gross investment income</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12,995,858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11,233,570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27,319,569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23,508,888</w:t>
            </w:r>
          </w:p>
        </w:tc>
        <w:tc>
          <w:tcPr>
            <w:tcW w:w="80" w:type="dxa"/>
            <w:vAlign w:val="bottom"/>
            <w:shd w:val="clear" w:color="auto" w:fill="CCEEFF"/>
          </w:tcPr>
          <w:p>
            <w:pPr>
              <w:spacing w:after="0"/>
              <w:rPr>
                <w:sz w:val="17"/>
                <w:szCs w:val="17"/>
                <w:color w:val="auto"/>
              </w:rPr>
            </w:pPr>
          </w:p>
        </w:tc>
      </w:tr>
      <w:tr>
        <w:trPr>
          <w:trHeight w:val="213"/>
        </w:trPr>
        <w:tc>
          <w:tcPr>
            <w:tcW w:w="11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Investment expenses</w:t>
            </w:r>
          </w:p>
        </w:tc>
        <w:tc>
          <w:tcPr>
            <w:tcW w:w="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(3,253,893)</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w w:val="96"/>
              </w:rPr>
              <w:t>(2,911,263)</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(7,503,173)</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w w:val="94"/>
              </w:rPr>
              <w:t>(6,170,205)</w:t>
            </w:r>
          </w:p>
        </w:tc>
      </w:tr>
      <w:tr>
        <w:trPr>
          <w:trHeight w:val="247"/>
        </w:trPr>
        <w:tc>
          <w:tcPr>
            <w:tcW w:w="1160" w:type="dxa"/>
            <w:vAlign w:val="bottom"/>
          </w:tcPr>
          <w:p>
            <w:pPr>
              <w:spacing w:after="0"/>
              <w:rPr>
                <w:sz w:val="21"/>
                <w:szCs w:val="21"/>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investment income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9,741,965</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8,322,307</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19,816,396</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17,338,683</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21"/>
          <w:szCs w:val="21"/>
          <w:color w:val="auto"/>
        </w:rPr>
        <w:t>Net investment income includes income earned by the restricted assets of the cemeteries and mortuaries of $95,256 and $124,983 for the three months ended June 30, 2018 and 2017, respectively, and $206,059 and $240,485 for the six months ended June 30, 2018 and 2017,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Net investment income on real estate consists primarily of rental revenue.</w:t>
      </w: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Investment expenses consist primarily of depreciation, property taxes, operating expenses of real estate and an estimated portion of administrative expenses relating to investment activities.</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21"/>
          <w:szCs w:val="21"/>
          <w:color w:val="auto"/>
        </w:rPr>
        <w:t>Securities on deposit with regulatory authorities as required by law amounted to $9,228,146 at June 30, 2018 and $9,264,977 at December 31, 2017. These restricted securities are included in various assets under investments on the accompanying condensed consolidated balance sheets.</w:t>
      </w:r>
    </w:p>
    <w:p>
      <w:pPr>
        <w:spacing w:after="0" w:line="173" w:lineRule="exact"/>
        <w:rPr>
          <w:sz w:val="20"/>
          <w:szCs w:val="20"/>
          <w:color w:val="auto"/>
        </w:rPr>
      </w:pPr>
    </w:p>
    <w:p>
      <w:pPr>
        <w:jc w:val="both"/>
        <w:spacing w:after="0" w:line="305" w:lineRule="auto"/>
        <w:rPr>
          <w:sz w:val="20"/>
          <w:szCs w:val="20"/>
          <w:color w:val="auto"/>
        </w:rPr>
      </w:pPr>
      <w:r>
        <w:rPr>
          <w:rFonts w:ascii="Arial" w:cs="Arial" w:eastAsia="Arial" w:hAnsi="Arial"/>
          <w:sz w:val="20"/>
          <w:szCs w:val="20"/>
          <w:color w:val="auto"/>
        </w:rPr>
        <w:t>There were no investments, aggregated by issuer, in excess of 10% of shareholders' equity (before net unrealized gains and losses on equity securities) at June 30, 2018, other than investments issued or guaranteed by the United States Government.</w:t>
      </w:r>
    </w:p>
    <w:p>
      <w:pPr>
        <w:spacing w:after="0" w:line="139" w:lineRule="exact"/>
        <w:rPr>
          <w:sz w:val="20"/>
          <w:szCs w:val="20"/>
          <w:color w:val="auto"/>
        </w:rPr>
      </w:pPr>
    </w:p>
    <w:p>
      <w:pPr>
        <w:spacing w:after="0"/>
        <w:rPr>
          <w:sz w:val="20"/>
          <w:szCs w:val="20"/>
          <w:color w:val="auto"/>
        </w:rPr>
      </w:pPr>
      <w:r>
        <w:rPr>
          <w:rFonts w:ascii="Arial" w:cs="Arial" w:eastAsia="Arial" w:hAnsi="Arial"/>
          <w:sz w:val="21"/>
          <w:szCs w:val="21"/>
          <w:color w:val="auto"/>
        </w:rPr>
        <w:t>Real Estate Held for Investment</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21"/>
          <w:szCs w:val="21"/>
          <w:color w:val="auto"/>
        </w:rPr>
        <w:t>The Company continues to strategically deploy resources into real estate to match the income and yield durations of its primary obligations. The sources for these real estate assets come through its various business units in the form of acquisition, development and mortgage foreclosures.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Commercial Real Estate Held for Investment</w:t>
      </w: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The Company owns and manages commercial real estate assets as a means of generating investment income. These assets are acquired in accordance with the Company's goals and objectives for risk-adjusted returns. Due diligence is conducted on each asset using internal and third-party reports. Geographic locations and asset classes of the investment activity is determined by senior management under the direction of the Board of Directors.</w:t>
      </w:r>
    </w:p>
    <w:p>
      <w:pPr>
        <w:spacing w:after="0" w:line="178"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Company employs full-time employees to attend to the day-to-day operations of those assets within the greater Salt Lake area and close surrounding markets. The Company utilizes third party property managers when the geographic boundary does not warrant full-time staff or through strategic lease-up periods. The Company generally looks to acquire assets in regions that are high growth regions for employment and population and in assets that provide operational efficiencies.</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The Company currently owns and operates 12 commercial properties in 7 states. These properties include industrial warehouses, office buildings, retail centers, undeveloped land, and the redevelopment and expansion of its corporate campus ("Center53") in Salt Lake City, Utah. The Company uses Bank debt in strategic cases to leverage established yields or to acquire a higher quality or different class of asset.</w:t>
      </w:r>
    </w:p>
    <w:p>
      <w:pPr>
        <w:sectPr>
          <w:pgSz w:w="11900" w:h="16838" w:orient="portrait"/>
          <w:cols w:equalWidth="0" w:num="1">
            <w:col w:w="11420"/>
          </w:cols>
          <w:pgMar w:left="240" w:top="131" w:right="239"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54610</wp:posOffset>
            </wp:positionV>
            <wp:extent cx="725233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21"/>
          <w:szCs w:val="21"/>
          <w:color w:val="auto"/>
        </w:rPr>
        <w:t>SECURITY NATIONAL FINANCIAL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June 30, 2018 (Unaudited)</w:t>
      </w:r>
    </w:p>
    <w:p>
      <w:pPr>
        <w:spacing w:after="0" w:line="257" w:lineRule="exact"/>
        <w:rPr>
          <w:sz w:val="20"/>
          <w:szCs w:val="20"/>
          <w:color w:val="auto"/>
        </w:rPr>
      </w:pPr>
    </w:p>
    <w:p>
      <w:pPr>
        <w:ind w:left="620" w:hanging="61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00" w:lineRule="exact"/>
        <w:rPr>
          <w:sz w:val="20"/>
          <w:szCs w:val="20"/>
          <w:color w:val="auto"/>
        </w:rPr>
      </w:pPr>
    </w:p>
    <w:p>
      <w:pPr>
        <w:spacing w:after="0" w:line="2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aggregated net ending balance of commercial real estate that serves as collateral for bank borrowings was approximately $85,560,000 and $64,704,000 as of June 30, 2018 and December 31, 2017, respectively. The associated bank loan carrying values totaled approximately $51,842,000 and $40,994,000 as of June 30, 2018 and December 31, 2017,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Company's commercial real estate held for investment for the periods presented:</w:t>
      </w:r>
    </w:p>
    <w:p>
      <w:pPr>
        <w:spacing w:after="0" w:line="200" w:lineRule="exact"/>
        <w:rPr>
          <w:sz w:val="20"/>
          <w:szCs w:val="20"/>
          <w:color w:val="auto"/>
        </w:rPr>
      </w:pP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5"/>
          </w:tcPr>
          <w:p>
            <w:pPr>
              <w:jc w:val="center"/>
              <w:ind w:right="94"/>
              <w:spacing w:after="0"/>
              <w:rPr>
                <w:sz w:val="20"/>
                <w:szCs w:val="20"/>
                <w:color w:val="auto"/>
              </w:rPr>
            </w:pPr>
            <w:r>
              <w:rPr>
                <w:rFonts w:ascii="Arial" w:cs="Arial" w:eastAsia="Arial" w:hAnsi="Arial"/>
                <w:sz w:val="17"/>
                <w:szCs w:val="17"/>
                <w:color w:val="auto"/>
                <w:w w:val="91"/>
              </w:rPr>
              <w:t>Net Ending Balance</w:t>
            </w:r>
          </w:p>
        </w:tc>
        <w:tc>
          <w:tcPr>
            <w:tcW w:w="480" w:type="dxa"/>
            <w:vAlign w:val="bottom"/>
          </w:tcPr>
          <w:p>
            <w:pPr>
              <w:spacing w:after="0"/>
              <w:rPr>
                <w:sz w:val="19"/>
                <w:szCs w:val="19"/>
                <w:color w:val="auto"/>
              </w:rPr>
            </w:pPr>
          </w:p>
        </w:tc>
        <w:tc>
          <w:tcPr>
            <w:tcW w:w="242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7"/>
                <w:szCs w:val="17"/>
                <w:color w:val="auto"/>
              </w:rPr>
              <w:t>Total Square Footage</w:t>
            </w:r>
          </w:p>
        </w:tc>
        <w:tc>
          <w:tcPr>
            <w:tcW w:w="10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94"/>
              <w:spacing w:after="0" w:line="194" w:lineRule="exact"/>
              <w:rPr>
                <w:sz w:val="20"/>
                <w:szCs w:val="20"/>
                <w:color w:val="auto"/>
              </w:rPr>
            </w:pPr>
            <w:r>
              <w:rPr>
                <w:rFonts w:ascii="Arial" w:cs="Arial" w:eastAsia="Arial" w:hAnsi="Arial"/>
                <w:sz w:val="17"/>
                <w:szCs w:val="17"/>
                <w:color w:val="auto"/>
              </w:rPr>
              <w:t>June 30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14"/>
              <w:spacing w:after="0" w:line="194" w:lineRule="exact"/>
              <w:rPr>
                <w:sz w:val="20"/>
                <w:szCs w:val="20"/>
                <w:color w:val="auto"/>
              </w:rPr>
            </w:pPr>
            <w:r>
              <w:rPr>
                <w:rFonts w:ascii="Arial" w:cs="Arial" w:eastAsia="Arial" w:hAnsi="Arial"/>
                <w:sz w:val="17"/>
                <w:szCs w:val="17"/>
                <w:color w:val="auto"/>
                <w:w w:val="94"/>
              </w:rPr>
              <w:t>December 31</w:t>
            </w:r>
          </w:p>
        </w:tc>
        <w:tc>
          <w:tcPr>
            <w:tcW w:w="480" w:type="dxa"/>
            <w:vAlign w:val="bottom"/>
          </w:tcPr>
          <w:p>
            <w:pPr>
              <w:spacing w:after="0"/>
              <w:rPr>
                <w:sz w:val="16"/>
                <w:szCs w:val="16"/>
                <w:color w:val="auto"/>
              </w:rPr>
            </w:pPr>
          </w:p>
        </w:tc>
        <w:tc>
          <w:tcPr>
            <w:tcW w:w="1080" w:type="dxa"/>
            <w:vAlign w:val="bottom"/>
          </w:tcPr>
          <w:p>
            <w:pPr>
              <w:jc w:val="right"/>
              <w:ind w:right="194"/>
              <w:spacing w:after="0" w:line="194" w:lineRule="exact"/>
              <w:rPr>
                <w:sz w:val="20"/>
                <w:szCs w:val="20"/>
                <w:color w:val="auto"/>
              </w:rPr>
            </w:pPr>
            <w:r>
              <w:rPr>
                <w:rFonts w:ascii="Arial" w:cs="Arial" w:eastAsia="Arial" w:hAnsi="Arial"/>
                <w:sz w:val="17"/>
                <w:szCs w:val="17"/>
                <w:color w:val="auto"/>
              </w:rPr>
              <w:t>June 30</w:t>
            </w:r>
          </w:p>
        </w:tc>
        <w:tc>
          <w:tcPr>
            <w:tcW w:w="200" w:type="dxa"/>
            <w:vAlign w:val="bottom"/>
          </w:tcPr>
          <w:p>
            <w:pPr>
              <w:spacing w:after="0"/>
              <w:rPr>
                <w:sz w:val="16"/>
                <w:szCs w:val="16"/>
                <w:color w:val="auto"/>
              </w:rPr>
            </w:pPr>
          </w:p>
        </w:tc>
        <w:tc>
          <w:tcPr>
            <w:tcW w:w="1140" w:type="dxa"/>
            <w:vAlign w:val="bottom"/>
          </w:tcPr>
          <w:p>
            <w:pPr>
              <w:jc w:val="right"/>
              <w:ind w:right="34"/>
              <w:spacing w:after="0" w:line="194" w:lineRule="exact"/>
              <w:rPr>
                <w:sz w:val="20"/>
                <w:szCs w:val="20"/>
                <w:color w:val="auto"/>
              </w:rPr>
            </w:pPr>
            <w:r>
              <w:rPr>
                <w:rFonts w:ascii="Arial" w:cs="Arial" w:eastAsia="Arial" w:hAnsi="Arial"/>
                <w:sz w:val="17"/>
                <w:szCs w:val="17"/>
                <w:color w:val="auto"/>
                <w:w w:val="97"/>
              </w:rPr>
              <w:t>December 31</w:t>
            </w:r>
          </w:p>
        </w:tc>
        <w:tc>
          <w:tcPr>
            <w:tcW w:w="100" w:type="dxa"/>
            <w:vAlign w:val="bottom"/>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294"/>
              <w:spacing w:after="0"/>
              <w:rPr>
                <w:sz w:val="20"/>
                <w:szCs w:val="20"/>
                <w:color w:val="auto"/>
              </w:rPr>
            </w:pPr>
            <w:r>
              <w:rPr>
                <w:rFonts w:ascii="Arial" w:cs="Arial" w:eastAsia="Arial" w:hAnsi="Arial"/>
                <w:sz w:val="17"/>
                <w:szCs w:val="17"/>
                <w:color w:val="auto"/>
              </w:rPr>
              <w:t>2018</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294"/>
              <w:spacing w:after="0"/>
              <w:rPr>
                <w:sz w:val="20"/>
                <w:szCs w:val="20"/>
                <w:color w:val="auto"/>
              </w:rPr>
            </w:pPr>
            <w:r>
              <w:rPr>
                <w:rFonts w:ascii="Arial" w:cs="Arial" w:eastAsia="Arial" w:hAnsi="Arial"/>
                <w:sz w:val="17"/>
                <w:szCs w:val="17"/>
                <w:color w:val="auto"/>
              </w:rPr>
              <w:t>2017</w:t>
            </w:r>
          </w:p>
        </w:tc>
        <w:tc>
          <w:tcPr>
            <w:tcW w:w="480" w:type="dxa"/>
            <w:vAlign w:val="bottom"/>
          </w:tcPr>
          <w:p>
            <w:pPr>
              <w:spacing w:after="0"/>
              <w:rPr>
                <w:sz w:val="19"/>
                <w:szCs w:val="19"/>
                <w:color w:val="auto"/>
              </w:rPr>
            </w:pPr>
          </w:p>
        </w:tc>
        <w:tc>
          <w:tcPr>
            <w:tcW w:w="1080" w:type="dxa"/>
            <w:vAlign w:val="bottom"/>
          </w:tcPr>
          <w:p>
            <w:pPr>
              <w:jc w:val="right"/>
              <w:ind w:right="294"/>
              <w:spacing w:after="0"/>
              <w:rPr>
                <w:sz w:val="20"/>
                <w:szCs w:val="20"/>
                <w:color w:val="auto"/>
              </w:rPr>
            </w:pPr>
            <w:r>
              <w:rPr>
                <w:rFonts w:ascii="Arial" w:cs="Arial" w:eastAsia="Arial" w:hAnsi="Arial"/>
                <w:sz w:val="17"/>
                <w:szCs w:val="17"/>
                <w:color w:val="auto"/>
              </w:rPr>
              <w:t>2018</w:t>
            </w:r>
          </w:p>
        </w:tc>
        <w:tc>
          <w:tcPr>
            <w:tcW w:w="1340" w:type="dxa"/>
            <w:vAlign w:val="bottom"/>
            <w:gridSpan w:val="2"/>
          </w:tcPr>
          <w:p>
            <w:pPr>
              <w:jc w:val="right"/>
              <w:ind w:right="314"/>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Arizona</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4,000</w:t>
            </w:r>
          </w:p>
        </w:tc>
        <w:tc>
          <w:tcPr>
            <w:tcW w:w="4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(1)</w:t>
            </w: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4,000</w:t>
            </w:r>
          </w:p>
        </w:tc>
        <w:tc>
          <w:tcPr>
            <w:tcW w:w="4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45"/>
        </w:trPr>
        <w:tc>
          <w:tcPr>
            <w:tcW w:w="3480" w:type="dxa"/>
            <w:vAlign w:val="bottom"/>
            <w:gridSpan w:val="2"/>
          </w:tcPr>
          <w:p>
            <w:pPr>
              <w:spacing w:after="0"/>
              <w:rPr>
                <w:sz w:val="20"/>
                <w:szCs w:val="20"/>
                <w:color w:val="auto"/>
              </w:rPr>
            </w:pPr>
            <w:r>
              <w:rPr>
                <w:rFonts w:ascii="Arial" w:cs="Arial" w:eastAsia="Arial" w:hAnsi="Arial"/>
                <w:sz w:val="17"/>
                <w:szCs w:val="17"/>
                <w:color w:val="auto"/>
              </w:rPr>
              <w:t>Arkansas</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96,169</w:t>
            </w: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3,200</w:t>
            </w:r>
          </w:p>
        </w:tc>
        <w:tc>
          <w:tcPr>
            <w:tcW w:w="100" w:type="dxa"/>
            <w:vAlign w:val="bottom"/>
          </w:tcPr>
          <w:p>
            <w:pPr>
              <w:spacing w:after="0"/>
              <w:rPr>
                <w:sz w:val="21"/>
                <w:szCs w:val="21"/>
                <w:color w:val="auto"/>
              </w:rPr>
            </w:pPr>
          </w:p>
        </w:tc>
      </w:tr>
      <w:tr>
        <w:trPr>
          <w:trHeight w:val="207"/>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Kansas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7,225,273</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7,200,000</w:t>
            </w: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222,679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222,679</w:t>
            </w:r>
          </w:p>
        </w:tc>
        <w:tc>
          <w:tcPr>
            <w:tcW w:w="10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Louisiana</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480,445</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493,197</w:t>
            </w:r>
          </w:p>
        </w:tc>
        <w:tc>
          <w:tcPr>
            <w:tcW w:w="4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7,063</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7,063</w:t>
            </w:r>
          </w:p>
        </w:tc>
        <w:tc>
          <w:tcPr>
            <w:tcW w:w="10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Mississippi</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3,678,509</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3,725,039</w:t>
            </w: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33,821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33,821</w:t>
            </w:r>
          </w:p>
        </w:tc>
        <w:tc>
          <w:tcPr>
            <w:tcW w:w="10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New Mexico</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7,000</w:t>
            </w:r>
          </w:p>
        </w:tc>
        <w:tc>
          <w:tcPr>
            <w:tcW w:w="400" w:type="dxa"/>
            <w:vAlign w:val="bottom"/>
          </w:tcPr>
          <w:p>
            <w:pPr>
              <w:jc w:val="center"/>
              <w:spacing w:after="0"/>
              <w:rPr>
                <w:sz w:val="20"/>
                <w:szCs w:val="20"/>
                <w:color w:val="auto"/>
              </w:rPr>
            </w:pPr>
            <w:r>
              <w:rPr>
                <w:rFonts w:ascii="Arial" w:cs="Arial" w:eastAsia="Arial" w:hAnsi="Arial"/>
                <w:sz w:val="17"/>
                <w:szCs w:val="17"/>
                <w:color w:val="auto"/>
                <w:w w:val="96"/>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7,000</w:t>
            </w:r>
          </w:p>
        </w:tc>
        <w:tc>
          <w:tcPr>
            <w:tcW w:w="480" w:type="dxa"/>
            <w:vAlign w:val="bottom"/>
          </w:tcPr>
          <w:p>
            <w:pPr>
              <w:jc w:val="right"/>
              <w:ind w:right="74"/>
              <w:spacing w:after="0"/>
              <w:rPr>
                <w:sz w:val="20"/>
                <w:szCs w:val="20"/>
                <w:color w:val="auto"/>
              </w:rPr>
            </w:pPr>
            <w:r>
              <w:rPr>
                <w:rFonts w:ascii="Arial" w:cs="Arial" w:eastAsia="Arial" w:hAnsi="Arial"/>
                <w:sz w:val="17"/>
                <w:szCs w:val="17"/>
                <w:color w:val="auto"/>
              </w:rPr>
              <w:t>(1)</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Texas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335,000</w:t>
            </w:r>
          </w:p>
        </w:tc>
        <w:tc>
          <w:tcPr>
            <w:tcW w:w="4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335,000</w:t>
            </w:r>
          </w:p>
        </w:tc>
        <w:tc>
          <w:tcPr>
            <w:tcW w:w="4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23,470</w:t>
            </w:r>
          </w:p>
        </w:tc>
        <w:tc>
          <w:tcPr>
            <w:tcW w:w="1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Utah</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81,737,165</w:t>
            </w:r>
          </w:p>
        </w:tc>
        <w:tc>
          <w:tcPr>
            <w:tcW w:w="400" w:type="dxa"/>
            <w:vAlign w:val="bottom"/>
          </w:tcPr>
          <w:p>
            <w:pPr>
              <w:jc w:val="center"/>
              <w:spacing w:after="0"/>
              <w:rPr>
                <w:sz w:val="20"/>
                <w:szCs w:val="20"/>
                <w:color w:val="auto"/>
              </w:rPr>
            </w:pPr>
            <w:r>
              <w:rPr>
                <w:rFonts w:ascii="Arial" w:cs="Arial" w:eastAsia="Arial" w:hAnsi="Arial"/>
                <w:sz w:val="17"/>
                <w:szCs w:val="17"/>
                <w:color w:val="auto"/>
                <w:w w:val="96"/>
              </w:rPr>
              <w:t>(2)</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61,108,384</w:t>
            </w:r>
          </w:p>
        </w:tc>
        <w:tc>
          <w:tcPr>
            <w:tcW w:w="480" w:type="dxa"/>
            <w:vAlign w:val="bottom"/>
          </w:tcPr>
          <w:p>
            <w:pPr>
              <w:jc w:val="right"/>
              <w:ind w:right="74"/>
              <w:spacing w:after="0"/>
              <w:rPr>
                <w:sz w:val="20"/>
                <w:szCs w:val="20"/>
                <w:color w:val="auto"/>
              </w:rPr>
            </w:pPr>
            <w:r>
              <w:rPr>
                <w:rFonts w:ascii="Arial" w:cs="Arial" w:eastAsia="Arial" w:hAnsi="Arial"/>
                <w:sz w:val="17"/>
                <w:szCs w:val="17"/>
                <w:color w:val="auto"/>
              </w:rPr>
              <w:t>(2)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502,129</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433,244</w:t>
            </w:r>
          </w:p>
        </w:tc>
        <w:tc>
          <w:tcPr>
            <w:tcW w:w="100" w:type="dxa"/>
            <w:vAlign w:val="bottom"/>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93,467,392</w:t>
            </w:r>
          </w:p>
        </w:tc>
        <w:tc>
          <w:tcPr>
            <w:tcW w:w="400" w:type="dxa"/>
            <w:vAlign w:val="bottom"/>
          </w:tcPr>
          <w:p>
            <w:pPr>
              <w:spacing w:after="0"/>
              <w:rPr>
                <w:sz w:val="17"/>
                <w:szCs w:val="17"/>
                <w:color w:val="auto"/>
              </w:rPr>
            </w:pPr>
          </w:p>
        </w:tc>
        <w:tc>
          <w:tcPr>
            <w:tcW w:w="260" w:type="dxa"/>
            <w:vAlign w:val="bottom"/>
            <w:gridSpan w:val="2"/>
          </w:tcPr>
          <w:p>
            <w:pPr>
              <w:jc w:val="right"/>
              <w:ind w:right="19"/>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72,968,789</w:t>
            </w:r>
          </w:p>
        </w:tc>
        <w:tc>
          <w:tcPr>
            <w:tcW w:w="4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765,692</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723,477</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1400" w:hanging="253"/>
        <w:spacing w:after="0"/>
        <w:tabs>
          <w:tab w:leader="none" w:pos="14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Undeveloped land</w:t>
      </w:r>
    </w:p>
    <w:p>
      <w:pPr>
        <w:spacing w:after="0" w:line="217" w:lineRule="exact"/>
        <w:rPr>
          <w:rFonts w:ascii="Arial" w:cs="Arial" w:eastAsia="Arial" w:hAnsi="Arial"/>
          <w:sz w:val="17"/>
          <w:szCs w:val="17"/>
          <w:color w:val="auto"/>
        </w:rPr>
      </w:pPr>
    </w:p>
    <w:p>
      <w:pPr>
        <w:ind w:right="2600" w:firstLine="1147"/>
        <w:spacing w:after="0" w:line="600" w:lineRule="auto"/>
        <w:tabs>
          <w:tab w:leader="none" w:pos="1387"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Includes Center53 completed in July 2017. The Company is currently in the process of leasing the building. </w:t>
      </w:r>
      <w:r>
        <w:rPr>
          <w:rFonts w:ascii="Arial" w:cs="Arial" w:eastAsia="Arial" w:hAnsi="Arial"/>
          <w:sz w:val="17"/>
          <w:szCs w:val="17"/>
          <w:u w:val="single" w:color="auto"/>
          <w:color w:val="auto"/>
        </w:rPr>
        <w:t>Residential Real Estate Held for Investment</w:t>
      </w:r>
    </w:p>
    <w:p>
      <w:pPr>
        <w:spacing w:after="0" w:line="16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owns a portfolio of residential homes primarily as a result of loan foreclosures. The strategy has been to lease these homes to produce cash flow, and allow time for the economic fundamentals to return to the various markets. As an orderly and active market for these homes returns, the Company has the option to dispose or to continue and hold them for cash flow and acceptable returns.</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Company established Security National Real Estate Services ("SNRE") to manage the residential portfolio. SNRE cultivates and maintains the preferred vendor relationships necessary to manage costs and quality of work performed on the portfolio of homes across the country.</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color w:val="auto"/>
        </w:rPr>
        <w:t>As of June 30, 2018, SNRE manages 101 residential properties in 8 states across the United States.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The net ending balance of residential real estate that serves as collateral for a bank borrowing was approximately $-0- and $34,431,000, as of June 30, 2018 and December 31, 2017, respectively. The associated bank loan carrying value was approximately $-0- and $26,773,000 as of June 30, 2018 and December 31, 2017, respectively. This real estate relates to the Company's Dry Creek at East Village apartment complex sold in March 2018.</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The net ending balance of foreclosed residential real estate included in residential real estate held for investment is $30,590,000 and $33,372,000 as of June 30, 2018 and December 31, 2017, respectively.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21"/>
          <w:szCs w:val="21"/>
          <w:color w:val="auto"/>
        </w:rPr>
        <w:t>SECURITY NATIONAL FINANCIAL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June 30, 2018 (Unaudited)</w:t>
      </w:r>
    </w:p>
    <w:p>
      <w:pPr>
        <w:spacing w:after="0" w:line="257" w:lineRule="exact"/>
        <w:rPr>
          <w:sz w:val="20"/>
          <w:szCs w:val="20"/>
          <w:color w:val="auto"/>
        </w:rPr>
      </w:pPr>
    </w:p>
    <w:p>
      <w:pPr>
        <w:ind w:left="620" w:hanging="61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color w:val="auto"/>
        </w:rPr>
        <w:t>The following is a summary of the Company's residential real estate held for investment for the periods presented:</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4"/>
          </w:tcPr>
          <w:p>
            <w:pPr>
              <w:jc w:val="right"/>
              <w:ind w:right="234"/>
              <w:spacing w:after="0"/>
              <w:rPr>
                <w:sz w:val="20"/>
                <w:szCs w:val="20"/>
                <w:color w:val="auto"/>
              </w:rPr>
            </w:pPr>
            <w:r>
              <w:rPr>
                <w:rFonts w:ascii="Arial" w:cs="Arial" w:eastAsia="Arial" w:hAnsi="Arial"/>
                <w:sz w:val="17"/>
                <w:szCs w:val="17"/>
                <w:color w:val="auto"/>
              </w:rPr>
              <w:t>Net Ending Balance</w:t>
            </w:r>
          </w:p>
        </w:tc>
        <w:tc>
          <w:tcPr>
            <w:tcW w:w="8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Arial" w:cs="Arial" w:eastAsia="Arial" w:hAnsi="Arial"/>
                <w:sz w:val="17"/>
                <w:szCs w:val="17"/>
                <w:color w:val="auto"/>
                <w:w w:val="89"/>
              </w:rPr>
              <w:t>December</w:t>
            </w:r>
          </w:p>
        </w:tc>
        <w:tc>
          <w:tcPr>
            <w:tcW w:w="8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214"/>
              <w:spacing w:after="0"/>
              <w:rPr>
                <w:sz w:val="20"/>
                <w:szCs w:val="20"/>
                <w:color w:val="auto"/>
              </w:rPr>
            </w:pPr>
            <w:r>
              <w:rPr>
                <w:rFonts w:ascii="Arial" w:cs="Arial" w:eastAsia="Arial" w:hAnsi="Arial"/>
                <w:sz w:val="17"/>
                <w:szCs w:val="17"/>
                <w:color w:val="auto"/>
              </w:rPr>
              <w:t>June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294"/>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2017</w:t>
            </w:r>
          </w:p>
        </w:tc>
        <w:tc>
          <w:tcPr>
            <w:tcW w:w="8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Arizona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217,105</w:t>
            </w:r>
          </w:p>
        </w:tc>
        <w:tc>
          <w:tcPr>
            <w:tcW w:w="8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7040" w:type="dxa"/>
            <w:vAlign w:val="bottom"/>
          </w:tcPr>
          <w:p>
            <w:pPr>
              <w:spacing w:after="0"/>
              <w:rPr>
                <w:sz w:val="20"/>
                <w:szCs w:val="20"/>
                <w:color w:val="auto"/>
              </w:rPr>
            </w:pPr>
            <w:r>
              <w:rPr>
                <w:rFonts w:ascii="Arial" w:cs="Arial" w:eastAsia="Arial" w:hAnsi="Arial"/>
                <w:sz w:val="17"/>
                <w:szCs w:val="17"/>
                <w:color w:val="auto"/>
              </w:rPr>
              <w:t>California</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4,955,551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5,463,878</w:t>
            </w:r>
          </w:p>
        </w:tc>
        <w:tc>
          <w:tcPr>
            <w:tcW w:w="8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Florida</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6,792,934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7,000,684</w:t>
            </w:r>
          </w:p>
        </w:tc>
        <w:tc>
          <w:tcPr>
            <w:tcW w:w="8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7040" w:type="dxa"/>
            <w:vAlign w:val="bottom"/>
          </w:tcPr>
          <w:p>
            <w:pPr>
              <w:spacing w:after="0"/>
              <w:rPr>
                <w:sz w:val="20"/>
                <w:szCs w:val="20"/>
                <w:color w:val="auto"/>
              </w:rPr>
            </w:pPr>
            <w:r>
              <w:rPr>
                <w:rFonts w:ascii="Arial" w:cs="Arial" w:eastAsia="Arial" w:hAnsi="Arial"/>
                <w:sz w:val="17"/>
                <w:szCs w:val="17"/>
                <w:color w:val="auto"/>
              </w:rPr>
              <w:t>Hawaii</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712,286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712,286</w:t>
            </w:r>
          </w:p>
        </w:tc>
        <w:tc>
          <w:tcPr>
            <w:tcW w:w="8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Ohio</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8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7040" w:type="dxa"/>
            <w:vAlign w:val="bottom"/>
          </w:tcPr>
          <w:p>
            <w:pPr>
              <w:spacing w:after="0"/>
              <w:rPr>
                <w:sz w:val="20"/>
                <w:szCs w:val="20"/>
                <w:color w:val="auto"/>
              </w:rPr>
            </w:pPr>
            <w:r>
              <w:rPr>
                <w:rFonts w:ascii="Arial" w:cs="Arial" w:eastAsia="Arial" w:hAnsi="Arial"/>
                <w:sz w:val="17"/>
                <w:szCs w:val="17"/>
                <w:color w:val="auto"/>
              </w:rPr>
              <w:t>Oklahoma</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17,500</w:t>
            </w:r>
          </w:p>
        </w:tc>
        <w:tc>
          <w:tcPr>
            <w:tcW w:w="8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Texas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553,550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509,011</w:t>
            </w:r>
          </w:p>
        </w:tc>
        <w:tc>
          <w:tcPr>
            <w:tcW w:w="8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7040" w:type="dxa"/>
            <w:vAlign w:val="bottom"/>
          </w:tcPr>
          <w:p>
            <w:pPr>
              <w:spacing w:after="0"/>
              <w:rPr>
                <w:sz w:val="20"/>
                <w:szCs w:val="20"/>
                <w:color w:val="auto"/>
              </w:rPr>
            </w:pPr>
            <w:r>
              <w:rPr>
                <w:rFonts w:ascii="Arial" w:cs="Arial" w:eastAsia="Arial" w:hAnsi="Arial"/>
                <w:sz w:val="17"/>
                <w:szCs w:val="17"/>
                <w:color w:val="auto"/>
              </w:rPr>
              <w:t>Utah</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1"/>
              </w:rPr>
              <w:t>17,460,770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3"/>
              </w:rPr>
              <w:t>54,113,272</w:t>
            </w:r>
          </w:p>
        </w:tc>
        <w:tc>
          <w:tcPr>
            <w:tcW w:w="8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Virginia</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150,175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7"/>
                <w:szCs w:val="17"/>
                <w:color w:val="auto"/>
              </w:rPr>
              <w:t>Washington</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476,181</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286,181</w:t>
            </w:r>
          </w:p>
        </w:tc>
        <w:tc>
          <w:tcPr>
            <w:tcW w:w="80" w:type="dxa"/>
            <w:vAlign w:val="bottom"/>
          </w:tcPr>
          <w:p>
            <w:pPr>
              <w:spacing w:after="0"/>
              <w:rPr>
                <w:sz w:val="18"/>
                <w:szCs w:val="18"/>
                <w:color w:val="auto"/>
              </w:rPr>
            </w:pPr>
          </w:p>
        </w:tc>
      </w:tr>
      <w:tr>
        <w:trPr>
          <w:trHeight w:val="247"/>
        </w:trPr>
        <w:tc>
          <w:tcPr>
            <w:tcW w:w="2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31,111,447</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68,329,917</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5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Real Estate Owned and Occupied by the Company</w:t>
      </w:r>
    </w:p>
    <w:p>
      <w:pPr>
        <w:spacing w:after="0" w:line="27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primary business units of the Company occupy a portion of the real estate owned by the Company. Currently, the Company occupies nearly 70,000 square feet, or approximately 10% of the overall commercial real estate holdings.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2018, real estate owned and occupied by the Company is summarized as follows:</w:t>
      </w:r>
    </w:p>
    <w:p>
      <w:pPr>
        <w:spacing w:after="0" w:line="270"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7"/>
                <w:szCs w:val="17"/>
                <w:color w:val="auto"/>
                <w:w w:val="87"/>
              </w:rPr>
              <w:t>Square</w:t>
            </w:r>
          </w:p>
        </w:tc>
      </w:tr>
      <w:tr>
        <w:trPr>
          <w:trHeight w:val="207"/>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Footage</w:t>
            </w:r>
          </w:p>
        </w:tc>
      </w:tr>
      <w:tr>
        <w:trPr>
          <w:trHeight w:val="207"/>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Approximate</w:t>
            </w:r>
          </w:p>
        </w:tc>
        <w:tc>
          <w:tcPr>
            <w:tcW w:w="18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7"/>
                <w:szCs w:val="17"/>
                <w:color w:val="auto"/>
                <w:w w:val="93"/>
              </w:rPr>
              <w:t>Occupied by</w:t>
            </w:r>
          </w:p>
        </w:tc>
      </w:tr>
      <w:tr>
        <w:trPr>
          <w:trHeight w:val="207"/>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134"/>
              <w:spacing w:after="0"/>
              <w:rPr>
                <w:sz w:val="20"/>
                <w:szCs w:val="20"/>
                <w:color w:val="auto"/>
              </w:rPr>
            </w:pPr>
            <w:r>
              <w:rPr>
                <w:rFonts w:ascii="Arial" w:cs="Arial" w:eastAsia="Arial" w:hAnsi="Arial"/>
                <w:sz w:val="17"/>
                <w:szCs w:val="17"/>
                <w:color w:val="auto"/>
              </w:rPr>
              <w:t>Square</w:t>
            </w:r>
          </w:p>
        </w:tc>
        <w:tc>
          <w:tcPr>
            <w:tcW w:w="180" w:type="dxa"/>
            <w:vAlign w:val="bottom"/>
          </w:tcPr>
          <w:p>
            <w:pPr>
              <w:spacing w:after="0"/>
              <w:rPr>
                <w:sz w:val="17"/>
                <w:szCs w:val="17"/>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7"/>
                <w:szCs w:val="17"/>
                <w:color w:val="auto"/>
                <w:w w:val="92"/>
              </w:rPr>
              <w:t>the</w:t>
            </w:r>
          </w:p>
        </w:tc>
      </w:tr>
      <w:tr>
        <w:trPr>
          <w:trHeight w:val="225"/>
        </w:trPr>
        <w:tc>
          <w:tcPr>
            <w:tcW w:w="3280" w:type="dxa"/>
            <w:vAlign w:val="bottom"/>
            <w:gridSpan w:val="3"/>
          </w:tcPr>
          <w:p>
            <w:pPr>
              <w:spacing w:after="0"/>
              <w:rPr>
                <w:sz w:val="20"/>
                <w:szCs w:val="20"/>
                <w:color w:val="auto"/>
              </w:rPr>
            </w:pPr>
            <w:r>
              <w:rPr>
                <w:rFonts w:ascii="Arial" w:cs="Arial" w:eastAsia="Arial" w:hAnsi="Arial"/>
                <w:sz w:val="17"/>
                <w:szCs w:val="17"/>
                <w:color w:val="auto"/>
              </w:rPr>
              <w:t>Location</w:t>
            </w:r>
          </w:p>
        </w:tc>
        <w:tc>
          <w:tcPr>
            <w:tcW w:w="3640" w:type="dxa"/>
            <w:vAlign w:val="bottom"/>
          </w:tcPr>
          <w:p>
            <w:pPr>
              <w:ind w:left="160"/>
              <w:spacing w:after="0"/>
              <w:rPr>
                <w:sz w:val="20"/>
                <w:szCs w:val="20"/>
                <w:color w:val="auto"/>
              </w:rPr>
            </w:pPr>
            <w:r>
              <w:rPr>
                <w:rFonts w:ascii="Arial" w:cs="Arial" w:eastAsia="Arial" w:hAnsi="Arial"/>
                <w:sz w:val="17"/>
                <w:szCs w:val="17"/>
                <w:color w:val="auto"/>
              </w:rPr>
              <w:t>Business Segment</w:t>
            </w:r>
          </w:p>
        </w:tc>
        <w:tc>
          <w:tcPr>
            <w:tcW w:w="80" w:type="dxa"/>
            <w:vAlign w:val="bottom"/>
          </w:tcPr>
          <w:p>
            <w:pPr>
              <w:spacing w:after="0"/>
              <w:rPr>
                <w:sz w:val="19"/>
                <w:szCs w:val="19"/>
                <w:color w:val="auto"/>
              </w:rPr>
            </w:pPr>
          </w:p>
        </w:tc>
        <w:tc>
          <w:tcPr>
            <w:tcW w:w="900" w:type="dxa"/>
            <w:vAlign w:val="bottom"/>
          </w:tcPr>
          <w:p>
            <w:pPr>
              <w:jc w:val="right"/>
              <w:ind w:right="94"/>
              <w:spacing w:after="0"/>
              <w:rPr>
                <w:sz w:val="20"/>
                <w:szCs w:val="20"/>
                <w:color w:val="auto"/>
              </w:rPr>
            </w:pPr>
            <w:r>
              <w:rPr>
                <w:rFonts w:ascii="Arial" w:cs="Arial" w:eastAsia="Arial" w:hAnsi="Arial"/>
                <w:sz w:val="17"/>
                <w:szCs w:val="17"/>
                <w:color w:val="auto"/>
              </w:rPr>
              <w:t>Footage</w:t>
            </w:r>
          </w:p>
        </w:tc>
        <w:tc>
          <w:tcPr>
            <w:tcW w:w="180" w:type="dxa"/>
            <w:vAlign w:val="bottom"/>
          </w:tcPr>
          <w:p>
            <w:pPr>
              <w:spacing w:after="0"/>
              <w:rPr>
                <w:sz w:val="19"/>
                <w:szCs w:val="19"/>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7"/>
                <w:szCs w:val="17"/>
                <w:color w:val="auto"/>
                <w:w w:val="90"/>
              </w:rPr>
              <w:t>Company</w:t>
            </w:r>
          </w:p>
        </w:tc>
      </w:tr>
      <w:tr>
        <w:trPr>
          <w:trHeight w:val="194"/>
        </w:trPr>
        <w:tc>
          <w:tcPr>
            <w:tcW w:w="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w w:val="89"/>
              </w:rPr>
              <w:t>5300</w:t>
            </w:r>
          </w:p>
        </w:tc>
        <w:tc>
          <w:tcPr>
            <w:tcW w:w="2900" w:type="dxa"/>
            <w:vAlign w:val="bottom"/>
            <w:tcBorders>
              <w:top w:val="single" w:sz="8" w:color="auto"/>
            </w:tcBorders>
            <w:shd w:val="clear" w:color="auto" w:fill="CCEEFF"/>
          </w:tcPr>
          <w:p>
            <w:pPr>
              <w:ind w:left="20"/>
              <w:spacing w:after="0" w:line="194" w:lineRule="exact"/>
              <w:rPr>
                <w:sz w:val="20"/>
                <w:szCs w:val="20"/>
                <w:color w:val="auto"/>
              </w:rPr>
            </w:pPr>
            <w:r>
              <w:rPr>
                <w:rFonts w:ascii="Arial" w:cs="Arial" w:eastAsia="Arial" w:hAnsi="Arial"/>
                <w:sz w:val="17"/>
                <w:szCs w:val="17"/>
                <w:color w:val="auto"/>
                <w:w w:val="97"/>
              </w:rPr>
              <w:t>South 360 West, Salt Lake City, UT (1)</w:t>
            </w:r>
          </w:p>
        </w:tc>
        <w:tc>
          <w:tcPr>
            <w:tcW w:w="3640" w:type="dxa"/>
            <w:vAlign w:val="bottom"/>
            <w:tcBorders>
              <w:top w:val="single" w:sz="8" w:color="auto"/>
            </w:tcBorders>
            <w:shd w:val="clear" w:color="auto" w:fill="CCEEFF"/>
          </w:tcPr>
          <w:p>
            <w:pPr>
              <w:ind w:left="160"/>
              <w:spacing w:after="0" w:line="194" w:lineRule="exact"/>
              <w:rPr>
                <w:sz w:val="20"/>
                <w:szCs w:val="20"/>
                <w:color w:val="auto"/>
              </w:rPr>
            </w:pPr>
            <w:r>
              <w:rPr>
                <w:rFonts w:ascii="Arial" w:cs="Arial" w:eastAsia="Arial" w:hAnsi="Arial"/>
                <w:sz w:val="17"/>
                <w:szCs w:val="17"/>
                <w:color w:val="auto"/>
              </w:rPr>
              <w:t>Corporate Offices, Life Insurance</w:t>
            </w:r>
          </w:p>
        </w:tc>
        <w:tc>
          <w:tcPr>
            <w:tcW w:w="8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and Cemetery/Mortuary Operations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36,000</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100%</w:t>
            </w:r>
          </w:p>
        </w:tc>
      </w:tr>
      <w:tr>
        <w:trPr>
          <w:trHeight w:val="207"/>
        </w:trPr>
        <w:tc>
          <w:tcPr>
            <w:tcW w:w="2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Arial" w:cs="Arial" w:eastAsia="Arial" w:hAnsi="Arial"/>
                <w:sz w:val="17"/>
                <w:szCs w:val="17"/>
                <w:color w:val="auto"/>
                <w:w w:val="89"/>
              </w:rPr>
              <w:t>5201</w:t>
            </w:r>
          </w:p>
        </w:tc>
        <w:tc>
          <w:tcPr>
            <w:tcW w:w="2900" w:type="dxa"/>
            <w:vAlign w:val="bottom"/>
          </w:tcPr>
          <w:p>
            <w:pPr>
              <w:ind w:left="20"/>
              <w:spacing w:after="0"/>
              <w:rPr>
                <w:sz w:val="20"/>
                <w:szCs w:val="20"/>
                <w:color w:val="auto"/>
              </w:rPr>
            </w:pPr>
            <w:r>
              <w:rPr>
                <w:rFonts w:ascii="Arial" w:cs="Arial" w:eastAsia="Arial" w:hAnsi="Arial"/>
                <w:sz w:val="17"/>
                <w:szCs w:val="17"/>
                <w:color w:val="auto"/>
              </w:rPr>
              <w:t>Green Street, Salt Lake City, UT</w:t>
            </w:r>
          </w:p>
        </w:tc>
        <w:tc>
          <w:tcPr>
            <w:tcW w:w="3640" w:type="dxa"/>
            <w:vAlign w:val="bottom"/>
          </w:tcPr>
          <w:p>
            <w:pPr>
              <w:ind w:left="160"/>
              <w:spacing w:after="0"/>
              <w:rPr>
                <w:sz w:val="20"/>
                <w:szCs w:val="20"/>
                <w:color w:val="auto"/>
              </w:rPr>
            </w:pPr>
            <w:r>
              <w:rPr>
                <w:rFonts w:ascii="Arial" w:cs="Arial" w:eastAsia="Arial" w:hAnsi="Arial"/>
                <w:sz w:val="17"/>
                <w:szCs w:val="17"/>
                <w:color w:val="auto"/>
              </w:rPr>
              <w:t>Mortgage Operations</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36,899</w:t>
            </w:r>
          </w:p>
        </w:tc>
        <w:tc>
          <w:tcPr>
            <w:tcW w:w="1240" w:type="dxa"/>
            <w:vAlign w:val="bottom"/>
            <w:gridSpan w:val="3"/>
          </w:tcPr>
          <w:p>
            <w:pPr>
              <w:jc w:val="right"/>
              <w:ind w:right="20"/>
              <w:spacing w:after="0"/>
              <w:rPr>
                <w:sz w:val="20"/>
                <w:szCs w:val="20"/>
                <w:color w:val="auto"/>
              </w:rPr>
            </w:pPr>
            <w:r>
              <w:rPr>
                <w:rFonts w:ascii="Arial" w:cs="Arial" w:eastAsia="Arial" w:hAnsi="Arial"/>
                <w:sz w:val="17"/>
                <w:szCs w:val="17"/>
                <w:color w:val="auto"/>
              </w:rPr>
              <w:t>34%</w:t>
            </w:r>
          </w:p>
        </w:tc>
      </w:tr>
      <w:tr>
        <w:trPr>
          <w:trHeight w:val="207"/>
        </w:trPr>
        <w:tc>
          <w:tcPr>
            <w:tcW w:w="20" w:type="dxa"/>
            <w:vAlign w:val="bottom"/>
          </w:tcPr>
          <w:p>
            <w:pPr>
              <w:spacing w:after="0"/>
              <w:rPr>
                <w:sz w:val="17"/>
                <w:szCs w:val="17"/>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7"/>
                <w:szCs w:val="17"/>
                <w:color w:val="auto"/>
                <w:w w:val="89"/>
              </w:rPr>
              <w:t>1044</w:t>
            </w:r>
          </w:p>
        </w:tc>
        <w:tc>
          <w:tcPr>
            <w:tcW w:w="2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River Oaks Dr., Flowood, MS</w:t>
            </w:r>
          </w:p>
        </w:tc>
        <w:tc>
          <w:tcPr>
            <w:tcW w:w="3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Life Insurance Operations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21,521</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27%</w:t>
            </w:r>
          </w:p>
        </w:tc>
      </w:tr>
      <w:tr>
        <w:trPr>
          <w:trHeight w:val="219"/>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7"/>
                <w:szCs w:val="17"/>
                <w:color w:val="auto"/>
              </w:rPr>
              <w:t>121 West Election Road, Draper, UT</w:t>
            </w:r>
          </w:p>
        </w:tc>
        <w:tc>
          <w:tcPr>
            <w:tcW w:w="3640" w:type="dxa"/>
            <w:vAlign w:val="bottom"/>
          </w:tcPr>
          <w:p>
            <w:pPr>
              <w:ind w:left="160"/>
              <w:spacing w:after="0"/>
              <w:rPr>
                <w:sz w:val="20"/>
                <w:szCs w:val="20"/>
                <w:color w:val="auto"/>
              </w:rPr>
            </w:pPr>
            <w:r>
              <w:rPr>
                <w:rFonts w:ascii="Arial" w:cs="Arial" w:eastAsia="Arial" w:hAnsi="Arial"/>
                <w:sz w:val="17"/>
                <w:szCs w:val="17"/>
                <w:color w:val="auto"/>
              </w:rPr>
              <w:t>Mortgage Sales</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78,978</w:t>
            </w:r>
          </w:p>
        </w:tc>
        <w:tc>
          <w:tcPr>
            <w:tcW w:w="1240" w:type="dxa"/>
            <w:vAlign w:val="bottom"/>
            <w:gridSpan w:val="3"/>
          </w:tcPr>
          <w:p>
            <w:pPr>
              <w:jc w:val="right"/>
              <w:ind w:right="20"/>
              <w:spacing w:after="0"/>
              <w:rPr>
                <w:sz w:val="20"/>
                <w:szCs w:val="20"/>
                <w:color w:val="auto"/>
              </w:rPr>
            </w:pPr>
            <w:r>
              <w:rPr>
                <w:rFonts w:ascii="Arial" w:cs="Arial" w:eastAsia="Arial" w:hAnsi="Arial"/>
                <w:sz w:val="17"/>
                <w:szCs w:val="17"/>
                <w:color w:val="auto"/>
              </w:rPr>
              <w:t>19%</w:t>
            </w:r>
          </w:p>
        </w:tc>
      </w:tr>
    </w:tbl>
    <w:p>
      <w:pPr>
        <w:spacing w:after="0" w:line="18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(1) This asset is included in property and equipment on the condensed consolidated balance sheets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Mortgage Loans Held for Investment</w:t>
      </w:r>
    </w:p>
    <w:p>
      <w:pPr>
        <w:spacing w:after="0" w:line="27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Mortgage loans held for investment consist of first and second mortgages. The mortgage loans bear interest at rates ranging from 2.0% to 10.5%, maturity dates range from six months to 30 years and are secured by real estate. Concentrations of credit risk arise when a number of mortgage loan debtors have similar economic characteristics that would cause their ability to meet contractual obligations to be similarly affected by changes in economic conditions. Although the Company has a diversified mortgage loan portfolio consisting of residential mortgages, commercial loans and residential construction loans and requires collateral on all real estate exposures, a substantial portion of its debtors' ability to honor obligations is reliant on the economic stability of the geographic region in which the debtors do business. At June 30, 2018, the Company had 48%, 13%, 13%, 8%, 6%, 3% and 3% of its mortgage loans from borrowers located in the states of Utah, Florida, Texas, California, Nevada, Arizona, and Tennessee, respectively.</w:t>
      </w:r>
    </w:p>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Mortgage loans held for investment are carried at their unpaid principal balances adjusted for net deferred fees, charge-offs and the related allowance for loan losses. Interest income is included in net investment income on the condensed consolidated statements of earnings and is recognized when earned. The Company defers related material loan origination fees, net of related direct loan origination costs, and amortizes the net fees over the term of the loans. Origination fees are included in net investment income on the condensed consolidated statements of earnings.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21"/>
          <w:szCs w:val="21"/>
          <w:color w:val="auto"/>
        </w:rPr>
        <w:t>SECURITY NATIONAL FINANCIAL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June 30, 2018 (Unaudited)</w:t>
      </w:r>
    </w:p>
    <w:p>
      <w:pPr>
        <w:spacing w:after="0" w:line="257" w:lineRule="exact"/>
        <w:rPr>
          <w:sz w:val="20"/>
          <w:szCs w:val="20"/>
          <w:color w:val="auto"/>
        </w:rPr>
      </w:pPr>
    </w:p>
    <w:p>
      <w:pPr>
        <w:ind w:left="620" w:hanging="61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Mortgage loans are secured by the underlying property and require an appraisal at the time of underwriting and funding. Generally, the Company will fund a loan not to exceed 80% of the loan's collateral fair market value. Amounts over 80% will require additional collateral or mortgage insurance by an approved third-party insurer.</w:t>
      </w:r>
    </w:p>
    <w:p>
      <w:pPr>
        <w:spacing w:after="0" w:line="224"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Company provides for losses on its mortgage loans held for investment through an allowance for loan losses (a contra-asset account). The allowance is comprised of two components. The first component is an allowance for collectively evaluated impairment that is based upon the Company's historical experience in collecting similar receivables. The second component is based upon individual evaluation of loans that are determined to be impaired. Upon determining impairment, the Company establishes an individual impairment allowance based upon an assessment of the fair value of the underlying collateral. In addition, when a mortgage loan is past due more than 90 days, the Company does not accrue any interest income. When a loan becomes delinquent, the Company proceeds to foreclose on the real estate and all expenses for foreclosure are expensed as incurred. Once foreclosed, an adjustment for the lower of cost or fair value is made, if necessary, and the amount is classified as real estate held for investment. The Company will rent the properties until it is deemed desirable to sell them.</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allowance for losses on mortgage loans held for investment could change based on changes in the value of the underlying collateral, the performance status of the loans, or the Company's actual collection experience. The actual losses could change, in the near term, from the established allowance, based upon the occurrence or non-occurrence of these events.</w:t>
      </w:r>
    </w:p>
    <w:p>
      <w:pPr>
        <w:spacing w:after="0" w:line="224"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For purposes of determining the allowance for losses, the Company has segmented its mortgage loans held for investment by loan type. The Company's loan types are commercial, residential, and residential construction. The inherent risks within the portfolio vary depending upon the loan type as follows:</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u w:val="single" w:color="auto"/>
          <w:color w:val="auto"/>
        </w:rPr>
        <w:t>Commercial</w:t>
      </w:r>
      <w:r>
        <w:rPr>
          <w:rFonts w:ascii="Arial" w:cs="Arial" w:eastAsia="Arial" w:hAnsi="Arial"/>
          <w:sz w:val="17"/>
          <w:szCs w:val="17"/>
          <w:color w:val="auto"/>
        </w:rPr>
        <w:t xml:space="preserve"> - Underwritten in accordance with the Company's policies to determine the borrower's ability to repay the obligation as agreed. Commercial loans are made primarily based on the underlying collateral supporting the loan. Accordingly, the repayment of a commercial loan depends primarily on the collateral and its ability to generate income and secondary on the borrower's (or guarantors) ability to repay.</w:t>
      </w:r>
    </w:p>
    <w:p>
      <w:pPr>
        <w:spacing w:after="0" w:line="22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u w:val="single" w:color="auto"/>
          <w:color w:val="auto"/>
        </w:rPr>
        <w:t>Residential</w:t>
      </w:r>
      <w:r>
        <w:rPr>
          <w:rFonts w:ascii="Arial" w:cs="Arial" w:eastAsia="Arial" w:hAnsi="Arial"/>
          <w:sz w:val="17"/>
          <w:szCs w:val="17"/>
          <w:color w:val="auto"/>
        </w:rPr>
        <w:t xml:space="preserve"> – Secured by family dwelling units. These loans are secured by first mortgages on the unit, which are generally the primary residence of the borrower, generally at a loan-to-value ratio ("LTV") of 80% or less.</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u w:val="single" w:color="auto"/>
          <w:color w:val="auto"/>
        </w:rPr>
        <w:t>Residential construction (including land acquisition and development)</w:t>
      </w:r>
      <w:r>
        <w:rPr>
          <w:rFonts w:ascii="Arial" w:cs="Arial" w:eastAsia="Arial" w:hAnsi="Arial"/>
          <w:sz w:val="17"/>
          <w:szCs w:val="17"/>
          <w:color w:val="auto"/>
        </w:rPr>
        <w:t xml:space="preserve"> – Underwritten in accordance with the Company's underwriting policies which include a financial analysis of the builders, borrowers (guarantors), construction cost estimates, and independent appraisal valuations. These loans will rely on the value associated with the project upon completion. These cost and valuation estimates may be inaccurate. Construction loans generally involve the disbursement of substantial funds over a short period of time with repayment substantially dependent upon the success of the completed project and the ability of the borrower to secure long-term financing. Additionally, land is underwritten according to the Company's policies, which include independent appraisal valuations as well as the estimated value associated with the land upon completion of development into finished lots. These cost and valuation estimates may be inaccurate. These loans are considered to be of a higher risk than other mortgage loans due to their ultimate repayment being sensitive to general economic conditions, availability of long-term or construction financing, and interest rate sensitivity.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21"/>
          <w:szCs w:val="21"/>
          <w:color w:val="auto"/>
        </w:rPr>
        <w:t>SECURITY NATIONAL FINANCIAL CORPORATION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June 30, 2018 (Unaudited)</w:t>
      </w:r>
    </w:p>
    <w:p>
      <w:pPr>
        <w:spacing w:after="0" w:line="257" w:lineRule="exact"/>
        <w:rPr>
          <w:sz w:val="20"/>
          <w:szCs w:val="20"/>
          <w:color w:val="auto"/>
        </w:rPr>
      </w:pPr>
    </w:p>
    <w:p>
      <w:pPr>
        <w:ind w:left="620" w:hanging="617"/>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960" w:type="dxa"/>
            <w:vAlign w:val="bottom"/>
            <w:gridSpan w:val="9"/>
          </w:tcPr>
          <w:p>
            <w:pPr>
              <w:jc w:val="right"/>
              <w:ind w:right="280"/>
              <w:spacing w:after="0"/>
              <w:rPr>
                <w:sz w:val="20"/>
                <w:szCs w:val="20"/>
                <w:color w:val="auto"/>
              </w:rPr>
            </w:pPr>
            <w:r>
              <w:rPr>
                <w:rFonts w:ascii="Arial" w:cs="Arial" w:eastAsia="Arial" w:hAnsi="Arial"/>
                <w:sz w:val="17"/>
                <w:szCs w:val="17"/>
                <w:b w:val="1"/>
                <w:bCs w:val="1"/>
                <w:color w:val="auto"/>
                <w:w w:val="94"/>
              </w:rPr>
              <w:t>Allowance for Credit Losses and Recorded Investment in Mortgage Loans</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7"/>
                <w:szCs w:val="17"/>
                <w:b w:val="1"/>
                <w:bCs w:val="1"/>
                <w:color w:val="auto"/>
                <w:w w:val="94"/>
              </w:rPr>
              <w:t>Residential</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Arial" w:cs="Arial" w:eastAsia="Arial" w:hAnsi="Arial"/>
                <w:sz w:val="17"/>
                <w:szCs w:val="17"/>
                <w:b w:val="1"/>
                <w:bCs w:val="1"/>
                <w:color w:val="auto"/>
                <w:w w:val="90"/>
              </w:rPr>
              <w:t>Commercial</w:t>
            </w:r>
          </w:p>
        </w:tc>
        <w:tc>
          <w:tcPr>
            <w:tcW w:w="180" w:type="dxa"/>
            <w:vAlign w:val="bottom"/>
          </w:tcPr>
          <w:p>
            <w:pPr>
              <w:spacing w:after="0"/>
              <w:rPr>
                <w:sz w:val="20"/>
                <w:szCs w:val="20"/>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7"/>
                <w:szCs w:val="17"/>
                <w:b w:val="1"/>
                <w:bCs w:val="1"/>
                <w:color w:val="auto"/>
                <w:w w:val="94"/>
              </w:rPr>
              <w:t>Residential</w:t>
            </w:r>
          </w:p>
        </w:tc>
        <w:tc>
          <w:tcPr>
            <w:tcW w:w="1140" w:type="dxa"/>
            <w:vAlign w:val="bottom"/>
            <w:gridSpan w:val="3"/>
          </w:tcPr>
          <w:p>
            <w:pPr>
              <w:spacing w:after="0"/>
              <w:rPr>
                <w:sz w:val="20"/>
                <w:szCs w:val="20"/>
                <w:color w:val="auto"/>
              </w:rPr>
            </w:pPr>
            <w:r>
              <w:rPr>
                <w:rFonts w:ascii="Arial" w:cs="Arial" w:eastAsia="Arial" w:hAnsi="Arial"/>
                <w:sz w:val="17"/>
                <w:szCs w:val="17"/>
                <w:b w:val="1"/>
                <w:bCs w:val="1"/>
                <w:color w:val="auto"/>
              </w:rPr>
              <w:t>Construction</w:t>
            </w:r>
          </w:p>
        </w:tc>
        <w:tc>
          <w:tcPr>
            <w:tcW w:w="8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Total</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1140" w:type="dxa"/>
            <w:vAlign w:val="bottom"/>
          </w:tcPr>
          <w:p>
            <w:pPr>
              <w:spacing w:after="0"/>
              <w:rPr>
                <w:sz w:val="14"/>
                <w:szCs w:val="14"/>
                <w:color w:val="auto"/>
              </w:rPr>
            </w:pPr>
          </w:p>
        </w:tc>
        <w:tc>
          <w:tcPr>
            <w:tcW w:w="4140" w:type="dxa"/>
            <w:vAlign w:val="bottom"/>
            <w:gridSpan w:val="4"/>
          </w:tcPr>
          <w:p>
            <w:pPr>
              <w:spacing w:after="0" w:line="168" w:lineRule="exact"/>
              <w:rPr>
                <w:sz w:val="20"/>
                <w:szCs w:val="20"/>
                <w:color w:val="auto"/>
              </w:rPr>
            </w:pPr>
            <w:r>
              <w:rPr>
                <w:rFonts w:ascii="Arial" w:cs="Arial" w:eastAsia="Arial" w:hAnsi="Arial"/>
                <w:sz w:val="17"/>
                <w:szCs w:val="17"/>
                <w:b w:val="1"/>
                <w:bCs w:val="1"/>
                <w:color w:val="auto"/>
              </w:rPr>
              <w:t>June 30, 2018</w:t>
            </w:r>
          </w:p>
        </w:tc>
        <w:tc>
          <w:tcPr>
            <w:tcW w:w="6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140" w:type="dxa"/>
            <w:vAlign w:val="bottom"/>
          </w:tcPr>
          <w:p>
            <w:pPr>
              <w:spacing w:after="0"/>
              <w:rPr>
                <w:sz w:val="19"/>
                <w:szCs w:val="19"/>
                <w:color w:val="auto"/>
              </w:rPr>
            </w:pPr>
          </w:p>
        </w:tc>
        <w:tc>
          <w:tcPr>
            <w:tcW w:w="4140" w:type="dxa"/>
            <w:vAlign w:val="bottom"/>
            <w:gridSpan w:val="4"/>
          </w:tcPr>
          <w:p>
            <w:pPr>
              <w:spacing w:after="0"/>
              <w:rPr>
                <w:sz w:val="20"/>
                <w:szCs w:val="20"/>
                <w:color w:val="auto"/>
              </w:rPr>
            </w:pPr>
            <w:r>
              <w:rPr>
                <w:rFonts w:ascii="Arial" w:cs="Arial" w:eastAsia="Arial" w:hAnsi="Arial"/>
                <w:sz w:val="17"/>
                <w:szCs w:val="17"/>
                <w:color w:val="auto"/>
              </w:rPr>
              <w:t>Allowance for credit losses: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Beginning balance - January 1, 2018</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187,129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1,546,447</w:t>
            </w: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35,220</w:t>
            </w: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1,768,796</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gridSpan w:val="3"/>
          </w:tcPr>
          <w:p>
            <w:pPr>
              <w:ind w:left="120"/>
              <w:spacing w:after="0"/>
              <w:rPr>
                <w:sz w:val="20"/>
                <w:szCs w:val="20"/>
                <w:color w:val="auto"/>
              </w:rPr>
            </w:pPr>
            <w:r>
              <w:rPr>
                <w:rFonts w:ascii="Arial" w:cs="Arial" w:eastAsia="Arial" w:hAnsi="Arial"/>
                <w:sz w:val="17"/>
                <w:szCs w:val="17"/>
                <w:color w:val="auto"/>
              </w:rPr>
              <w:t>Charge-offs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(5,725)</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(5,725)</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Provision</w:t>
            </w:r>
          </w:p>
        </w:tc>
        <w:tc>
          <w:tcPr>
            <w:tcW w:w="6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(199,407)</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(199,407)</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6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120" w:type="dxa"/>
            <w:vAlign w:val="bottom"/>
            <w:gridSpan w:val="3"/>
          </w:tcPr>
          <w:p>
            <w:pPr>
              <w:spacing w:after="0"/>
              <w:rPr>
                <w:sz w:val="20"/>
                <w:szCs w:val="20"/>
                <w:color w:val="auto"/>
              </w:rPr>
            </w:pPr>
            <w:r>
              <w:rPr>
                <w:rFonts w:ascii="Arial" w:cs="Arial" w:eastAsia="Arial" w:hAnsi="Arial"/>
                <w:sz w:val="17"/>
                <w:szCs w:val="17"/>
                <w:color w:val="auto"/>
              </w:rPr>
              <w:t>Ending balance - June 30, 2018</w:t>
            </w:r>
          </w:p>
        </w:tc>
        <w:tc>
          <w:tcPr>
            <w:tcW w:w="6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187,129</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1,341,315</w:t>
            </w:r>
          </w:p>
        </w:tc>
        <w:tc>
          <w:tcPr>
            <w:tcW w:w="18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35,220</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1,563,664</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120" w:type="dxa"/>
            <w:vAlign w:val="bottom"/>
            <w:gridSpan w:val="3"/>
          </w:tcPr>
          <w:p>
            <w:pPr>
              <w:spacing w:after="0"/>
              <w:rPr>
                <w:sz w:val="20"/>
                <w:szCs w:val="20"/>
                <w:color w:val="auto"/>
              </w:rPr>
            </w:pPr>
            <w:r>
              <w:rPr>
                <w:rFonts w:ascii="Arial" w:cs="Arial" w:eastAsia="Arial" w:hAnsi="Arial"/>
                <w:sz w:val="17"/>
                <w:szCs w:val="17"/>
                <w:color w:val="auto"/>
              </w:rPr>
              <w:t>Ending balance: individually evaluated for impairment</w:t>
            </w:r>
          </w:p>
        </w:tc>
        <w:tc>
          <w:tcPr>
            <w:tcW w:w="6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240,152</w:t>
            </w:r>
          </w:p>
        </w:tc>
        <w:tc>
          <w:tcPr>
            <w:tcW w:w="18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240,152</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120" w:type="dxa"/>
            <w:vAlign w:val="bottom"/>
            <w:gridSpan w:val="3"/>
          </w:tcPr>
          <w:p>
            <w:pPr>
              <w:spacing w:after="0"/>
              <w:rPr>
                <w:sz w:val="20"/>
                <w:szCs w:val="20"/>
                <w:color w:val="auto"/>
              </w:rPr>
            </w:pPr>
            <w:r>
              <w:rPr>
                <w:rFonts w:ascii="Arial" w:cs="Arial" w:eastAsia="Arial" w:hAnsi="Arial"/>
                <w:sz w:val="17"/>
                <w:szCs w:val="17"/>
                <w:color w:val="auto"/>
              </w:rPr>
              <w:t>Ending balance: collectively evaluated for impairment</w:t>
            </w:r>
          </w:p>
        </w:tc>
        <w:tc>
          <w:tcPr>
            <w:tcW w:w="72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187,129</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1,101,163</w:t>
            </w:r>
          </w:p>
        </w:tc>
        <w:tc>
          <w:tcPr>
            <w:tcW w:w="18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35,220</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1,323,512</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120" w:type="dxa"/>
            <w:vAlign w:val="bottom"/>
            <w:gridSpan w:val="3"/>
          </w:tcPr>
          <w:p>
            <w:pPr>
              <w:spacing w:after="0"/>
              <w:rPr>
                <w:sz w:val="20"/>
                <w:szCs w:val="20"/>
                <w:color w:val="auto"/>
              </w:rPr>
            </w:pPr>
            <w:r>
              <w:rPr>
                <w:rFonts w:ascii="Arial" w:cs="Arial" w:eastAsia="Arial" w:hAnsi="Arial"/>
                <w:sz w:val="17"/>
                <w:szCs w:val="17"/>
                <w:color w:val="auto"/>
              </w:rPr>
              <w:t>Mortgage loans: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Ending balance</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44,682,145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87,960,136</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63,461,371</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196,103,652</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74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14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Ending balance: individually evaluated for impairment</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4,475,326</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1,122,279</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5,597,605</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74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14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Ending balance: collectively evaluated for impairment</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44,682,145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83,484,810</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62,339,092</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190,506,047</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74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4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gridSpan w:val="2"/>
            <w:shd w:val="clear" w:color="auto" w:fill="CCEEFF"/>
          </w:tcPr>
          <w:p>
            <w:pPr>
              <w:spacing w:after="0" w:line="168" w:lineRule="exact"/>
              <w:rPr>
                <w:sz w:val="20"/>
                <w:szCs w:val="20"/>
                <w:color w:val="auto"/>
              </w:rPr>
            </w:pPr>
            <w:r>
              <w:rPr>
                <w:rFonts w:ascii="Arial" w:cs="Arial" w:eastAsia="Arial" w:hAnsi="Arial"/>
                <w:sz w:val="17"/>
                <w:szCs w:val="17"/>
                <w:b w:val="1"/>
                <w:bCs w:val="1"/>
                <w:color w:val="auto"/>
                <w:w w:val="88"/>
                <w:shd w:val="clear" w:color="auto" w:fill="CCEEFF"/>
              </w:rPr>
              <w:t>December 31, 2017</w:t>
            </w:r>
          </w:p>
        </w:tc>
        <w:tc>
          <w:tcPr>
            <w:tcW w:w="27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right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tcBorders>
              <w:top w:val="single" w:sz="8" w:color="CCEEFF"/>
            </w:tcBorders>
            <w:gridSpan w:val="3"/>
          </w:tcPr>
          <w:p>
            <w:pPr>
              <w:spacing w:after="0"/>
              <w:rPr>
                <w:sz w:val="20"/>
                <w:szCs w:val="20"/>
                <w:color w:val="auto"/>
              </w:rPr>
            </w:pPr>
            <w:r>
              <w:rPr>
                <w:rFonts w:ascii="Arial" w:cs="Arial" w:eastAsia="Arial" w:hAnsi="Arial"/>
                <w:sz w:val="17"/>
                <w:szCs w:val="17"/>
                <w:color w:val="auto"/>
              </w:rPr>
              <w:t>Allowance for credit losses:</w:t>
            </w:r>
          </w:p>
        </w:tc>
        <w:tc>
          <w:tcPr>
            <w:tcW w:w="6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Beginning balance - January 1, 2017</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187,129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1,461,540</w:t>
            </w: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100,114</w:t>
            </w: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1,748,783</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gridSpan w:val="3"/>
          </w:tcPr>
          <w:p>
            <w:pPr>
              <w:ind w:left="120"/>
              <w:spacing w:after="0"/>
              <w:rPr>
                <w:sz w:val="20"/>
                <w:szCs w:val="20"/>
                <w:color w:val="auto"/>
              </w:rPr>
            </w:pPr>
            <w:r>
              <w:rPr>
                <w:rFonts w:ascii="Arial" w:cs="Arial" w:eastAsia="Arial" w:hAnsi="Arial"/>
                <w:sz w:val="17"/>
                <w:szCs w:val="17"/>
                <w:color w:val="auto"/>
              </w:rPr>
              <w:t>Charge-offs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(351,357)</w:t>
            </w:r>
          </w:p>
        </w:tc>
        <w:tc>
          <w:tcPr>
            <w:tcW w:w="1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(64,894)</w:t>
            </w:r>
          </w:p>
        </w:tc>
        <w:tc>
          <w:tcPr>
            <w:tcW w:w="8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(416,251)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7"/>
                <w:szCs w:val="17"/>
                <w:color w:val="auto"/>
              </w:rPr>
              <w:t>Provision</w:t>
            </w:r>
          </w:p>
        </w:tc>
        <w:tc>
          <w:tcPr>
            <w:tcW w:w="62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436,264</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436,264</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gridSpan w:val="3"/>
          </w:tcPr>
          <w:p>
            <w:pPr>
              <w:spacing w:after="0"/>
              <w:rPr>
                <w:sz w:val="20"/>
                <w:szCs w:val="20"/>
                <w:color w:val="auto"/>
              </w:rPr>
            </w:pPr>
            <w:r>
              <w:rPr>
                <w:rFonts w:ascii="Arial" w:cs="Arial" w:eastAsia="Arial" w:hAnsi="Arial"/>
                <w:sz w:val="17"/>
                <w:szCs w:val="17"/>
                <w:color w:val="auto"/>
              </w:rPr>
              <w:t>Ending balance - December 31, 2017</w:t>
            </w:r>
          </w:p>
        </w:tc>
        <w:tc>
          <w:tcPr>
            <w:tcW w:w="6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187,129</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1,546,447</w:t>
            </w:r>
          </w:p>
        </w:tc>
        <w:tc>
          <w:tcPr>
            <w:tcW w:w="18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35,220</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1,768,796</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120" w:type="dxa"/>
            <w:vAlign w:val="bottom"/>
            <w:gridSpan w:val="3"/>
          </w:tcPr>
          <w:p>
            <w:pPr>
              <w:spacing w:after="0"/>
              <w:rPr>
                <w:sz w:val="20"/>
                <w:szCs w:val="20"/>
                <w:color w:val="auto"/>
              </w:rPr>
            </w:pPr>
            <w:r>
              <w:rPr>
                <w:rFonts w:ascii="Arial" w:cs="Arial" w:eastAsia="Arial" w:hAnsi="Arial"/>
                <w:sz w:val="17"/>
                <w:szCs w:val="17"/>
                <w:color w:val="auto"/>
              </w:rPr>
              <w:t>Ending balance: individually evaluated for impairment</w:t>
            </w:r>
          </w:p>
        </w:tc>
        <w:tc>
          <w:tcPr>
            <w:tcW w:w="6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237,560</w:t>
            </w:r>
          </w:p>
        </w:tc>
        <w:tc>
          <w:tcPr>
            <w:tcW w:w="18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237,560</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120" w:type="dxa"/>
            <w:vAlign w:val="bottom"/>
            <w:gridSpan w:val="3"/>
          </w:tcPr>
          <w:p>
            <w:pPr>
              <w:spacing w:after="0"/>
              <w:rPr>
                <w:sz w:val="20"/>
                <w:szCs w:val="20"/>
                <w:color w:val="auto"/>
              </w:rPr>
            </w:pPr>
            <w:r>
              <w:rPr>
                <w:rFonts w:ascii="Arial" w:cs="Arial" w:eastAsia="Arial" w:hAnsi="Arial"/>
                <w:sz w:val="17"/>
                <w:szCs w:val="17"/>
                <w:color w:val="auto"/>
              </w:rPr>
              <w:t>Ending balance: collectively evaluated for impairment</w:t>
            </w:r>
          </w:p>
        </w:tc>
        <w:tc>
          <w:tcPr>
            <w:tcW w:w="72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187,129</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1,308,887</w:t>
            </w:r>
          </w:p>
        </w:tc>
        <w:tc>
          <w:tcPr>
            <w:tcW w:w="18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35,220</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1,531,236</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120" w:type="dxa"/>
            <w:vAlign w:val="bottom"/>
            <w:gridSpan w:val="3"/>
          </w:tcPr>
          <w:p>
            <w:pPr>
              <w:spacing w:after="0"/>
              <w:rPr>
                <w:sz w:val="20"/>
                <w:szCs w:val="20"/>
                <w:color w:val="auto"/>
              </w:rPr>
            </w:pPr>
            <w:r>
              <w:rPr>
                <w:rFonts w:ascii="Arial" w:cs="Arial" w:eastAsia="Arial" w:hAnsi="Arial"/>
                <w:sz w:val="17"/>
                <w:szCs w:val="17"/>
                <w:color w:val="auto"/>
              </w:rPr>
              <w:t>Mortgage loans: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Ending balance</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54,954,865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102,527,111</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50,157,533</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207,639,509</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74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14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Ending balance: individually evaluated for impairment</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4,923,552</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461,834</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5,385,386</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74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14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Ending balance: collectively evaluated for impairment</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54,954,865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97,603,559</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49,695,699</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202,254,123</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29"/>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74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ind w:left="360"/>
              <w:spacing w:after="0"/>
              <w:rPr>
                <w:sz w:val="20"/>
                <w:szCs w:val="20"/>
                <w:color w:val="auto"/>
              </w:rPr>
            </w:pPr>
            <w:r>
              <w:rPr>
                <w:rFonts w:ascii="Arial" w:cs="Arial" w:eastAsia="Arial" w:hAnsi="Arial"/>
                <w:sz w:val="14"/>
                <w:szCs w:val="14"/>
                <w:color w:val="auto"/>
              </w:rPr>
              <w:t>22</w:t>
            </w: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1440" w:gutter="0" w:footer="0" w:header="0"/>
        </w:sectPr>
      </w:pPr>
    </w:p>
    <w:bookmarkStart w:id="22" w:name="page23"/>
    <w:bookmarkEnd w:id="22"/>
    <w:p>
      <w:pPr>
        <w:jc w:val="center"/>
        <w:ind w:right="100"/>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Notes to Condensed Consolidated Financial Statements</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June 30, 2018 (Unaudited)</w:t>
      </w:r>
    </w:p>
    <w:p>
      <w:pPr>
        <w:spacing w:after="0" w:line="205" w:lineRule="exact"/>
        <w:rPr>
          <w:sz w:val="20"/>
          <w:szCs w:val="20"/>
          <w:color w:val="auto"/>
        </w:rPr>
      </w:pPr>
    </w:p>
    <w:p>
      <w:pPr>
        <w:ind w:left="620" w:hanging="61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aging of mortgage loans held for investment for the periods presented: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60" w:type="dxa"/>
            <w:vAlign w:val="bottom"/>
            <w:gridSpan w:val="15"/>
          </w:tcPr>
          <w:p>
            <w:pPr>
              <w:jc w:val="right"/>
              <w:ind w:right="800"/>
              <w:spacing w:after="0"/>
              <w:rPr>
                <w:sz w:val="20"/>
                <w:szCs w:val="20"/>
                <w:color w:val="auto"/>
              </w:rPr>
            </w:pPr>
            <w:r>
              <w:rPr>
                <w:rFonts w:ascii="Arial" w:cs="Arial" w:eastAsia="Arial" w:hAnsi="Arial"/>
                <w:sz w:val="17"/>
                <w:szCs w:val="17"/>
                <w:b w:val="1"/>
                <w:bCs w:val="1"/>
                <w:color w:val="auto"/>
                <w:w w:val="94"/>
              </w:rPr>
              <w:t>Age Analysis of Mortgage Loans Held for Investment</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95"/>
        </w:trPr>
        <w:tc>
          <w:tcPr>
            <w:tcW w:w="1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5"/>
              </w:rPr>
              <w:t>Greater</w:t>
            </w:r>
          </w:p>
        </w:tc>
        <w:tc>
          <w:tcPr>
            <w:tcW w:w="40" w:type="dxa"/>
            <w:vAlign w:val="bottom"/>
          </w:tcPr>
          <w:p>
            <w:pPr>
              <w:spacing w:after="0"/>
              <w:rPr>
                <w:sz w:val="24"/>
                <w:szCs w:val="24"/>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88"/>
              </w:rPr>
              <w:t>In Process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2"/>
              </w:rPr>
              <w:t>Allowance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7"/>
        </w:trPr>
        <w:tc>
          <w:tcPr>
            <w:tcW w:w="17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w w:val="91"/>
              </w:rPr>
              <w:t>30-59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ind w:right="14"/>
              <w:spacing w:after="0"/>
              <w:rPr>
                <w:sz w:val="20"/>
                <w:szCs w:val="20"/>
                <w:color w:val="auto"/>
              </w:rPr>
            </w:pPr>
            <w:r>
              <w:rPr>
                <w:rFonts w:ascii="Arial" w:cs="Arial" w:eastAsia="Arial" w:hAnsi="Arial"/>
                <w:sz w:val="17"/>
                <w:szCs w:val="17"/>
                <w:b w:val="1"/>
                <w:bCs w:val="1"/>
                <w:color w:val="auto"/>
                <w:w w:val="91"/>
              </w:rPr>
              <w:t>60-89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3"/>
              </w:rPr>
              <w:t>Than</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6"/>
              </w:rPr>
              <w:t>of</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3"/>
              </w:rPr>
              <w:t>Total</w:t>
            </w:r>
          </w:p>
        </w:tc>
        <w:tc>
          <w:tcPr>
            <w:tcW w:w="8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6"/>
              </w:rPr>
              <w:t>for</w:t>
            </w:r>
          </w:p>
        </w:tc>
        <w:tc>
          <w:tcPr>
            <w:tcW w:w="1080" w:type="dxa"/>
            <w:vAlign w:val="bottom"/>
            <w:gridSpan w:val="4"/>
          </w:tcPr>
          <w:p>
            <w:pPr>
              <w:ind w:left="20"/>
              <w:spacing w:after="0"/>
              <w:rPr>
                <w:sz w:val="20"/>
                <w:szCs w:val="20"/>
                <w:color w:val="auto"/>
              </w:rPr>
            </w:pPr>
            <w:r>
              <w:rPr>
                <w:rFonts w:ascii="Arial" w:cs="Arial" w:eastAsia="Arial" w:hAnsi="Arial"/>
                <w:sz w:val="17"/>
                <w:szCs w:val="17"/>
                <w:b w:val="1"/>
                <w:bCs w:val="1"/>
                <w:color w:val="auto"/>
              </w:rPr>
              <w:t>Unamortized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4"/>
              </w:rPr>
              <w:t>Net</w:t>
            </w:r>
          </w:p>
        </w:tc>
      </w:tr>
      <w:tr>
        <w:trPr>
          <w:trHeight w:val="207"/>
        </w:trPr>
        <w:tc>
          <w:tcPr>
            <w:tcW w:w="17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w w:val="88"/>
              </w:rPr>
              <w:t>Days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ind w:right="14"/>
              <w:spacing w:after="0"/>
              <w:rPr>
                <w:sz w:val="20"/>
                <w:szCs w:val="20"/>
                <w:color w:val="auto"/>
              </w:rPr>
            </w:pPr>
            <w:r>
              <w:rPr>
                <w:rFonts w:ascii="Arial" w:cs="Arial" w:eastAsia="Arial" w:hAnsi="Arial"/>
                <w:sz w:val="17"/>
                <w:szCs w:val="17"/>
                <w:b w:val="1"/>
                <w:bCs w:val="1"/>
                <w:color w:val="auto"/>
                <w:w w:val="88"/>
              </w:rPr>
              <w:t>Days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0"/>
              </w:rPr>
              <w:t>90 Days</w:t>
            </w:r>
          </w:p>
        </w:tc>
        <w:tc>
          <w:tcPr>
            <w:tcW w:w="1000" w:type="dxa"/>
            <w:vAlign w:val="bottom"/>
            <w:gridSpan w:val="4"/>
          </w:tcPr>
          <w:p>
            <w:pPr>
              <w:ind w:left="40"/>
              <w:spacing w:after="0"/>
              <w:rPr>
                <w:sz w:val="20"/>
                <w:szCs w:val="20"/>
                <w:color w:val="auto"/>
              </w:rPr>
            </w:pPr>
            <w:r>
              <w:rPr>
                <w:rFonts w:ascii="Arial" w:cs="Arial" w:eastAsia="Arial" w:hAnsi="Arial"/>
                <w:sz w:val="17"/>
                <w:szCs w:val="17"/>
                <w:b w:val="1"/>
                <w:bCs w:val="1"/>
                <w:color w:val="auto"/>
                <w:w w:val="96"/>
              </w:rPr>
              <w:t>Foreclosure</w:t>
            </w:r>
          </w:p>
        </w:tc>
        <w:tc>
          <w:tcPr>
            <w:tcW w:w="10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Total</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1"/>
              </w:rPr>
              <w:t>Mortgage</w:t>
            </w:r>
          </w:p>
        </w:tc>
        <w:tc>
          <w:tcPr>
            <w:tcW w:w="8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3"/>
              </w:rPr>
              <w:t>Loan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94"/>
              </w:rPr>
              <w:t>deferred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4"/>
              </w:rPr>
              <w:t>Mortgage</w:t>
            </w:r>
          </w:p>
        </w:tc>
      </w:tr>
      <w:tr>
        <w:trPr>
          <w:trHeight w:val="231"/>
        </w:trPr>
        <w:tc>
          <w:tcPr>
            <w:tcW w:w="178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w w:val="90"/>
              </w:rPr>
              <w:t>Past Due</w:t>
            </w:r>
          </w:p>
        </w:tc>
        <w:tc>
          <w:tcPr>
            <w:tcW w:w="100" w:type="dxa"/>
            <w:vAlign w:val="bottom"/>
          </w:tcPr>
          <w:p>
            <w:pPr>
              <w:spacing w:after="0"/>
              <w:rPr>
                <w:sz w:val="20"/>
                <w:szCs w:val="20"/>
                <w:color w:val="auto"/>
              </w:rPr>
            </w:pPr>
          </w:p>
        </w:tc>
        <w:tc>
          <w:tcPr>
            <w:tcW w:w="800" w:type="dxa"/>
            <w:vAlign w:val="bottom"/>
            <w:gridSpan w:val="2"/>
          </w:tcPr>
          <w:p>
            <w:pPr>
              <w:jc w:val="center"/>
              <w:spacing w:after="0"/>
              <w:rPr>
                <w:sz w:val="20"/>
                <w:szCs w:val="20"/>
                <w:color w:val="auto"/>
              </w:rPr>
            </w:pPr>
            <w:r>
              <w:rPr>
                <w:rFonts w:ascii="Arial" w:cs="Arial" w:eastAsia="Arial" w:hAnsi="Arial"/>
                <w:sz w:val="17"/>
                <w:szCs w:val="17"/>
                <w:b w:val="1"/>
                <w:bCs w:val="1"/>
                <w:color w:val="auto"/>
                <w:w w:val="87"/>
              </w:rPr>
              <w:t>Past Due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7"/>
                <w:szCs w:val="17"/>
                <w:b w:val="1"/>
                <w:bCs w:val="1"/>
                <w:color w:val="auto"/>
                <w:w w:val="96"/>
              </w:rPr>
              <w:t>(1)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center"/>
              <w:ind w:right="34"/>
              <w:spacing w:after="0"/>
              <w:rPr>
                <w:sz w:val="20"/>
                <w:szCs w:val="20"/>
                <w:color w:val="auto"/>
              </w:rPr>
            </w:pPr>
            <w:r>
              <w:rPr>
                <w:rFonts w:ascii="Arial" w:cs="Arial" w:eastAsia="Arial" w:hAnsi="Arial"/>
                <w:sz w:val="17"/>
                <w:szCs w:val="17"/>
                <w:b w:val="1"/>
                <w:bCs w:val="1"/>
                <w:color w:val="auto"/>
                <w:w w:val="96"/>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87"/>
              </w:rPr>
              <w:t>Past Due</w:t>
            </w:r>
          </w:p>
        </w:tc>
        <w:tc>
          <w:tcPr>
            <w:tcW w:w="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Current</w:t>
            </w:r>
          </w:p>
        </w:tc>
        <w:tc>
          <w:tcPr>
            <w:tcW w:w="80" w:type="dxa"/>
            <w:vAlign w:val="bottom"/>
          </w:tcPr>
          <w:p>
            <w:pPr>
              <w:spacing w:after="0"/>
              <w:rPr>
                <w:sz w:val="20"/>
                <w:szCs w:val="2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1"/>
              </w:rPr>
              <w:t>Loans</w:t>
            </w:r>
          </w:p>
        </w:tc>
        <w:tc>
          <w:tcPr>
            <w:tcW w:w="80" w:type="dxa"/>
            <w:vAlign w:val="bottom"/>
          </w:tcPr>
          <w:p>
            <w:pPr>
              <w:spacing w:after="0"/>
              <w:rPr>
                <w:sz w:val="20"/>
                <w:szCs w:val="20"/>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1"/>
              </w:rPr>
              <w:t>Losses</w:t>
            </w:r>
          </w:p>
        </w:tc>
        <w:tc>
          <w:tcPr>
            <w:tcW w:w="20" w:type="dxa"/>
            <w:vAlign w:val="bottom"/>
          </w:tcPr>
          <w:p>
            <w:pPr>
              <w:spacing w:after="0"/>
              <w:rPr>
                <w:sz w:val="20"/>
                <w:szCs w:val="20"/>
                <w:color w:val="auto"/>
              </w:rPr>
            </w:pPr>
          </w:p>
        </w:tc>
        <w:tc>
          <w:tcPr>
            <w:tcW w:w="1060" w:type="dxa"/>
            <w:vAlign w:val="bottom"/>
            <w:gridSpan w:val="3"/>
          </w:tcPr>
          <w:p>
            <w:pPr>
              <w:ind w:left="20"/>
              <w:spacing w:after="0"/>
              <w:rPr>
                <w:sz w:val="20"/>
                <w:szCs w:val="20"/>
                <w:color w:val="auto"/>
              </w:rPr>
            </w:pPr>
            <w:r>
              <w:rPr>
                <w:rFonts w:ascii="Arial" w:cs="Arial" w:eastAsia="Arial" w:hAnsi="Arial"/>
                <w:sz w:val="17"/>
                <w:szCs w:val="17"/>
                <w:b w:val="1"/>
                <w:bCs w:val="1"/>
                <w:color w:val="auto"/>
                <w:w w:val="93"/>
              </w:rPr>
              <w:t>loan fees, net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7"/>
              </w:rPr>
              <w:t>Loans</w:t>
            </w:r>
          </w:p>
        </w:tc>
      </w:tr>
      <w:tr>
        <w:trPr>
          <w:trHeight w:val="207"/>
        </w:trPr>
        <w:tc>
          <w:tcPr>
            <w:tcW w:w="1780" w:type="dxa"/>
            <w:vAlign w:val="bottom"/>
          </w:tcPr>
          <w:p>
            <w:pPr>
              <w:spacing w:after="0"/>
              <w:rPr>
                <w:sz w:val="20"/>
                <w:szCs w:val="20"/>
                <w:color w:val="auto"/>
              </w:rPr>
            </w:pPr>
            <w:r>
              <w:rPr>
                <w:rFonts w:ascii="Arial" w:cs="Arial" w:eastAsia="Arial" w:hAnsi="Arial"/>
                <w:sz w:val="17"/>
                <w:szCs w:val="17"/>
                <w:b w:val="1"/>
                <w:bCs w:val="1"/>
                <w:color w:val="auto"/>
              </w:rPr>
              <w:t>June 30, 2018</w:t>
            </w: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7"/>
        </w:trPr>
        <w:tc>
          <w:tcPr>
            <w:tcW w:w="1780" w:type="dxa"/>
            <w:vAlign w:val="bottom"/>
            <w:shd w:val="clear" w:color="auto" w:fill="CCEEFF"/>
          </w:tcPr>
          <w:p>
            <w:pPr>
              <w:spacing w:after="0"/>
              <w:rPr>
                <w:sz w:val="20"/>
                <w:szCs w:val="20"/>
                <w:color w:val="auto"/>
              </w:rPr>
            </w:pPr>
            <w:r>
              <w:rPr>
                <w:rFonts w:ascii="Arial" w:cs="Arial" w:eastAsia="Arial" w:hAnsi="Arial"/>
                <w:sz w:val="17"/>
                <w:szCs w:val="17"/>
                <w:color w:val="auto"/>
              </w:rPr>
              <w:t>Commercial</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$1,062,767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836,970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7"/>
              </w:rPr>
              <w:t>1,899,737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8"/>
              </w:rPr>
              <w:t>42,782,408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8"/>
              </w:rPr>
              <w:t>44,682,145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(187,129)</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(42,566)</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8"/>
              </w:rPr>
              <w:t>44,452,450</w:t>
            </w:r>
          </w:p>
        </w:tc>
      </w:tr>
      <w:tr>
        <w:trPr>
          <w:trHeight w:val="207"/>
        </w:trPr>
        <w:tc>
          <w:tcPr>
            <w:tcW w:w="1780" w:type="dxa"/>
            <w:vAlign w:val="bottom"/>
          </w:tcPr>
          <w:p>
            <w:pPr>
              <w:spacing w:after="0"/>
              <w:rPr>
                <w:sz w:val="20"/>
                <w:szCs w:val="20"/>
                <w:color w:val="auto"/>
              </w:rPr>
            </w:pPr>
            <w:r>
              <w:rPr>
                <w:rFonts w:ascii="Arial" w:cs="Arial" w:eastAsia="Arial" w:hAnsi="Arial"/>
                <w:sz w:val="17"/>
                <w:szCs w:val="17"/>
                <w:color w:val="auto"/>
              </w:rPr>
              <w:t>Residential</w:t>
            </w:r>
          </w:p>
        </w:tc>
        <w:tc>
          <w:tcPr>
            <w:tcW w:w="780" w:type="dxa"/>
            <w:vAlign w:val="bottom"/>
          </w:tcPr>
          <w:p>
            <w:pPr>
              <w:jc w:val="right"/>
              <w:spacing w:after="0"/>
              <w:rPr>
                <w:sz w:val="20"/>
                <w:szCs w:val="20"/>
                <w:color w:val="auto"/>
              </w:rPr>
            </w:pPr>
            <w:r>
              <w:rPr>
                <w:rFonts w:ascii="Arial" w:cs="Arial" w:eastAsia="Arial" w:hAnsi="Arial"/>
                <w:sz w:val="17"/>
                <w:szCs w:val="17"/>
                <w:color w:val="auto"/>
              </w:rPr>
              <w:t>6,994,194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652,173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2,080,525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w w:val="92"/>
              </w:rPr>
              <w:t>2,394,801</w:t>
            </w:r>
          </w:p>
        </w:tc>
        <w:tc>
          <w:tcPr>
            <w:tcW w:w="1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w w:val="86"/>
              </w:rPr>
              <w:t>12,121,693</w:t>
            </w:r>
          </w:p>
        </w:tc>
        <w:tc>
          <w:tcPr>
            <w:tcW w:w="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75,838,443</w:t>
            </w:r>
          </w:p>
        </w:tc>
        <w:tc>
          <w:tcPr>
            <w:tcW w:w="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87,960,136</w:t>
            </w: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w w:val="89"/>
              </w:rPr>
              <w:t>(1,341,315)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(885,680)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w w:val="98"/>
              </w:rPr>
              <w:t>85,733,141</w:t>
            </w:r>
          </w:p>
        </w:tc>
      </w:tr>
      <w:tr>
        <w:trPr>
          <w:trHeight w:val="213"/>
        </w:trPr>
        <w:tc>
          <w:tcPr>
            <w:tcW w:w="1780" w:type="dxa"/>
            <w:vAlign w:val="bottom"/>
            <w:shd w:val="clear" w:color="auto" w:fill="CCEEFF"/>
          </w:tcPr>
          <w:p>
            <w:pPr>
              <w:spacing w:after="0"/>
              <w:rPr>
                <w:sz w:val="20"/>
                <w:szCs w:val="20"/>
                <w:color w:val="auto"/>
              </w:rPr>
            </w:pPr>
            <w:r>
              <w:rPr>
                <w:rFonts w:ascii="Arial" w:cs="Arial" w:eastAsia="Arial" w:hAnsi="Arial"/>
                <w:sz w:val="17"/>
                <w:szCs w:val="17"/>
                <w:color w:val="auto"/>
                <w:w w:val="95"/>
              </w:rPr>
              <w:t>Residential Construction</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1,122,279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7"/>
              </w:rPr>
              <w:t>1,122,279</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8"/>
              </w:rPr>
              <w:t>62,339,092</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8"/>
              </w:rPr>
              <w:t>63,461,371</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(35,220)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(542,905)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8"/>
              </w:rPr>
              <w:t>62,883,246</w:t>
            </w:r>
          </w:p>
        </w:tc>
      </w:tr>
      <w:tr>
        <w:trPr>
          <w:trHeight w:val="207"/>
        </w:trPr>
        <w:tc>
          <w:tcPr>
            <w:tcW w:w="178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gridSpan w:val="2"/>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47"/>
        </w:trPr>
        <w:tc>
          <w:tcPr>
            <w:tcW w:w="178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8,056,961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1,489,143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3,202,804</w:t>
            </w:r>
          </w:p>
        </w:tc>
        <w:tc>
          <w:tcPr>
            <w:tcW w:w="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2,394,801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6"/>
              </w:rPr>
              <w:t>15,143,709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8"/>
              </w:rPr>
              <w:t>180,959,943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196,103,652</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w w:val="92"/>
              </w:rPr>
              <w:t>(1,563,664) $</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w w:val="98"/>
              </w:rPr>
              <w:t xml:space="preserve">(1,471,151) </w:t>
            </w:r>
            <w:r>
              <w:rPr>
                <w:rFonts w:ascii="Arial" w:cs="Arial" w:eastAsia="Arial" w:hAnsi="Arial"/>
                <w:sz w:val="17"/>
                <w:szCs w:val="17"/>
                <w:u w:val="single" w:color="auto"/>
                <w:color w:val="auto"/>
                <w:w w:val="98"/>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8"/>
              </w:rPr>
              <w:t>193,068,837</w:t>
            </w:r>
          </w:p>
        </w:tc>
      </w:tr>
      <w:tr>
        <w:trPr>
          <w:trHeight w:val="198"/>
        </w:trPr>
        <w:tc>
          <w:tcPr>
            <w:tcW w:w="178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07"/>
        </w:trPr>
        <w:tc>
          <w:tcPr>
            <w:tcW w:w="1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December 31, 2017</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7"/>
        </w:trPr>
        <w:tc>
          <w:tcPr>
            <w:tcW w:w="1780" w:type="dxa"/>
            <w:vAlign w:val="bottom"/>
          </w:tcPr>
          <w:p>
            <w:pPr>
              <w:spacing w:after="0"/>
              <w:rPr>
                <w:sz w:val="20"/>
                <w:szCs w:val="20"/>
                <w:color w:val="auto"/>
              </w:rPr>
            </w:pPr>
            <w:r>
              <w:rPr>
                <w:rFonts w:ascii="Arial" w:cs="Arial" w:eastAsia="Arial" w:hAnsi="Arial"/>
                <w:sz w:val="17"/>
                <w:szCs w:val="17"/>
                <w:color w:val="auto"/>
              </w:rPr>
              <w:t>Commercial</w:t>
            </w:r>
          </w:p>
        </w:tc>
        <w:tc>
          <w:tcPr>
            <w:tcW w:w="780" w:type="dxa"/>
            <w:vAlign w:val="bottom"/>
          </w:tcPr>
          <w:p>
            <w:pPr>
              <w:jc w:val="right"/>
              <w:spacing w:after="0"/>
              <w:rPr>
                <w:sz w:val="20"/>
                <w:szCs w:val="20"/>
                <w:color w:val="auto"/>
              </w:rPr>
            </w:pPr>
            <w:r>
              <w:rPr>
                <w:rFonts w:ascii="Arial" w:cs="Arial" w:eastAsia="Arial" w:hAnsi="Arial"/>
                <w:sz w:val="17"/>
                <w:szCs w:val="17"/>
                <w:color w:val="auto"/>
                <w:w w:val="89"/>
              </w:rPr>
              <w:t>$1,943,495</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w w:val="97"/>
              </w:rPr>
              <w:t>1,943,495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53,011,370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54,954,865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(187,129)</w:t>
            </w:r>
          </w:p>
        </w:tc>
        <w:tc>
          <w:tcPr>
            <w:tcW w:w="1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(67,411)</w:t>
            </w: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w w:val="98"/>
              </w:rPr>
              <w:t>54,700,325</w:t>
            </w:r>
          </w:p>
        </w:tc>
      </w:tr>
      <w:tr>
        <w:trPr>
          <w:trHeight w:val="207"/>
        </w:trPr>
        <w:tc>
          <w:tcPr>
            <w:tcW w:w="1780" w:type="dxa"/>
            <w:vAlign w:val="bottom"/>
            <w:shd w:val="clear" w:color="auto" w:fill="CCEEFF"/>
          </w:tcPr>
          <w:p>
            <w:pPr>
              <w:spacing w:after="0"/>
              <w:rPr>
                <w:sz w:val="20"/>
                <w:szCs w:val="20"/>
                <w:color w:val="auto"/>
              </w:rPr>
            </w:pPr>
            <w:r>
              <w:rPr>
                <w:rFonts w:ascii="Arial" w:cs="Arial" w:eastAsia="Arial" w:hAnsi="Arial"/>
                <w:sz w:val="17"/>
                <w:szCs w:val="17"/>
                <w:color w:val="auto"/>
              </w:rPr>
              <w:t>Residential</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6,613,479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495,347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3,591,333</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1,332,219</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6"/>
              </w:rPr>
              <w:t>12,032,378</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8"/>
              </w:rPr>
              <w:t>90,494,733</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8"/>
              </w:rPr>
              <w:t>102,527,111</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9"/>
              </w:rPr>
              <w:t>(1,546,447)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8"/>
              </w:rPr>
              <w:t>(1,164,130)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8"/>
              </w:rPr>
              <w:t>99,816,534</w:t>
            </w:r>
          </w:p>
        </w:tc>
      </w:tr>
      <w:tr>
        <w:trPr>
          <w:trHeight w:val="213"/>
        </w:trPr>
        <w:tc>
          <w:tcPr>
            <w:tcW w:w="1780" w:type="dxa"/>
            <w:vAlign w:val="bottom"/>
          </w:tcPr>
          <w:p>
            <w:pPr>
              <w:spacing w:after="0"/>
              <w:rPr>
                <w:sz w:val="20"/>
                <w:szCs w:val="20"/>
                <w:color w:val="auto"/>
              </w:rPr>
            </w:pPr>
            <w:r>
              <w:rPr>
                <w:rFonts w:ascii="Arial" w:cs="Arial" w:eastAsia="Arial" w:hAnsi="Arial"/>
                <w:sz w:val="17"/>
                <w:szCs w:val="17"/>
                <w:color w:val="auto"/>
                <w:w w:val="95"/>
              </w:rPr>
              <w:t>Residential Construction</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461,834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461,834</w:t>
            </w: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49,695,699</w:t>
            </w: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50,157,533</w:t>
            </w: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(35,220)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(428,287)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w w:val="98"/>
              </w:rPr>
              <w:t>49,694,026</w:t>
            </w:r>
          </w:p>
        </w:tc>
      </w:tr>
      <w:tr>
        <w:trPr>
          <w:trHeight w:val="207"/>
        </w:trPr>
        <w:tc>
          <w:tcPr>
            <w:tcW w:w="17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7"/>
        </w:trPr>
        <w:tc>
          <w:tcPr>
            <w:tcW w:w="1780" w:type="dxa"/>
            <w:vAlign w:val="bottom"/>
          </w:tcPr>
          <w:p>
            <w:pPr>
              <w:spacing w:after="0"/>
              <w:rPr>
                <w:sz w:val="20"/>
                <w:szCs w:val="20"/>
                <w:color w:val="auto"/>
              </w:rPr>
            </w:pPr>
            <w:r>
              <w:rPr>
                <w:rFonts w:ascii="Arial" w:cs="Arial" w:eastAsia="Arial" w:hAnsi="Arial"/>
                <w:sz w:val="17"/>
                <w:szCs w:val="17"/>
                <w:color w:val="auto"/>
              </w:rPr>
              <w:t>Total</w:t>
            </w:r>
          </w:p>
        </w:tc>
        <w:tc>
          <w:tcPr>
            <w:tcW w:w="780" w:type="dxa"/>
            <w:vAlign w:val="bottom"/>
          </w:tcPr>
          <w:p>
            <w:pPr>
              <w:jc w:val="right"/>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8,556,974</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495,347</w:t>
            </w:r>
          </w:p>
        </w:tc>
        <w:tc>
          <w:tcPr>
            <w:tcW w:w="1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4,053,167</w:t>
            </w:r>
          </w:p>
        </w:tc>
        <w:tc>
          <w:tcPr>
            <w:tcW w:w="60" w:type="dxa"/>
            <w:vAlign w:val="bottom"/>
          </w:tcPr>
          <w:p>
            <w:pPr>
              <w:spacing w:after="0"/>
              <w:rPr>
                <w:sz w:val="17"/>
                <w:szCs w:val="17"/>
                <w:color w:val="auto"/>
              </w:rPr>
            </w:pPr>
          </w:p>
        </w:tc>
        <w:tc>
          <w:tcPr>
            <w:tcW w:w="1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w w:val="92"/>
              </w:rPr>
              <w:t>1,332,219</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w w:val="86"/>
              </w:rPr>
              <w:t>14,437,707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w w:val="88"/>
              </w:rPr>
              <w:t>193,201,802</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207,639,509</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w w:val="89"/>
              </w:rPr>
              <w:t>(1,768,796)</w:t>
            </w:r>
          </w:p>
        </w:tc>
        <w:tc>
          <w:tcPr>
            <w:tcW w:w="1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40" w:type="dxa"/>
            <w:vAlign w:val="bottom"/>
            <w:gridSpan w:val="4"/>
          </w:tcPr>
          <w:p>
            <w:pPr>
              <w:jc w:val="right"/>
              <w:ind w:right="20"/>
              <w:spacing w:after="0"/>
              <w:rPr>
                <w:sz w:val="20"/>
                <w:szCs w:val="20"/>
                <w:color w:val="auto"/>
              </w:rPr>
            </w:pPr>
            <w:r>
              <w:rPr>
                <w:rFonts w:ascii="Arial" w:cs="Arial" w:eastAsia="Arial" w:hAnsi="Arial"/>
                <w:sz w:val="17"/>
                <w:szCs w:val="17"/>
                <w:color w:val="auto"/>
                <w:w w:val="98"/>
              </w:rPr>
              <w:t xml:space="preserve">(1,659,828) </w:t>
            </w:r>
            <w:r>
              <w:rPr>
                <w:rFonts w:ascii="Arial" w:cs="Arial" w:eastAsia="Arial" w:hAnsi="Arial"/>
                <w:sz w:val="17"/>
                <w:szCs w:val="17"/>
                <w:u w:val="single" w:color="auto"/>
                <w:color w:val="auto"/>
                <w:w w:val="98"/>
              </w:rPr>
              <w:t>$</w:t>
            </w: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w w:val="88"/>
              </w:rPr>
              <w:t>204,210,885</w:t>
            </w:r>
          </w:p>
        </w:tc>
      </w:tr>
      <w:tr>
        <w:trPr>
          <w:trHeight w:val="20"/>
        </w:trPr>
        <w:tc>
          <w:tcPr>
            <w:tcW w:w="1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(1) Interest income is not recognized on loans past due greater than 90 days or in foreclosure.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23" w:name="page24"/>
    <w:bookmarkEnd w:id="23"/>
    <w:p>
      <w:pPr>
        <w:jc w:val="center"/>
        <w:spacing w:after="0"/>
        <w:rPr>
          <w:sz w:val="20"/>
          <w:szCs w:val="20"/>
          <w:color w:val="auto"/>
        </w:rPr>
      </w:pPr>
      <w:r>
        <w:rPr>
          <w:rFonts w:ascii="Arial" w:cs="Arial" w:eastAsia="Arial" w:hAnsi="Arial"/>
          <w:sz w:val="21"/>
          <w:szCs w:val="21"/>
          <w:color w:val="auto"/>
        </w:rPr>
        <w:t>SECURITY NATIONAL FINANCIAL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June 30, 2018 (Unaudited)</w:t>
      </w:r>
    </w:p>
    <w:p>
      <w:pPr>
        <w:spacing w:after="0" w:line="257" w:lineRule="exact"/>
        <w:rPr>
          <w:sz w:val="20"/>
          <w:szCs w:val="20"/>
          <w:color w:val="auto"/>
        </w:rPr>
      </w:pPr>
    </w:p>
    <w:p>
      <w:pPr>
        <w:ind w:left="620" w:hanging="61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Impaired Mortgage Loans Held for Investment</w:t>
      </w: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Impaired mortgage loans held for investment include loans with a related specific valuation allowance or loans whose carrying amount has been reduced to the expected collectible amount because the impairment has been considered other than temporary. The recorded investment in and unpaid principal balance of impaired loans along with the related loan specific allowance for losses, if any, for each reporting period and the average recorded investment and interest income recognized during the time the loans were impaired were as follows:</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gridSpan w:val="4"/>
          </w:tcPr>
          <w:p>
            <w:pPr>
              <w:jc w:val="right"/>
              <w:ind w:right="594"/>
              <w:spacing w:after="0"/>
              <w:rPr>
                <w:sz w:val="20"/>
                <w:szCs w:val="20"/>
                <w:color w:val="auto"/>
              </w:rPr>
            </w:pPr>
            <w:r>
              <w:rPr>
                <w:rFonts w:ascii="Arial" w:cs="Arial" w:eastAsia="Arial" w:hAnsi="Arial"/>
                <w:sz w:val="17"/>
                <w:szCs w:val="17"/>
                <w:b w:val="1"/>
                <w:bCs w:val="1"/>
                <w:color w:val="auto"/>
                <w:w w:val="98"/>
              </w:rPr>
              <w:t>Impaired Loans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7"/>
                <w:szCs w:val="17"/>
                <w:b w:val="1"/>
                <w:bCs w:val="1"/>
                <w:color w:val="auto"/>
                <w:w w:val="93"/>
              </w:rPr>
              <w:t>Unpaid</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right="14"/>
              <w:spacing w:after="0"/>
              <w:rPr>
                <w:sz w:val="20"/>
                <w:szCs w:val="20"/>
                <w:color w:val="auto"/>
              </w:rPr>
            </w:pPr>
            <w:r>
              <w:rPr>
                <w:rFonts w:ascii="Arial" w:cs="Arial" w:eastAsia="Arial" w:hAnsi="Arial"/>
                <w:sz w:val="17"/>
                <w:szCs w:val="17"/>
                <w:b w:val="1"/>
                <w:bCs w:val="1"/>
                <w:color w:val="auto"/>
                <w:w w:val="89"/>
              </w:rPr>
              <w:t>Average</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94"/>
              <w:spacing w:after="0"/>
              <w:rPr>
                <w:sz w:val="20"/>
                <w:szCs w:val="20"/>
                <w:color w:val="auto"/>
              </w:rPr>
            </w:pPr>
            <w:r>
              <w:rPr>
                <w:rFonts w:ascii="Arial" w:cs="Arial" w:eastAsia="Arial" w:hAnsi="Arial"/>
                <w:sz w:val="17"/>
                <w:szCs w:val="17"/>
                <w:b w:val="1"/>
                <w:bCs w:val="1"/>
                <w:color w:val="auto"/>
                <w:w w:val="94"/>
              </w:rPr>
              <w:t>Interest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Arial" w:cs="Arial" w:eastAsia="Arial" w:hAnsi="Arial"/>
                <w:sz w:val="17"/>
                <w:szCs w:val="17"/>
                <w:b w:val="1"/>
                <w:bCs w:val="1"/>
                <w:color w:val="auto"/>
                <w:w w:val="89"/>
              </w:rPr>
              <w:t>Recorded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ind w:right="14"/>
              <w:spacing w:after="0"/>
              <w:rPr>
                <w:sz w:val="20"/>
                <w:szCs w:val="20"/>
                <w:color w:val="auto"/>
              </w:rPr>
            </w:pPr>
            <w:r>
              <w:rPr>
                <w:rFonts w:ascii="Arial" w:cs="Arial" w:eastAsia="Arial" w:hAnsi="Arial"/>
                <w:sz w:val="17"/>
                <w:szCs w:val="17"/>
                <w:b w:val="1"/>
                <w:bCs w:val="1"/>
                <w:color w:val="auto"/>
                <w:w w:val="94"/>
              </w:rPr>
              <w:t>Principal</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Arial" w:cs="Arial" w:eastAsia="Arial" w:hAnsi="Arial"/>
                <w:sz w:val="17"/>
                <w:szCs w:val="17"/>
                <w:b w:val="1"/>
                <w:bCs w:val="1"/>
                <w:color w:val="auto"/>
              </w:rPr>
              <w:t>Related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ind w:right="34"/>
              <w:spacing w:after="0"/>
              <w:rPr>
                <w:sz w:val="20"/>
                <w:szCs w:val="20"/>
                <w:color w:val="auto"/>
              </w:rPr>
            </w:pPr>
            <w:r>
              <w:rPr>
                <w:rFonts w:ascii="Arial" w:cs="Arial" w:eastAsia="Arial" w:hAnsi="Arial"/>
                <w:sz w:val="17"/>
                <w:szCs w:val="17"/>
                <w:b w:val="1"/>
                <w:bCs w:val="1"/>
                <w:color w:val="auto"/>
                <w:w w:val="89"/>
              </w:rPr>
              <w:t>Recorded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74"/>
              <w:spacing w:after="0"/>
              <w:rPr>
                <w:sz w:val="20"/>
                <w:szCs w:val="20"/>
                <w:color w:val="auto"/>
              </w:rPr>
            </w:pPr>
            <w:r>
              <w:rPr>
                <w:rFonts w:ascii="Arial" w:cs="Arial" w:eastAsia="Arial" w:hAnsi="Arial"/>
                <w:sz w:val="17"/>
                <w:szCs w:val="17"/>
                <w:b w:val="1"/>
                <w:bCs w:val="1"/>
                <w:color w:val="auto"/>
              </w:rPr>
              <w:t>Income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3"/>
              </w:rPr>
              <w:t>Investment</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Balance</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7"/>
              </w:rPr>
              <w:t>Allowance</w:t>
            </w:r>
          </w:p>
        </w:tc>
        <w:tc>
          <w:tcPr>
            <w:tcW w:w="180" w:type="dxa"/>
            <w:vAlign w:val="bottom"/>
          </w:tcPr>
          <w:p>
            <w:pPr>
              <w:spacing w:after="0"/>
              <w:rPr>
                <w:sz w:val="20"/>
                <w:szCs w:val="20"/>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1"/>
              </w:rPr>
              <w:t>Investment</w:t>
            </w:r>
          </w:p>
        </w:tc>
        <w:tc>
          <w:tcPr>
            <w:tcW w:w="18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0"/>
              </w:rPr>
              <w:t>Recognized</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3140" w:type="dxa"/>
            <w:vAlign w:val="bottom"/>
            <w:gridSpan w:val="4"/>
          </w:tcPr>
          <w:p>
            <w:pPr>
              <w:spacing w:after="0" w:line="168" w:lineRule="exact"/>
              <w:rPr>
                <w:sz w:val="20"/>
                <w:szCs w:val="20"/>
                <w:color w:val="auto"/>
              </w:rPr>
            </w:pPr>
            <w:r>
              <w:rPr>
                <w:rFonts w:ascii="Arial" w:cs="Arial" w:eastAsia="Arial" w:hAnsi="Arial"/>
                <w:sz w:val="17"/>
                <w:szCs w:val="17"/>
                <w:b w:val="1"/>
                <w:bCs w:val="1"/>
                <w:color w:val="auto"/>
              </w:rPr>
              <w:t>June 30, 2018</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140" w:type="dxa"/>
            <w:vAlign w:val="bottom"/>
            <w:gridSpan w:val="4"/>
          </w:tcPr>
          <w:p>
            <w:pPr>
              <w:spacing w:after="0"/>
              <w:rPr>
                <w:sz w:val="20"/>
                <w:szCs w:val="20"/>
                <w:color w:val="auto"/>
              </w:rPr>
            </w:pPr>
            <w:r>
              <w:rPr>
                <w:rFonts w:ascii="Arial" w:cs="Arial" w:eastAsia="Arial" w:hAnsi="Arial"/>
                <w:sz w:val="17"/>
                <w:szCs w:val="17"/>
                <w:color w:val="auto"/>
              </w:rPr>
              <w:t>With no related allowance recorded:</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Commercial</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20" w:type="dxa"/>
            <w:vAlign w:val="bottom"/>
            <w:gridSpan w:val="3"/>
          </w:tcPr>
          <w:p>
            <w:pPr>
              <w:ind w:left="120"/>
              <w:spacing w:after="0"/>
              <w:rPr>
                <w:sz w:val="20"/>
                <w:szCs w:val="20"/>
                <w:color w:val="auto"/>
              </w:rPr>
            </w:pPr>
            <w:r>
              <w:rPr>
                <w:rFonts w:ascii="Arial" w:cs="Arial" w:eastAsia="Arial" w:hAnsi="Arial"/>
                <w:sz w:val="17"/>
                <w:szCs w:val="17"/>
                <w:color w:val="auto"/>
              </w:rPr>
              <w:t>Residential</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2,536,912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2,536,912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3,212,156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Residential construction</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1,122,279</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1,122,279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561,139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With an allowance recorded:</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20" w:type="dxa"/>
            <w:vAlign w:val="bottom"/>
            <w:gridSpan w:val="3"/>
          </w:tcPr>
          <w:p>
            <w:pPr>
              <w:ind w:left="120"/>
              <w:spacing w:after="0"/>
              <w:rPr>
                <w:sz w:val="20"/>
                <w:szCs w:val="20"/>
                <w:color w:val="auto"/>
              </w:rPr>
            </w:pPr>
            <w:r>
              <w:rPr>
                <w:rFonts w:ascii="Arial" w:cs="Arial" w:eastAsia="Arial" w:hAnsi="Arial"/>
                <w:sz w:val="17"/>
                <w:szCs w:val="17"/>
                <w:color w:val="auto"/>
              </w:rPr>
              <w:t>Commercial</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Residential</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1,938,414</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1,938,414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240,152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1,706,989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20" w:type="dxa"/>
            <w:vAlign w:val="bottom"/>
            <w:gridSpan w:val="3"/>
          </w:tcPr>
          <w:p>
            <w:pPr>
              <w:ind w:left="120"/>
              <w:spacing w:after="0"/>
              <w:rPr>
                <w:sz w:val="20"/>
                <w:szCs w:val="20"/>
                <w:color w:val="auto"/>
              </w:rPr>
            </w:pPr>
            <w:r>
              <w:rPr>
                <w:rFonts w:ascii="Arial" w:cs="Arial" w:eastAsia="Arial" w:hAnsi="Arial"/>
                <w:sz w:val="17"/>
                <w:szCs w:val="17"/>
                <w:color w:val="auto"/>
              </w:rPr>
              <w:t>Residential construction</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3120" w:type="dxa"/>
            <w:vAlign w:val="bottom"/>
            <w:gridSpan w:val="3"/>
          </w:tcPr>
          <w:p>
            <w:pPr>
              <w:spacing w:after="0"/>
              <w:rPr>
                <w:sz w:val="20"/>
                <w:szCs w:val="20"/>
                <w:color w:val="auto"/>
              </w:rPr>
            </w:pPr>
            <w:r>
              <w:rPr>
                <w:rFonts w:ascii="Arial" w:cs="Arial" w:eastAsia="Arial" w:hAnsi="Arial"/>
                <w:sz w:val="17"/>
                <w:szCs w:val="17"/>
                <w:color w:val="auto"/>
              </w:rPr>
              <w:t>Total:</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Commercial</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20" w:type="dxa"/>
            <w:vAlign w:val="bottom"/>
            <w:gridSpan w:val="3"/>
          </w:tcPr>
          <w:p>
            <w:pPr>
              <w:ind w:left="120"/>
              <w:spacing w:after="0"/>
              <w:rPr>
                <w:sz w:val="20"/>
                <w:szCs w:val="20"/>
                <w:color w:val="auto"/>
              </w:rPr>
            </w:pPr>
            <w:r>
              <w:rPr>
                <w:rFonts w:ascii="Arial" w:cs="Arial" w:eastAsia="Arial" w:hAnsi="Arial"/>
                <w:sz w:val="17"/>
                <w:szCs w:val="17"/>
                <w:color w:val="auto"/>
              </w:rPr>
              <w:t>Residential</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4,475,326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4,475,326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240,152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4,919,145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Residential construction</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1,122,279</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1,122,279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561,139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gridSpan w:val="2"/>
            <w:shd w:val="clear" w:color="auto" w:fill="CCEEFF"/>
          </w:tcPr>
          <w:p>
            <w:pPr>
              <w:spacing w:after="0" w:line="168" w:lineRule="exact"/>
              <w:rPr>
                <w:sz w:val="20"/>
                <w:szCs w:val="20"/>
                <w:color w:val="auto"/>
              </w:rPr>
            </w:pPr>
            <w:r>
              <w:rPr>
                <w:rFonts w:ascii="Arial" w:cs="Arial" w:eastAsia="Arial" w:hAnsi="Arial"/>
                <w:sz w:val="17"/>
                <w:szCs w:val="17"/>
                <w:b w:val="1"/>
                <w:bCs w:val="1"/>
                <w:color w:val="auto"/>
                <w:w w:val="88"/>
                <w:shd w:val="clear" w:color="auto" w:fill="CCEEFF"/>
              </w:rPr>
              <w:t>December 31, 2017</w:t>
            </w:r>
          </w:p>
        </w:tc>
        <w:tc>
          <w:tcPr>
            <w:tcW w:w="17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20" w:type="dxa"/>
            <w:vAlign w:val="bottom"/>
            <w:tcBorders>
              <w:top w:val="single" w:sz="8" w:color="CCEEFF"/>
            </w:tcBorders>
            <w:gridSpan w:val="3"/>
          </w:tcPr>
          <w:p>
            <w:pPr>
              <w:spacing w:after="0"/>
              <w:rPr>
                <w:sz w:val="20"/>
                <w:szCs w:val="20"/>
                <w:color w:val="auto"/>
              </w:rPr>
            </w:pPr>
            <w:r>
              <w:rPr>
                <w:rFonts w:ascii="Arial" w:cs="Arial" w:eastAsia="Arial" w:hAnsi="Arial"/>
                <w:sz w:val="17"/>
                <w:szCs w:val="17"/>
                <w:color w:val="auto"/>
              </w:rPr>
              <w:t>With no related allowance recorded:</w:t>
            </w:r>
          </w:p>
        </w:tc>
        <w:tc>
          <w:tcPr>
            <w:tcW w:w="6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Commercial</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365,220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20" w:type="dxa"/>
            <w:vAlign w:val="bottom"/>
            <w:gridSpan w:val="3"/>
          </w:tcPr>
          <w:p>
            <w:pPr>
              <w:ind w:left="120"/>
              <w:spacing w:after="0"/>
              <w:rPr>
                <w:sz w:val="20"/>
                <w:szCs w:val="20"/>
                <w:color w:val="auto"/>
              </w:rPr>
            </w:pPr>
            <w:r>
              <w:rPr>
                <w:rFonts w:ascii="Arial" w:cs="Arial" w:eastAsia="Arial" w:hAnsi="Arial"/>
                <w:sz w:val="17"/>
                <w:szCs w:val="17"/>
                <w:color w:val="auto"/>
              </w:rPr>
              <w:t>Residential</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3,322,552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3,322,552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3,290,094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Residential construction</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461,834</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461,834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277,232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With an allowance recorded:</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20" w:type="dxa"/>
            <w:vAlign w:val="bottom"/>
            <w:gridSpan w:val="3"/>
          </w:tcPr>
          <w:p>
            <w:pPr>
              <w:ind w:left="120"/>
              <w:spacing w:after="0"/>
              <w:rPr>
                <w:sz w:val="20"/>
                <w:szCs w:val="20"/>
                <w:color w:val="auto"/>
              </w:rPr>
            </w:pPr>
            <w:r>
              <w:rPr>
                <w:rFonts w:ascii="Arial" w:cs="Arial" w:eastAsia="Arial" w:hAnsi="Arial"/>
                <w:sz w:val="17"/>
                <w:szCs w:val="17"/>
                <w:color w:val="auto"/>
              </w:rPr>
              <w:t>Commercial</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Residential</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1,601,000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1,601,000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237,560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1,350,115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20" w:type="dxa"/>
            <w:vAlign w:val="bottom"/>
            <w:gridSpan w:val="3"/>
          </w:tcPr>
          <w:p>
            <w:pPr>
              <w:ind w:left="120"/>
              <w:spacing w:after="0"/>
              <w:rPr>
                <w:sz w:val="20"/>
                <w:szCs w:val="20"/>
                <w:color w:val="auto"/>
              </w:rPr>
            </w:pPr>
            <w:r>
              <w:rPr>
                <w:rFonts w:ascii="Arial" w:cs="Arial" w:eastAsia="Arial" w:hAnsi="Arial"/>
                <w:sz w:val="17"/>
                <w:szCs w:val="17"/>
                <w:color w:val="auto"/>
              </w:rPr>
              <w:t>Residential construction</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3120" w:type="dxa"/>
            <w:vAlign w:val="bottom"/>
            <w:gridSpan w:val="3"/>
          </w:tcPr>
          <w:p>
            <w:pPr>
              <w:spacing w:after="0"/>
              <w:rPr>
                <w:sz w:val="20"/>
                <w:szCs w:val="20"/>
                <w:color w:val="auto"/>
              </w:rPr>
            </w:pPr>
            <w:r>
              <w:rPr>
                <w:rFonts w:ascii="Arial" w:cs="Arial" w:eastAsia="Arial" w:hAnsi="Arial"/>
                <w:sz w:val="17"/>
                <w:szCs w:val="17"/>
                <w:color w:val="auto"/>
              </w:rPr>
              <w:t>Total:</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Commercial</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365,220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20" w:type="dxa"/>
            <w:vAlign w:val="bottom"/>
            <w:gridSpan w:val="3"/>
          </w:tcPr>
          <w:p>
            <w:pPr>
              <w:ind w:left="120"/>
              <w:spacing w:after="0"/>
              <w:rPr>
                <w:sz w:val="20"/>
                <w:szCs w:val="20"/>
                <w:color w:val="auto"/>
              </w:rPr>
            </w:pPr>
            <w:r>
              <w:rPr>
                <w:rFonts w:ascii="Arial" w:cs="Arial" w:eastAsia="Arial" w:hAnsi="Arial"/>
                <w:sz w:val="17"/>
                <w:szCs w:val="17"/>
                <w:color w:val="auto"/>
              </w:rPr>
              <w:t>Residential</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4,923,552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4,923,552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237,560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4,640,209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Residential construction</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461,834</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461,834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277,232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Credit Risk Profile Based on Performance Status</w:t>
      </w:r>
    </w:p>
    <w:p>
      <w:pPr>
        <w:spacing w:after="0" w:line="2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Company's mortgage loan held for investment portfolio is monitored based on performance of the loans. Monitoring a mortgage loan increases when the loan is delinquent or earlier if there is an indication of impairment. The Company defines non-performing mortgage loans as loans 90 days or greater delinquent or on non-accrual status.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21"/>
          <w:szCs w:val="21"/>
          <w:color w:val="auto"/>
        </w:rPr>
        <w:t>SECURITY NATIONAL FINANCIAL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June 30, 2018 (Unaudited)</w:t>
      </w:r>
    </w:p>
    <w:p>
      <w:pPr>
        <w:spacing w:after="0" w:line="257" w:lineRule="exact"/>
        <w:rPr>
          <w:sz w:val="20"/>
          <w:szCs w:val="20"/>
          <w:color w:val="auto"/>
        </w:rPr>
      </w:pPr>
    </w:p>
    <w:p>
      <w:pPr>
        <w:ind w:left="620" w:hanging="61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The Company's performing and non-performing mortgage loans held for investment were as follows:</w:t>
      </w:r>
    </w:p>
    <w:p>
      <w:pPr>
        <w:spacing w:after="0" w:line="264"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Mortgage Loans Held for Investment Credit Exposure</w:t>
      </w:r>
    </w:p>
    <w:p>
      <w:pPr>
        <w:spacing w:after="0" w:line="30"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Credit Risk Profile Based on Payment Activity</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7"/>
                <w:szCs w:val="17"/>
                <w:b w:val="1"/>
                <w:bCs w:val="1"/>
                <w:color w:val="auto"/>
              </w:rPr>
              <w:t>Commercial</w:t>
            </w:r>
          </w:p>
        </w:tc>
        <w:tc>
          <w:tcPr>
            <w:tcW w:w="120" w:type="dxa"/>
            <w:vAlign w:val="bottom"/>
          </w:tcPr>
          <w:p>
            <w:pPr>
              <w:spacing w:after="0"/>
              <w:rPr>
                <w:sz w:val="20"/>
                <w:szCs w:val="20"/>
                <w:color w:val="auto"/>
              </w:rPr>
            </w:pPr>
          </w:p>
        </w:tc>
        <w:tc>
          <w:tcPr>
            <w:tcW w:w="194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7"/>
                <w:szCs w:val="17"/>
                <w:b w:val="1"/>
                <w:bCs w:val="1"/>
                <w:color w:val="auto"/>
              </w:rPr>
              <w:t>Residential</w:t>
            </w:r>
          </w:p>
        </w:tc>
        <w:tc>
          <w:tcPr>
            <w:tcW w:w="140" w:type="dxa"/>
            <w:vAlign w:val="bottom"/>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0"/>
              </w:rPr>
              <w:t>Residential Construction</w:t>
            </w:r>
          </w:p>
        </w:tc>
        <w:tc>
          <w:tcPr>
            <w:tcW w:w="120" w:type="dxa"/>
            <w:vAlign w:val="bottom"/>
          </w:tcPr>
          <w:p>
            <w:pPr>
              <w:spacing w:after="0"/>
              <w:rPr>
                <w:sz w:val="20"/>
                <w:szCs w:val="20"/>
                <w:color w:val="auto"/>
              </w:rPr>
            </w:pPr>
          </w:p>
        </w:tc>
        <w:tc>
          <w:tcPr>
            <w:tcW w:w="2040" w:type="dxa"/>
            <w:vAlign w:val="bottom"/>
            <w:tcBorders>
              <w:bottom w:val="single" w:sz="8" w:color="auto"/>
            </w:tcBorders>
            <w:gridSpan w:val="3"/>
          </w:tcPr>
          <w:p>
            <w:pPr>
              <w:jc w:val="right"/>
              <w:ind w:right="754"/>
              <w:spacing w:after="0"/>
              <w:rPr>
                <w:sz w:val="20"/>
                <w:szCs w:val="20"/>
                <w:color w:val="auto"/>
              </w:rPr>
            </w:pPr>
            <w:r>
              <w:rPr>
                <w:rFonts w:ascii="Arial" w:cs="Arial" w:eastAsia="Arial" w:hAnsi="Arial"/>
                <w:sz w:val="17"/>
                <w:szCs w:val="17"/>
                <w:b w:val="1"/>
                <w:bCs w:val="1"/>
                <w:color w:val="auto"/>
              </w:rPr>
              <w:t>Total</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jc w:val="right"/>
              <w:ind w:right="174"/>
              <w:spacing w:after="0" w:line="189" w:lineRule="exact"/>
              <w:rPr>
                <w:sz w:val="20"/>
                <w:szCs w:val="20"/>
                <w:color w:val="auto"/>
              </w:rPr>
            </w:pPr>
            <w:r>
              <w:rPr>
                <w:rFonts w:ascii="Arial" w:cs="Arial" w:eastAsia="Arial" w:hAnsi="Arial"/>
                <w:sz w:val="17"/>
                <w:szCs w:val="17"/>
                <w:b w:val="1"/>
                <w:bCs w:val="1"/>
                <w:color w:val="auto"/>
              </w:rPr>
              <w:t>June</w:t>
            </w:r>
          </w:p>
        </w:tc>
        <w:tc>
          <w:tcPr>
            <w:tcW w:w="1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w w:val="94"/>
              </w:rPr>
              <w:t>December</w:t>
            </w:r>
          </w:p>
        </w:tc>
        <w:tc>
          <w:tcPr>
            <w:tcW w:w="120" w:type="dxa"/>
            <w:vAlign w:val="bottom"/>
          </w:tcPr>
          <w:p>
            <w:pPr>
              <w:spacing w:after="0"/>
              <w:rPr>
                <w:sz w:val="16"/>
                <w:szCs w:val="16"/>
                <w:color w:val="auto"/>
              </w:rPr>
            </w:pPr>
          </w:p>
        </w:tc>
        <w:tc>
          <w:tcPr>
            <w:tcW w:w="880" w:type="dxa"/>
            <w:vAlign w:val="bottom"/>
          </w:tcPr>
          <w:p>
            <w:pPr>
              <w:jc w:val="right"/>
              <w:ind w:right="194"/>
              <w:spacing w:after="0" w:line="189" w:lineRule="exact"/>
              <w:rPr>
                <w:sz w:val="20"/>
                <w:szCs w:val="20"/>
                <w:color w:val="auto"/>
              </w:rPr>
            </w:pPr>
            <w:r>
              <w:rPr>
                <w:rFonts w:ascii="Arial" w:cs="Arial" w:eastAsia="Arial" w:hAnsi="Arial"/>
                <w:sz w:val="17"/>
                <w:szCs w:val="17"/>
                <w:b w:val="1"/>
                <w:bCs w:val="1"/>
                <w:color w:val="auto"/>
              </w:rPr>
              <w:t>June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ind w:right="14"/>
              <w:spacing w:after="0" w:line="189" w:lineRule="exact"/>
              <w:rPr>
                <w:sz w:val="20"/>
                <w:szCs w:val="20"/>
                <w:color w:val="auto"/>
              </w:rPr>
            </w:pPr>
            <w:r>
              <w:rPr>
                <w:rFonts w:ascii="Arial" w:cs="Arial" w:eastAsia="Arial" w:hAnsi="Arial"/>
                <w:sz w:val="17"/>
                <w:szCs w:val="17"/>
                <w:b w:val="1"/>
                <w:bCs w:val="1"/>
                <w:color w:val="auto"/>
                <w:w w:val="89"/>
              </w:rPr>
              <w:t>December</w:t>
            </w:r>
          </w:p>
        </w:tc>
        <w:tc>
          <w:tcPr>
            <w:tcW w:w="140" w:type="dxa"/>
            <w:vAlign w:val="bottom"/>
          </w:tcPr>
          <w:p>
            <w:pPr>
              <w:spacing w:after="0"/>
              <w:rPr>
                <w:sz w:val="16"/>
                <w:szCs w:val="16"/>
                <w:color w:val="auto"/>
              </w:rPr>
            </w:pPr>
          </w:p>
        </w:tc>
        <w:tc>
          <w:tcPr>
            <w:tcW w:w="860" w:type="dxa"/>
            <w:vAlign w:val="bottom"/>
          </w:tcPr>
          <w:p>
            <w:pPr>
              <w:jc w:val="right"/>
              <w:ind w:right="174"/>
              <w:spacing w:after="0" w:line="189" w:lineRule="exact"/>
              <w:rPr>
                <w:sz w:val="20"/>
                <w:szCs w:val="20"/>
                <w:color w:val="auto"/>
              </w:rPr>
            </w:pPr>
            <w:r>
              <w:rPr>
                <w:rFonts w:ascii="Arial" w:cs="Arial" w:eastAsia="Arial" w:hAnsi="Arial"/>
                <w:sz w:val="17"/>
                <w:szCs w:val="17"/>
                <w:b w:val="1"/>
                <w:bCs w:val="1"/>
                <w:color w:val="auto"/>
              </w:rPr>
              <w:t>June</w:t>
            </w:r>
          </w:p>
        </w:tc>
        <w:tc>
          <w:tcPr>
            <w:tcW w:w="1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w w:val="94"/>
              </w:rPr>
              <w:t>December</w:t>
            </w:r>
          </w:p>
        </w:tc>
        <w:tc>
          <w:tcPr>
            <w:tcW w:w="120" w:type="dxa"/>
            <w:vAlign w:val="bottom"/>
          </w:tcPr>
          <w:p>
            <w:pPr>
              <w:spacing w:after="0"/>
              <w:rPr>
                <w:sz w:val="16"/>
                <w:szCs w:val="16"/>
                <w:color w:val="auto"/>
              </w:rPr>
            </w:pPr>
          </w:p>
        </w:tc>
        <w:tc>
          <w:tcPr>
            <w:tcW w:w="960" w:type="dxa"/>
            <w:vAlign w:val="bottom"/>
          </w:tcPr>
          <w:p>
            <w:pPr>
              <w:jc w:val="right"/>
              <w:ind w:right="214"/>
              <w:spacing w:after="0" w:line="189" w:lineRule="exact"/>
              <w:rPr>
                <w:sz w:val="20"/>
                <w:szCs w:val="20"/>
                <w:color w:val="auto"/>
              </w:rPr>
            </w:pPr>
            <w:r>
              <w:rPr>
                <w:rFonts w:ascii="Arial" w:cs="Arial" w:eastAsia="Arial" w:hAnsi="Arial"/>
                <w:sz w:val="17"/>
                <w:szCs w:val="17"/>
                <w:b w:val="1"/>
                <w:bCs w:val="1"/>
                <w:color w:val="auto"/>
              </w:rPr>
              <w:t>June</w:t>
            </w:r>
          </w:p>
        </w:tc>
        <w:tc>
          <w:tcPr>
            <w:tcW w:w="120" w:type="dxa"/>
            <w:vAlign w:val="bottom"/>
          </w:tcPr>
          <w:p>
            <w:pPr>
              <w:spacing w:after="0"/>
              <w:rPr>
                <w:sz w:val="16"/>
                <w:szCs w:val="16"/>
                <w:color w:val="auto"/>
              </w:rPr>
            </w:pPr>
          </w:p>
        </w:tc>
        <w:tc>
          <w:tcPr>
            <w:tcW w:w="960" w:type="dxa"/>
            <w:vAlign w:val="bottom"/>
          </w:tcPr>
          <w:p>
            <w:pPr>
              <w:jc w:val="right"/>
              <w:ind w:right="14"/>
              <w:spacing w:after="0" w:line="189" w:lineRule="exact"/>
              <w:rPr>
                <w:sz w:val="20"/>
                <w:szCs w:val="20"/>
                <w:color w:val="auto"/>
              </w:rPr>
            </w:pPr>
            <w:r>
              <w:rPr>
                <w:rFonts w:ascii="Arial" w:cs="Arial" w:eastAsia="Arial" w:hAnsi="Arial"/>
                <w:sz w:val="17"/>
                <w:szCs w:val="17"/>
                <w:b w:val="1"/>
                <w:bCs w:val="1"/>
                <w:color w:val="auto"/>
              </w:rPr>
              <w:t>December</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30, 2018</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31, 2017</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30, 2018</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99"/>
              </w:rPr>
              <w:t>31, 2017</w:t>
            </w:r>
          </w:p>
        </w:tc>
        <w:tc>
          <w:tcPr>
            <w:tcW w:w="140" w:type="dxa"/>
            <w:vAlign w:val="bottom"/>
          </w:tcPr>
          <w:p>
            <w:pPr>
              <w:spacing w:after="0"/>
              <w:rPr>
                <w:sz w:val="20"/>
                <w:szCs w:val="20"/>
                <w:color w:val="auto"/>
              </w:rPr>
            </w:pPr>
          </w:p>
        </w:tc>
        <w:tc>
          <w:tcPr>
            <w:tcW w:w="8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30, 2018</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31, 2017</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30, 2018</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31, 2017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1080" w:type="dxa"/>
            <w:vAlign w:val="bottom"/>
            <w:gridSpan w:val="2"/>
          </w:tcPr>
          <w:p>
            <w:pPr>
              <w:spacing w:after="0"/>
              <w:rPr>
                <w:sz w:val="17"/>
                <w:szCs w:val="17"/>
                <w:color w:val="auto"/>
              </w:rPr>
            </w:pPr>
          </w:p>
        </w:tc>
        <w:tc>
          <w:tcPr>
            <w:tcW w:w="10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7"/>
                <w:szCs w:val="17"/>
                <w:color w:val="auto"/>
              </w:rPr>
              <w:t>Performing</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0"/>
              </w:rPr>
              <w:t>$44,682,145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$54,954,865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$83,484,810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97,603,559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$62,339,092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$49,695,699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$190,506,047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$202,254,123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60" w:type="dxa"/>
            <w:vAlign w:val="bottom"/>
          </w:tcPr>
          <w:p>
            <w:pPr>
              <w:spacing w:after="0" w:line="194" w:lineRule="exact"/>
              <w:rPr>
                <w:sz w:val="20"/>
                <w:szCs w:val="20"/>
                <w:color w:val="auto"/>
              </w:rPr>
            </w:pPr>
            <w:r>
              <w:rPr>
                <w:rFonts w:ascii="Arial" w:cs="Arial" w:eastAsia="Arial" w:hAnsi="Arial"/>
                <w:sz w:val="17"/>
                <w:szCs w:val="17"/>
                <w:color w:val="auto"/>
              </w:rPr>
              <w:t>Non-</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980" w:type="dxa"/>
            <w:vAlign w:val="bottom"/>
            <w:gridSpan w:val="2"/>
          </w:tcPr>
          <w:p>
            <w:pPr>
              <w:spacing w:after="0"/>
              <w:rPr>
                <w:sz w:val="20"/>
                <w:szCs w:val="20"/>
                <w:color w:val="auto"/>
              </w:rPr>
            </w:pPr>
            <w:r>
              <w:rPr>
                <w:rFonts w:ascii="Arial" w:cs="Arial" w:eastAsia="Arial" w:hAnsi="Arial"/>
                <w:sz w:val="17"/>
                <w:szCs w:val="17"/>
                <w:color w:val="auto"/>
              </w:rPr>
              <w:t>performing</w:t>
            </w:r>
          </w:p>
        </w:tc>
        <w:tc>
          <w:tcPr>
            <w:tcW w:w="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4,475,326</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4,923,552</w:t>
            </w:r>
          </w:p>
        </w:tc>
        <w:tc>
          <w:tcPr>
            <w:tcW w:w="1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1,122,279</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461,834</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5,597,605</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5,385,386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200" w:type="dxa"/>
            <w:vAlign w:val="bottom"/>
            <w:gridSpan w:val="2"/>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1080" w:type="dxa"/>
            <w:vAlign w:val="bottom"/>
            <w:gridSpan w:val="2"/>
            <w:shd w:val="clear" w:color="auto" w:fill="CCEEFF"/>
          </w:tcPr>
          <w:p>
            <w:pPr>
              <w:spacing w:after="0"/>
              <w:rPr>
                <w:sz w:val="17"/>
                <w:szCs w:val="17"/>
                <w:color w:val="auto"/>
              </w:rPr>
            </w:pPr>
          </w:p>
        </w:tc>
        <w:tc>
          <w:tcPr>
            <w:tcW w:w="1080" w:type="dxa"/>
            <w:vAlign w:val="bottom"/>
            <w:gridSpan w:val="2"/>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960" w:type="dxa"/>
            <w:vAlign w:val="bottom"/>
          </w:tcPr>
          <w:p>
            <w:pPr>
              <w:spacing w:after="0"/>
              <w:rPr>
                <w:sz w:val="20"/>
                <w:szCs w:val="20"/>
                <w:color w:val="auto"/>
              </w:rPr>
            </w:pPr>
            <w:r>
              <w:rPr>
                <w:rFonts w:ascii="Arial" w:cs="Arial" w:eastAsia="Arial" w:hAnsi="Arial"/>
                <w:sz w:val="17"/>
                <w:szCs w:val="17"/>
                <w:color w:val="auto"/>
              </w:rPr>
              <w:t>Total</w:t>
            </w:r>
          </w:p>
        </w:tc>
        <w:tc>
          <w:tcPr>
            <w:tcW w:w="88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44,682,145</w:t>
            </w:r>
          </w:p>
        </w:tc>
        <w:tc>
          <w:tcPr>
            <w:tcW w:w="10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54,954,865</w:t>
            </w:r>
          </w:p>
        </w:tc>
        <w:tc>
          <w:tcPr>
            <w:tcW w:w="10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87,960,136</w:t>
            </w:r>
          </w:p>
        </w:tc>
        <w:tc>
          <w:tcPr>
            <w:tcW w:w="2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102,527,111</w:t>
            </w:r>
          </w:p>
        </w:tc>
        <w:tc>
          <w:tcPr>
            <w:tcW w:w="10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63,461,371</w:t>
            </w:r>
          </w:p>
        </w:tc>
        <w:tc>
          <w:tcPr>
            <w:tcW w:w="10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50,157,533</w:t>
            </w:r>
          </w:p>
        </w:tc>
        <w:tc>
          <w:tcPr>
            <w:tcW w:w="10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196,103,652</w:t>
            </w:r>
          </w:p>
        </w:tc>
        <w:tc>
          <w:tcPr>
            <w:tcW w:w="10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207,639,509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Non-Accrual Mortgage Loans Held for Investment</w:t>
      </w: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Once a loan is past due 90 days, it is the policy of the Company to end the accrual of interest income on the loan and write off any interest income that had been accrued. Payments received for loans on a non-accrual status are recognized on a cash basis. Interest income recognized from any payments received for loans on a non-accrual status was immaterial. Accrual of interest resumes if a loan is brought current. Interest not accrued on these loans totals approximately $180,000 and $204,000 as of June 30, 2018 and December 31, 2017,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mortgage loans held for investment on a non-accrual status for the periods presented.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000" w:type="dxa"/>
            <w:vAlign w:val="bottom"/>
            <w:gridSpan w:val="5"/>
          </w:tcPr>
          <w:p>
            <w:pPr>
              <w:jc w:val="right"/>
              <w:spacing w:after="0"/>
              <w:rPr>
                <w:sz w:val="20"/>
                <w:szCs w:val="20"/>
                <w:color w:val="auto"/>
              </w:rPr>
            </w:pPr>
            <w:r>
              <w:rPr>
                <w:rFonts w:ascii="Arial" w:cs="Arial" w:eastAsia="Arial" w:hAnsi="Arial"/>
                <w:sz w:val="17"/>
                <w:szCs w:val="17"/>
                <w:b w:val="1"/>
                <w:bCs w:val="1"/>
                <w:color w:val="auto"/>
                <w:w w:val="94"/>
              </w:rPr>
              <w:t>Mortgage Loans on Non-</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5"/>
        </w:trPr>
        <w:tc>
          <w:tcPr>
            <w:tcW w:w="11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4"/>
          </w:tcPr>
          <w:p>
            <w:pPr>
              <w:jc w:val="right"/>
              <w:ind w:right="374"/>
              <w:spacing w:after="0"/>
              <w:rPr>
                <w:sz w:val="20"/>
                <w:szCs w:val="20"/>
                <w:color w:val="auto"/>
              </w:rPr>
            </w:pPr>
            <w:r>
              <w:rPr>
                <w:rFonts w:ascii="Arial" w:cs="Arial" w:eastAsia="Arial" w:hAnsi="Arial"/>
                <w:sz w:val="17"/>
                <w:szCs w:val="17"/>
                <w:b w:val="1"/>
                <w:bCs w:val="1"/>
                <w:color w:val="auto"/>
              </w:rPr>
              <w:t>Accrual Status</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01"/>
        </w:trPr>
        <w:tc>
          <w:tcPr>
            <w:tcW w:w="11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194"/>
              <w:spacing w:after="0"/>
              <w:rPr>
                <w:sz w:val="20"/>
                <w:szCs w:val="20"/>
                <w:color w:val="auto"/>
              </w:rPr>
            </w:pPr>
            <w:r>
              <w:rPr>
                <w:rFonts w:ascii="Arial" w:cs="Arial" w:eastAsia="Arial" w:hAnsi="Arial"/>
                <w:sz w:val="17"/>
                <w:szCs w:val="17"/>
                <w:color w:val="auto"/>
              </w:rPr>
              <w:t>As of</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7"/>
        </w:trPr>
        <w:tc>
          <w:tcPr>
            <w:tcW w:w="11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920" w:type="dxa"/>
            <w:vAlign w:val="bottom"/>
            <w:gridSpan w:val="2"/>
          </w:tcPr>
          <w:p>
            <w:pPr>
              <w:jc w:val="right"/>
              <w:ind w:right="14"/>
              <w:spacing w:after="0"/>
              <w:rPr>
                <w:sz w:val="20"/>
                <w:szCs w:val="20"/>
                <w:color w:val="auto"/>
              </w:rPr>
            </w:pPr>
            <w:r>
              <w:rPr>
                <w:rFonts w:ascii="Arial" w:cs="Arial" w:eastAsia="Arial" w:hAnsi="Arial"/>
                <w:sz w:val="17"/>
                <w:szCs w:val="17"/>
                <w:color w:val="auto"/>
                <w:w w:val="99"/>
              </w:rPr>
              <w:t>As of June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Arial" w:cs="Arial" w:eastAsia="Arial" w:hAnsi="Arial"/>
                <w:sz w:val="17"/>
                <w:szCs w:val="17"/>
                <w:color w:val="auto"/>
                <w:w w:val="89"/>
              </w:rPr>
              <w:t>December</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7"/>
        </w:trPr>
        <w:tc>
          <w:tcPr>
            <w:tcW w:w="11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294"/>
              <w:spacing w:after="0"/>
              <w:rPr>
                <w:sz w:val="20"/>
                <w:szCs w:val="20"/>
                <w:color w:val="auto"/>
              </w:rPr>
            </w:pPr>
            <w:r>
              <w:rPr>
                <w:rFonts w:ascii="Arial" w:cs="Arial" w:eastAsia="Arial" w:hAnsi="Arial"/>
                <w:sz w:val="17"/>
                <w:szCs w:val="17"/>
                <w:color w:val="auto"/>
              </w:rPr>
              <w:t>30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294"/>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5"/>
        </w:trPr>
        <w:tc>
          <w:tcPr>
            <w:tcW w:w="11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2017</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7"/>
        </w:trPr>
        <w:tc>
          <w:tcPr>
            <w:tcW w:w="116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Residential</w:t>
            </w:r>
          </w:p>
        </w:tc>
        <w:tc>
          <w:tcPr>
            <w:tcW w:w="39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4,475,326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4,923,552</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13"/>
        </w:trPr>
        <w:tc>
          <w:tcPr>
            <w:tcW w:w="11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Residential construction</w:t>
            </w:r>
          </w:p>
        </w:tc>
        <w:tc>
          <w:tcPr>
            <w:tcW w:w="3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1,122,279</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461,834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7"/>
        </w:trPr>
        <w:tc>
          <w:tcPr>
            <w:tcW w:w="116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39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5,597,605</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5,385,386</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574"/>
        </w:trPr>
        <w:tc>
          <w:tcPr>
            <w:tcW w:w="11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960" w:type="dxa"/>
            <w:vAlign w:val="bottom"/>
          </w:tcPr>
          <w:p>
            <w:pPr>
              <w:jc w:val="right"/>
              <w:ind w:right="2351"/>
              <w:spacing w:after="0"/>
              <w:rPr>
                <w:sz w:val="20"/>
                <w:szCs w:val="20"/>
                <w:color w:val="auto"/>
              </w:rPr>
            </w:pPr>
            <w:r>
              <w:rPr>
                <w:rFonts w:ascii="Arial" w:cs="Arial" w:eastAsia="Arial" w:hAnsi="Arial"/>
                <w:sz w:val="14"/>
                <w:szCs w:val="14"/>
                <w:color w:val="auto"/>
              </w:rPr>
              <w:t>25</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
        </w:trPr>
        <w:tc>
          <w:tcPr>
            <w:tcW w:w="116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39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3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June 30, 2018 (Unaudited)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9400" w:firstLine="3"/>
        <w:spacing w:after="0" w:line="647" w:lineRule="auto"/>
        <w:tabs>
          <w:tab w:leader="none" w:pos="626" w:val="left"/>
        </w:tabs>
        <w:numPr>
          <w:ilvl w:val="0"/>
          <w:numId w:val="20"/>
        </w:numPr>
        <w:rPr>
          <w:rFonts w:ascii="Arial" w:cs="Arial" w:eastAsia="Arial" w:hAnsi="Arial"/>
          <w:sz w:val="15"/>
          <w:szCs w:val="15"/>
          <w:color w:val="auto"/>
        </w:rPr>
      </w:pPr>
      <w:r>
        <w:rPr>
          <w:rFonts w:ascii="Arial" w:cs="Arial" w:eastAsia="Arial" w:hAnsi="Arial"/>
          <w:sz w:val="15"/>
          <w:szCs w:val="15"/>
          <w:u w:val="single" w:color="auto"/>
          <w:color w:val="auto"/>
        </w:rPr>
        <w:t>Loans Held for Sale Fair Value Option Election</w:t>
      </w:r>
    </w:p>
    <w:p>
      <w:pPr>
        <w:jc w:val="both"/>
        <w:spacing w:after="0" w:line="259" w:lineRule="auto"/>
        <w:rPr>
          <w:sz w:val="20"/>
          <w:szCs w:val="20"/>
          <w:color w:val="auto"/>
        </w:rPr>
      </w:pPr>
      <w:r>
        <w:rPr>
          <w:rFonts w:ascii="Arial" w:cs="Arial" w:eastAsia="Arial" w:hAnsi="Arial"/>
          <w:sz w:val="17"/>
          <w:szCs w:val="17"/>
          <w:color w:val="auto"/>
        </w:rPr>
        <w:t>Accounting Standards Codification ("ASC") No. 825, "Financial Instruments", allows for the option to report certain financial assets and liabilities at fair value initially and at subsequent measurement dates with changes in fair value included in earnings. The option may be applied instrument by instrument, but it is irrevocable. The Company elected the fair value option for loans held for sale originated after July 1, 2017. The Company believes the fair value option most closely aligns the timing of the recognition of gains and costs. These loans are intended for sale and the Company believes that the fair value is the best indicator of the resolution of these loans. Electing fair value also reduces certain timing differences and better matches changes in the fair value of these assets with changes in the fair value of the related derivatives used for these assets.</w:t>
      </w:r>
    </w:p>
    <w:p>
      <w:pPr>
        <w:spacing w:after="0" w:line="23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Interest income is recorded based on the contractual terms of the loan and in accordance with the Company's policy on mortgage loans held for investment and is included in mortgage fee income on the condensed consolidated statement of earnings. None of these loans are 90 or more days past due nor on nonaccrual status as of June 30, 2018. See Note 8 to the condensed consolidated financial statements for additional disclosures regarding loans held for sale.</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aggregate fair value and the aggregate unpaid principal balance of loans held for sale for the periods presented:</w:t>
      </w:r>
    </w:p>
    <w:p>
      <w:pPr>
        <w:spacing w:after="0" w:line="270"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960" w:type="dxa"/>
            <w:vAlign w:val="bottom"/>
          </w:tcPr>
          <w:p>
            <w:pPr>
              <w:jc w:val="right"/>
              <w:ind w:right="214"/>
              <w:spacing w:after="0"/>
              <w:rPr>
                <w:sz w:val="20"/>
                <w:szCs w:val="20"/>
                <w:color w:val="auto"/>
              </w:rPr>
            </w:pPr>
            <w:r>
              <w:rPr>
                <w:rFonts w:ascii="Arial" w:cs="Arial" w:eastAsia="Arial" w:hAnsi="Arial"/>
                <w:sz w:val="17"/>
                <w:szCs w:val="17"/>
                <w:color w:val="auto"/>
              </w:rPr>
              <w:t>As of</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960" w:type="dxa"/>
            <w:vAlign w:val="bottom"/>
          </w:tcPr>
          <w:p>
            <w:pPr>
              <w:jc w:val="right"/>
              <w:ind w:right="94"/>
              <w:spacing w:after="0"/>
              <w:rPr>
                <w:sz w:val="20"/>
                <w:szCs w:val="20"/>
                <w:color w:val="auto"/>
              </w:rPr>
            </w:pPr>
            <w:r>
              <w:rPr>
                <w:rFonts w:ascii="Arial" w:cs="Arial" w:eastAsia="Arial" w:hAnsi="Arial"/>
                <w:sz w:val="17"/>
                <w:szCs w:val="17"/>
                <w:color w:val="auto"/>
              </w:rPr>
              <w:t>June 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9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41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Aggregate fair value</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$170,538,537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Unpaid principal balance</w:t>
            </w:r>
          </w:p>
        </w:tc>
        <w:tc>
          <w:tcPr>
            <w:tcW w:w="4140" w:type="dxa"/>
            <w:vAlign w:val="bottom"/>
            <w:gridSpan w:val="2"/>
          </w:tcPr>
          <w:p>
            <w:pPr>
              <w:jc w:val="right"/>
              <w:spacing w:after="0"/>
              <w:rPr>
                <w:sz w:val="20"/>
                <w:szCs w:val="20"/>
                <w:color w:val="auto"/>
              </w:rPr>
            </w:pPr>
            <w:r>
              <w:rPr>
                <w:rFonts w:ascii="Arial" w:cs="Arial" w:eastAsia="Arial" w:hAnsi="Arial"/>
                <w:sz w:val="17"/>
                <w:szCs w:val="17"/>
                <w:color w:val="auto"/>
              </w:rPr>
              <w:t>165,180,172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Unrealized gain</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5,358,365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Mortgage Fee Income</w:t>
      </w:r>
    </w:p>
    <w:p>
      <w:pPr>
        <w:spacing w:after="0" w:line="270"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Mortgage fee income consists of origination fees, processing fees, interest income and certain other income related to the origination and sale of mortgage loans held for sale.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Major categories of mortgage fee income for loans held for sale are as follows:</w:t>
      </w:r>
    </w:p>
    <w:p>
      <w:pPr>
        <w:spacing w:after="0" w:line="270"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60" w:type="dxa"/>
            <w:vAlign w:val="bottom"/>
            <w:gridSpan w:val="7"/>
          </w:tcPr>
          <w:p>
            <w:pPr>
              <w:jc w:val="center"/>
              <w:ind w:right="320"/>
              <w:spacing w:after="0"/>
              <w:rPr>
                <w:sz w:val="20"/>
                <w:szCs w:val="20"/>
                <w:color w:val="auto"/>
              </w:rPr>
            </w:pPr>
            <w:r>
              <w:rPr>
                <w:rFonts w:ascii="Arial" w:cs="Arial" w:eastAsia="Arial" w:hAnsi="Arial"/>
                <w:sz w:val="17"/>
                <w:szCs w:val="17"/>
                <w:color w:val="auto"/>
                <w:w w:val="91"/>
              </w:rPr>
              <w:t>Three Months Ended June 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20" w:type="dxa"/>
            <w:vAlign w:val="bottom"/>
            <w:gridSpan w:val="7"/>
          </w:tcPr>
          <w:p>
            <w:pPr>
              <w:jc w:val="right"/>
              <w:ind w:right="540"/>
              <w:spacing w:after="0"/>
              <w:rPr>
                <w:sz w:val="20"/>
                <w:szCs w:val="20"/>
                <w:color w:val="auto"/>
              </w:rPr>
            </w:pPr>
            <w:r>
              <w:rPr>
                <w:rFonts w:ascii="Arial" w:cs="Arial" w:eastAsia="Arial" w:hAnsi="Arial"/>
                <w:sz w:val="17"/>
                <w:szCs w:val="17"/>
                <w:color w:val="auto"/>
              </w:rPr>
              <w:t>Six Months Ended June 30</w:t>
            </w:r>
          </w:p>
        </w:tc>
      </w:tr>
      <w:tr>
        <w:trPr>
          <w:trHeight w:val="213"/>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7"/>
                <w:szCs w:val="17"/>
                <w:color w:val="auto"/>
              </w:rPr>
              <w:t>2018</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7"/>
                <w:szCs w:val="17"/>
                <w:color w:val="auto"/>
              </w:rPr>
              <w:t>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7"/>
                <w:szCs w:val="17"/>
                <w:color w:val="auto"/>
              </w:rPr>
              <w:t>2018</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Loan fees</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7,843,728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8,758,784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13,589,036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18,063,709</w:t>
            </w:r>
          </w:p>
        </w:tc>
        <w:tc>
          <w:tcPr>
            <w:tcW w:w="10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Arial" w:cs="Arial" w:eastAsia="Arial" w:hAnsi="Arial"/>
                <w:sz w:val="17"/>
                <w:szCs w:val="17"/>
                <w:color w:val="auto"/>
              </w:rPr>
              <w:t>Interest income</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1,588,550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1,848,092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2,705,004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3,582,619</w:t>
            </w:r>
          </w:p>
        </w:tc>
        <w:tc>
          <w:tcPr>
            <w:tcW w:w="10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Secondary gains</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21,765,939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32,446,222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36,318,341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58,640,572</w:t>
            </w:r>
          </w:p>
        </w:tc>
        <w:tc>
          <w:tcPr>
            <w:tcW w:w="10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Arial" w:cs="Arial" w:eastAsia="Arial" w:hAnsi="Arial"/>
                <w:sz w:val="17"/>
                <w:szCs w:val="17"/>
                <w:color w:val="auto"/>
              </w:rPr>
              <w:t>Change in fair value of loan commitments</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2,169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(1,011,879)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443,127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1,155,714</w:t>
            </w:r>
          </w:p>
        </w:tc>
        <w:tc>
          <w:tcPr>
            <w:tcW w:w="10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Change in fair value of loans held for sale</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810,755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4,766,844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Arial" w:cs="Arial" w:eastAsia="Arial" w:hAnsi="Arial"/>
                <w:sz w:val="17"/>
                <w:szCs w:val="17"/>
                <w:color w:val="auto"/>
              </w:rPr>
              <w:t>Provision for loan loss reserve</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(302,061)</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(526,818)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(653,112)</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(953,453)</w:t>
            </w:r>
          </w:p>
        </w:tc>
      </w:tr>
      <w:tr>
        <w:trPr>
          <w:trHeight w:val="227"/>
        </w:trPr>
        <w:tc>
          <w:tcPr>
            <w:tcW w:w="20" w:type="dxa"/>
            <w:vAlign w:val="bottom"/>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Mortgage fee income</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31,709,080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41,514,401</w:t>
            </w:r>
          </w:p>
        </w:tc>
        <w:tc>
          <w:tcPr>
            <w:tcW w:w="1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57,169,240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80,489,161</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(1) See Fair Value Option Election</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Loan Loss Reserve</w:t>
      </w:r>
    </w:p>
    <w:p>
      <w:pPr>
        <w:spacing w:after="0" w:line="270"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When a repurchase demand corresponding to a mortgage loan previously held for sale and sold to a third-party investor is received from a third-party investor, the relevant data is reviewed and captured so that an estimated future loss can be calculated. The key factors that are used in the estimated loss calculation are as follows:</w:t>
      </w:r>
    </w:p>
    <w:p>
      <w:pPr>
        <w:spacing w:after="0" w:line="1" w:lineRule="exact"/>
        <w:rPr>
          <w:sz w:val="20"/>
          <w:szCs w:val="20"/>
          <w:color w:val="auto"/>
        </w:rPr>
      </w:pPr>
    </w:p>
    <w:p>
      <w:pPr>
        <w:jc w:val="both"/>
        <w:ind w:firstLine="3"/>
        <w:spacing w:after="0" w:line="258" w:lineRule="auto"/>
        <w:tabs>
          <w:tab w:leader="none" w:pos="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lien position, (ii) payment status, (iii) claim type, (iv) unpaid principal balance, (v) interest rate, and (vi) validity of the demand. Other data is captured and is useful for management purposes; the actual estimated loss is generally based on these key factors. The Company conducts its own review upon the receipt of a repurchase demand. In many instances, the Company is able to resolve the issues relating to the repurchase demand by the third-party investor without having to make any payments to the investor.</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June 30, 2018 (Unaudited)</w:t>
      </w:r>
    </w:p>
    <w:p>
      <w:pPr>
        <w:spacing w:after="0" w:line="257" w:lineRule="exact"/>
        <w:rPr>
          <w:sz w:val="20"/>
          <w:szCs w:val="20"/>
          <w:color w:val="auto"/>
        </w:rPr>
      </w:pPr>
    </w:p>
    <w:p>
      <w:pPr>
        <w:ind w:left="660" w:hanging="657"/>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Loans Held for Sale</w:t>
      </w:r>
      <w:r>
        <w:rPr>
          <w:rFonts w:ascii="Arial" w:cs="Arial" w:eastAsia="Arial" w:hAnsi="Arial"/>
          <w:sz w:val="17"/>
          <w:szCs w:val="17"/>
          <w:color w:val="auto"/>
        </w:rPr>
        <w:t xml:space="preserve"> (Continued)</w:t>
      </w: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color w:val="auto"/>
        </w:rPr>
        <w:t>The following is a summary of the loan loss reserve that is included in other liabilities and accrued expenses:</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194"/>
              <w:spacing w:after="0"/>
              <w:rPr>
                <w:sz w:val="20"/>
                <w:szCs w:val="20"/>
                <w:color w:val="auto"/>
              </w:rPr>
            </w:pPr>
            <w:r>
              <w:rPr>
                <w:rFonts w:ascii="Arial" w:cs="Arial" w:eastAsia="Arial" w:hAnsi="Arial"/>
                <w:sz w:val="17"/>
                <w:szCs w:val="17"/>
                <w:color w:val="auto"/>
              </w:rPr>
              <w:t>As of</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7"/>
                <w:szCs w:val="17"/>
                <w:color w:val="auto"/>
                <w:w w:val="99"/>
              </w:rPr>
              <w:t>As of June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Arial" w:cs="Arial" w:eastAsia="Arial" w:hAnsi="Arial"/>
                <w:sz w:val="17"/>
                <w:szCs w:val="17"/>
                <w:color w:val="auto"/>
                <w:w w:val="89"/>
              </w:rPr>
              <w:t>December</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294"/>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294"/>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Balance, beginning of period</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2,571,524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627,733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40" w:type="dxa"/>
            <w:vAlign w:val="bottom"/>
          </w:tcPr>
          <w:p>
            <w:pPr>
              <w:spacing w:after="0"/>
              <w:rPr>
                <w:sz w:val="20"/>
                <w:szCs w:val="20"/>
                <w:color w:val="auto"/>
              </w:rPr>
            </w:pPr>
            <w:r>
              <w:rPr>
                <w:rFonts w:ascii="Arial" w:cs="Arial" w:eastAsia="Arial" w:hAnsi="Arial"/>
                <w:sz w:val="17"/>
                <w:szCs w:val="17"/>
                <w:color w:val="auto"/>
              </w:rPr>
              <w:t>Provision on current loan originations (1)</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653,112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1,851,187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Charge-offs, net of recaptured amounts</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(44,382)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92,604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0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7040" w:type="dxa"/>
            <w:vAlign w:val="bottom"/>
          </w:tcPr>
          <w:p>
            <w:pPr>
              <w:spacing w:after="0"/>
              <w:rPr>
                <w:sz w:val="20"/>
                <w:szCs w:val="20"/>
                <w:color w:val="auto"/>
              </w:rPr>
            </w:pPr>
            <w:r>
              <w:rPr>
                <w:rFonts w:ascii="Arial" w:cs="Arial" w:eastAsia="Arial" w:hAnsi="Arial"/>
                <w:sz w:val="17"/>
                <w:szCs w:val="17"/>
                <w:color w:val="auto"/>
              </w:rPr>
              <w:t>Balance, end of period</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5"/>
              </w:rPr>
              <w:t>3,180,254</w:t>
            </w:r>
          </w:p>
        </w:tc>
        <w:tc>
          <w:tcPr>
            <w:tcW w:w="1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2,571,524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(1) Included in Mortgage fee income</w:t>
      </w:r>
    </w:p>
    <w:p>
      <w:pPr>
        <w:spacing w:after="0" w:line="27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Company believes the loan loss reserve represents probable loan losses incurred as of the balance sheet date. </w:t>
      </w:r>
      <w:r>
        <w:rPr>
          <w:rFonts w:ascii="Arial" w:cs="Arial" w:eastAsia="Arial" w:hAnsi="Arial"/>
          <w:sz w:val="19"/>
          <w:szCs w:val="19"/>
          <w:color w:val="auto"/>
        </w:rPr>
        <w:t>Actual loan loss experience could change,</w:t>
      </w:r>
      <w:r>
        <w:rPr>
          <w:rFonts w:ascii="Arial" w:cs="Arial" w:eastAsia="Arial" w:hAnsi="Arial"/>
          <w:sz w:val="16"/>
          <w:szCs w:val="16"/>
          <w:color w:val="auto"/>
        </w:rPr>
        <w:t xml:space="preserve"> </w:t>
      </w:r>
      <w:r>
        <w:rPr>
          <w:rFonts w:ascii="Arial" w:cs="Arial" w:eastAsia="Arial" w:hAnsi="Arial"/>
          <w:sz w:val="19"/>
          <w:szCs w:val="19"/>
          <w:color w:val="auto"/>
        </w:rPr>
        <w:t>in the near-term, from the established reserve based upon claims that could be asserted by third-party investors. The Company believes there is potential to resolve any alleged claims by third-party investors on acceptable terms. If the Company is unable to resolve such claims on acceptable terms, legal action may ensue. In the event of legal action by any third-party investor, the Company believes it has significant defenses to any such action and intends to vigorously defend itself against such action.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21"/>
          <w:szCs w:val="21"/>
          <w:color w:val="auto"/>
        </w:rPr>
        <w:t>SECURITY NATIONAL FINANCIAL CORPORATION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June 30, 2018 (Unaudited)</w:t>
      </w:r>
    </w:p>
    <w:p>
      <w:pPr>
        <w:spacing w:after="0" w:line="200" w:lineRule="exact"/>
        <w:rPr>
          <w:sz w:val="20"/>
          <w:szCs w:val="20"/>
          <w:color w:val="auto"/>
        </w:rPr>
      </w:pPr>
    </w:p>
    <w:p>
      <w:pPr>
        <w:spacing w:after="0" w:line="315" w:lineRule="exact"/>
        <w:rPr>
          <w:sz w:val="20"/>
          <w:szCs w:val="20"/>
          <w:color w:val="auto"/>
        </w:rPr>
      </w:pPr>
    </w:p>
    <w:p>
      <w:pPr>
        <w:ind w:left="660" w:hanging="657"/>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Stock Compensation Plans</w:t>
      </w:r>
    </w:p>
    <w:p>
      <w:pPr>
        <w:spacing w:after="0" w:line="2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has four fixed option plans (the "2003 Plan", the "2006 Director Plan", the "2013 Plan" and the "2014 Director Plan"). Compensation expense for options issued of $58,053 and $101,316 has been recognized for these plans for the three months ended June 30, 2018 and 2017, respectively, and $116,140 and $203,312 has been recognized for these plans for the six months ended June 30, 2018 and 2017, respectively. As of June 30, 2018, the total unrecognized compensation expense related to the options issued was $97,605, which is expected to be recognized over the vesting period of one year.</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fair value of each option granted is estimated on the date of grant using the Black Scholes Option Pricing Model. The Company estimates the expected life of the options using the simplified method. Future volatility is estimated based upon the weighted historical volatility of the Company's Class A common stock over a period equal to the expected life of the options. The risk-free interest rate for the expected life of the options is based upon the Federal Reserve Board's daily interest rates in effect at the time of the grant.</w:t>
      </w:r>
    </w:p>
    <w:p>
      <w:pPr>
        <w:spacing w:after="0" w:line="22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A summary of the status of the Company's stock compensation plans as of June 30, 2018, and the changes during the six months ended June 30, 2018, are presented below:</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14"/>
              <w:spacing w:after="0"/>
              <w:rPr>
                <w:sz w:val="20"/>
                <w:szCs w:val="20"/>
                <w:color w:val="auto"/>
              </w:rPr>
            </w:pPr>
            <w:r>
              <w:rPr>
                <w:rFonts w:ascii="Arial" w:cs="Arial" w:eastAsia="Arial" w:hAnsi="Arial"/>
                <w:sz w:val="17"/>
                <w:szCs w:val="17"/>
                <w:color w:val="auto"/>
                <w:w w:val="91"/>
              </w:rPr>
              <w:t>Weighted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34"/>
              <w:spacing w:after="0"/>
              <w:rPr>
                <w:sz w:val="20"/>
                <w:szCs w:val="20"/>
                <w:color w:val="auto"/>
              </w:rPr>
            </w:pPr>
            <w:r>
              <w:rPr>
                <w:rFonts w:ascii="Arial" w:cs="Arial" w:eastAsia="Arial" w:hAnsi="Arial"/>
                <w:sz w:val="17"/>
                <w:szCs w:val="17"/>
                <w:color w:val="auto"/>
                <w:w w:val="89"/>
              </w:rPr>
              <w:t>Weighted</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7"/>
                <w:szCs w:val="17"/>
                <w:color w:val="auto"/>
                <w:w w:val="95"/>
              </w:rPr>
              <w:t>Number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14"/>
              <w:spacing w:after="0"/>
              <w:rPr>
                <w:sz w:val="20"/>
                <w:szCs w:val="20"/>
                <w:color w:val="auto"/>
              </w:rPr>
            </w:pPr>
            <w:r>
              <w:rPr>
                <w:rFonts w:ascii="Arial" w:cs="Arial" w:eastAsia="Arial" w:hAnsi="Arial"/>
                <w:sz w:val="17"/>
                <w:szCs w:val="17"/>
                <w:color w:val="auto"/>
                <w:w w:val="91"/>
              </w:rPr>
              <w:t>Average</w:t>
            </w:r>
          </w:p>
        </w:tc>
        <w:tc>
          <w:tcPr>
            <w:tcW w:w="180" w:type="dxa"/>
            <w:vAlign w:val="bottom"/>
          </w:tcPr>
          <w:p>
            <w:pPr>
              <w:spacing w:after="0"/>
              <w:rPr>
                <w:sz w:val="17"/>
                <w:szCs w:val="17"/>
                <w:color w:val="auto"/>
              </w:rPr>
            </w:pPr>
          </w:p>
        </w:tc>
        <w:tc>
          <w:tcPr>
            <w:tcW w:w="920" w:type="dxa"/>
            <w:vAlign w:val="bottom"/>
            <w:gridSpan w:val="2"/>
          </w:tcPr>
          <w:p>
            <w:pPr>
              <w:jc w:val="center"/>
              <w:spacing w:after="0"/>
              <w:rPr>
                <w:sz w:val="20"/>
                <w:szCs w:val="20"/>
                <w:color w:val="auto"/>
              </w:rPr>
            </w:pPr>
            <w:r>
              <w:rPr>
                <w:rFonts w:ascii="Arial" w:cs="Arial" w:eastAsia="Arial" w:hAnsi="Arial"/>
                <w:sz w:val="17"/>
                <w:szCs w:val="17"/>
                <w:color w:val="auto"/>
                <w:w w:val="93"/>
              </w:rPr>
              <w:t>Number of</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34"/>
              <w:spacing w:after="0"/>
              <w:rPr>
                <w:sz w:val="20"/>
                <w:szCs w:val="20"/>
                <w:color w:val="auto"/>
              </w:rPr>
            </w:pPr>
            <w:r>
              <w:rPr>
                <w:rFonts w:ascii="Arial" w:cs="Arial" w:eastAsia="Arial" w:hAnsi="Arial"/>
                <w:sz w:val="17"/>
                <w:szCs w:val="17"/>
                <w:color w:val="auto"/>
                <w:w w:val="88"/>
              </w:rPr>
              <w:t>Average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7"/>
                <w:szCs w:val="17"/>
                <w:color w:val="auto"/>
                <w:w w:val="92"/>
              </w:rPr>
              <w:t>Class A</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54"/>
              <w:spacing w:after="0"/>
              <w:rPr>
                <w:sz w:val="20"/>
                <w:szCs w:val="20"/>
                <w:color w:val="auto"/>
              </w:rPr>
            </w:pPr>
            <w:r>
              <w:rPr>
                <w:rFonts w:ascii="Arial" w:cs="Arial" w:eastAsia="Arial" w:hAnsi="Arial"/>
                <w:sz w:val="17"/>
                <w:szCs w:val="17"/>
                <w:color w:val="auto"/>
                <w:w w:val="98"/>
              </w:rPr>
              <w:t>Exercise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ind w:right="34"/>
              <w:spacing w:after="0"/>
              <w:rPr>
                <w:sz w:val="20"/>
                <w:szCs w:val="20"/>
                <w:color w:val="auto"/>
              </w:rPr>
            </w:pPr>
            <w:r>
              <w:rPr>
                <w:rFonts w:ascii="Arial" w:cs="Arial" w:eastAsia="Arial" w:hAnsi="Arial"/>
                <w:sz w:val="17"/>
                <w:szCs w:val="17"/>
                <w:color w:val="auto"/>
                <w:w w:val="90"/>
              </w:rPr>
              <w:t>Class C</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34"/>
              <w:spacing w:after="0"/>
              <w:rPr>
                <w:sz w:val="20"/>
                <w:szCs w:val="20"/>
                <w:color w:val="auto"/>
              </w:rPr>
            </w:pPr>
            <w:r>
              <w:rPr>
                <w:rFonts w:ascii="Arial" w:cs="Arial" w:eastAsia="Arial" w:hAnsi="Arial"/>
                <w:sz w:val="17"/>
                <w:szCs w:val="17"/>
                <w:color w:val="auto"/>
                <w:w w:val="91"/>
              </w:rPr>
              <w:t>Exercise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5"/>
              </w:rPr>
              <w:t>Shares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color w:val="auto"/>
                <w:w w:val="87"/>
              </w:rPr>
              <w:t>Price</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color w:val="auto"/>
                <w:w w:val="85"/>
              </w:rPr>
              <w:t>Shares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Price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2017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880,426</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523,603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7"/>
                <w:szCs w:val="17"/>
                <w:color w:val="auto"/>
              </w:rPr>
              <w:t>Granted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(31,984)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7"/>
                <w:szCs w:val="17"/>
                <w:color w:val="auto"/>
              </w:rPr>
              <w:t>Cancelled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(5,704)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June 30, 2018</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842,738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523,603</w:t>
            </w: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As of June 30, 2018: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7"/>
                <w:szCs w:val="17"/>
                <w:color w:val="auto"/>
              </w:rPr>
              <w:t>Options exercisable</w:t>
            </w: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777,373</w:t>
            </w:r>
          </w:p>
        </w:tc>
        <w:tc>
          <w:tcPr>
            <w:tcW w:w="12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4.42</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486,853</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7"/>
                <w:szCs w:val="17"/>
                <w:color w:val="auto"/>
              </w:rPr>
              <w:t>As of June 30, 2018: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Available options for future grant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421,241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165,638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5"/>
              </w:rPr>
              <w:t>Weighted average contractual term of options outstanding at June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30, 2018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90"/>
              </w:rPr>
              <w:t>6.30 years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right="34"/>
              <w:spacing w:after="0"/>
              <w:rPr>
                <w:sz w:val="20"/>
                <w:szCs w:val="20"/>
                <w:color w:val="auto"/>
              </w:rPr>
            </w:pPr>
            <w:r>
              <w:rPr>
                <w:rFonts w:ascii="Arial" w:cs="Arial" w:eastAsia="Arial" w:hAnsi="Arial"/>
                <w:sz w:val="17"/>
                <w:szCs w:val="17"/>
                <w:color w:val="auto"/>
                <w:w w:val="88"/>
              </w:rPr>
              <w:t>2.94 years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1"/>
              </w:rPr>
              <w:t>Weighted average contractual term of options exercisable at June 30,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2018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90"/>
              </w:rPr>
              <w:t>6.29 years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right="34"/>
              <w:spacing w:after="0"/>
              <w:rPr>
                <w:sz w:val="20"/>
                <w:szCs w:val="20"/>
                <w:color w:val="auto"/>
              </w:rPr>
            </w:pPr>
            <w:r>
              <w:rPr>
                <w:rFonts w:ascii="Arial" w:cs="Arial" w:eastAsia="Arial" w:hAnsi="Arial"/>
                <w:sz w:val="17"/>
                <w:szCs w:val="17"/>
                <w:color w:val="auto"/>
                <w:w w:val="88"/>
              </w:rPr>
              <w:t>2.45 years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5"/>
              </w:rPr>
              <w:t>Aggregated intrinsic value of options outstanding at June 30, 2018</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873,372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267,943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780" w:type="dxa"/>
            <w:vAlign w:val="bottom"/>
            <w:shd w:val="clear" w:color="auto" w:fill="CCEEFF"/>
          </w:tcPr>
          <w:p>
            <w:pPr>
              <w:spacing w:after="0" w:line="148" w:lineRule="exact"/>
              <w:rPr>
                <w:sz w:val="20"/>
                <w:szCs w:val="20"/>
                <w:color w:val="auto"/>
              </w:rPr>
            </w:pPr>
            <w:r>
              <w:rPr>
                <w:rFonts w:ascii="Arial" w:cs="Arial" w:eastAsia="Arial" w:hAnsi="Arial"/>
                <w:sz w:val="17"/>
                <w:szCs w:val="17"/>
                <w:color w:val="auto"/>
              </w:rPr>
              <w:t>(1)</w:t>
            </w:r>
          </w:p>
        </w:tc>
        <w:tc>
          <w:tcPr>
            <w:tcW w:w="16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7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5"/>
              </w:rPr>
              <w:t>Aggregated intrinsic value of options exercisable at June 30, 2018</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862,976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253,243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80" w:type="dxa"/>
            <w:vAlign w:val="bottom"/>
            <w:shd w:val="clear" w:color="auto" w:fill="CCEEFF"/>
          </w:tcPr>
          <w:p>
            <w:pPr>
              <w:spacing w:after="0" w:line="148" w:lineRule="exact"/>
              <w:rPr>
                <w:sz w:val="20"/>
                <w:szCs w:val="20"/>
                <w:color w:val="auto"/>
              </w:rPr>
            </w:pPr>
            <w:r>
              <w:rPr>
                <w:rFonts w:ascii="Arial" w:cs="Arial" w:eastAsia="Arial" w:hAnsi="Arial"/>
                <w:sz w:val="17"/>
                <w:szCs w:val="17"/>
                <w:color w:val="auto"/>
              </w:rPr>
              <w:t>(1)</w:t>
            </w:r>
          </w:p>
        </w:tc>
        <w:tc>
          <w:tcPr>
            <w:tcW w:w="16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(1) The Company used a stock price of $5.20 as of June 30, 2018 to derive intrinsic value.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21"/>
          <w:szCs w:val="21"/>
          <w:color w:val="auto"/>
        </w:rPr>
        <w:t>SECURITY NATIONAL FINANCIAL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Condensed Consolidated Financial Statements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June 30, 2018 (Unaudited)</w:t>
      </w:r>
    </w:p>
    <w:p>
      <w:pPr>
        <w:spacing w:after="0" w:line="257" w:lineRule="exact"/>
        <w:rPr>
          <w:sz w:val="20"/>
          <w:szCs w:val="20"/>
          <w:color w:val="auto"/>
        </w:rPr>
      </w:pPr>
    </w:p>
    <w:p>
      <w:pPr>
        <w:ind w:left="660" w:hanging="657"/>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Stock Compensation Plans</w:t>
      </w:r>
      <w:r>
        <w:rPr>
          <w:rFonts w:ascii="Arial" w:cs="Arial" w:eastAsia="Arial" w:hAnsi="Arial"/>
          <w:sz w:val="17"/>
          <w:szCs w:val="17"/>
          <w:color w:val="auto"/>
        </w:rPr>
        <w:t xml:space="preserve"> (Continued)</w:t>
      </w:r>
    </w:p>
    <w:p>
      <w:pPr>
        <w:spacing w:after="0" w:line="270"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A summary of the status of the Company's stock compensation plans as of June 30, 2017, and the changes during the six months ended June 30, 2017, are presented below:</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14"/>
              <w:spacing w:after="0"/>
              <w:rPr>
                <w:sz w:val="20"/>
                <w:szCs w:val="20"/>
                <w:color w:val="auto"/>
              </w:rPr>
            </w:pPr>
            <w:r>
              <w:rPr>
                <w:rFonts w:ascii="Arial" w:cs="Arial" w:eastAsia="Arial" w:hAnsi="Arial"/>
                <w:sz w:val="17"/>
                <w:szCs w:val="17"/>
                <w:color w:val="auto"/>
                <w:w w:val="91"/>
              </w:rPr>
              <w:t>Weighted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34"/>
              <w:spacing w:after="0"/>
              <w:rPr>
                <w:sz w:val="20"/>
                <w:szCs w:val="20"/>
                <w:color w:val="auto"/>
              </w:rPr>
            </w:pPr>
            <w:r>
              <w:rPr>
                <w:rFonts w:ascii="Arial" w:cs="Arial" w:eastAsia="Arial" w:hAnsi="Arial"/>
                <w:sz w:val="17"/>
                <w:szCs w:val="17"/>
                <w:color w:val="auto"/>
                <w:w w:val="89"/>
              </w:rPr>
              <w:t>Weighted</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center"/>
              <w:ind w:right="14"/>
              <w:spacing w:after="0"/>
              <w:rPr>
                <w:sz w:val="20"/>
                <w:szCs w:val="20"/>
                <w:color w:val="auto"/>
              </w:rPr>
            </w:pPr>
            <w:r>
              <w:rPr>
                <w:rFonts w:ascii="Arial" w:cs="Arial" w:eastAsia="Arial" w:hAnsi="Arial"/>
                <w:sz w:val="17"/>
                <w:szCs w:val="17"/>
                <w:color w:val="auto"/>
                <w:w w:val="93"/>
              </w:rPr>
              <w:t>Number of</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w w:val="91"/>
              </w:rPr>
              <w:t>Average</w:t>
            </w:r>
          </w:p>
        </w:tc>
        <w:tc>
          <w:tcPr>
            <w:tcW w:w="180" w:type="dxa"/>
            <w:vAlign w:val="bottom"/>
          </w:tcPr>
          <w:p>
            <w:pPr>
              <w:spacing w:after="0"/>
              <w:rPr>
                <w:sz w:val="17"/>
                <w:szCs w:val="17"/>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7"/>
                <w:szCs w:val="17"/>
                <w:color w:val="auto"/>
                <w:w w:val="93"/>
              </w:rPr>
              <w:t>Number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34"/>
              <w:spacing w:after="0"/>
              <w:rPr>
                <w:sz w:val="20"/>
                <w:szCs w:val="20"/>
                <w:color w:val="auto"/>
              </w:rPr>
            </w:pPr>
            <w:r>
              <w:rPr>
                <w:rFonts w:ascii="Arial" w:cs="Arial" w:eastAsia="Arial" w:hAnsi="Arial"/>
                <w:sz w:val="17"/>
                <w:szCs w:val="17"/>
                <w:color w:val="auto"/>
                <w:w w:val="88"/>
              </w:rPr>
              <w:t>Average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center"/>
              <w:ind w:right="14"/>
              <w:spacing w:after="0"/>
              <w:rPr>
                <w:sz w:val="20"/>
                <w:szCs w:val="20"/>
                <w:color w:val="auto"/>
              </w:rPr>
            </w:pPr>
            <w:r>
              <w:rPr>
                <w:rFonts w:ascii="Arial" w:cs="Arial" w:eastAsia="Arial" w:hAnsi="Arial"/>
                <w:sz w:val="17"/>
                <w:szCs w:val="17"/>
                <w:color w:val="auto"/>
                <w:w w:val="92"/>
              </w:rPr>
              <w:t>Class A</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54"/>
              <w:spacing w:after="0"/>
              <w:rPr>
                <w:sz w:val="20"/>
                <w:szCs w:val="20"/>
                <w:color w:val="auto"/>
              </w:rPr>
            </w:pPr>
            <w:r>
              <w:rPr>
                <w:rFonts w:ascii="Arial" w:cs="Arial" w:eastAsia="Arial" w:hAnsi="Arial"/>
                <w:sz w:val="17"/>
                <w:szCs w:val="17"/>
                <w:color w:val="auto"/>
                <w:w w:val="98"/>
              </w:rPr>
              <w:t>Exercise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7"/>
                <w:szCs w:val="17"/>
                <w:color w:val="auto"/>
                <w:w w:val="90"/>
              </w:rPr>
              <w:t>Class C</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w w:val="91"/>
              </w:rPr>
              <w:t>Exercise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5"/>
              </w:rPr>
              <w:t>Shares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color w:val="auto"/>
                <w:w w:val="87"/>
              </w:rPr>
              <w:t>Price</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color w:val="auto"/>
                <w:w w:val="85"/>
              </w:rPr>
              <w:t>Shares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color w:val="auto"/>
                <w:w w:val="92"/>
              </w:rPr>
              <w:t>Price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2016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741,973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556,298</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7"/>
                <w:szCs w:val="17"/>
                <w:color w:val="auto"/>
              </w:rPr>
              <w:t>Granted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(103,402)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7"/>
                <w:szCs w:val="17"/>
                <w:color w:val="auto"/>
              </w:rPr>
              <w:t>Cancelled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(24,227)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June 30, 2017</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741,973</w:t>
            </w: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428,669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5.59</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As of June 30, 2017: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7"/>
                <w:szCs w:val="17"/>
                <w:color w:val="auto"/>
              </w:rPr>
              <w:t>Options exercisable</w:t>
            </w: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671,816</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4.08</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386,669</w:t>
            </w:r>
          </w:p>
        </w:tc>
        <w:tc>
          <w:tcPr>
            <w:tcW w:w="10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7"/>
                <w:szCs w:val="17"/>
                <w:color w:val="auto"/>
              </w:rPr>
              <w:t>As of June 30, 2017: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Available options for future grant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525,682</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227,750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5"/>
              </w:rPr>
              <w:t>Weighted average contractual term of options outstanding at June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30, 2017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14"/>
              <w:spacing w:after="0"/>
              <w:rPr>
                <w:sz w:val="20"/>
                <w:szCs w:val="20"/>
                <w:color w:val="auto"/>
              </w:rPr>
            </w:pPr>
            <w:r>
              <w:rPr>
                <w:rFonts w:ascii="Arial" w:cs="Arial" w:eastAsia="Arial" w:hAnsi="Arial"/>
                <w:sz w:val="17"/>
                <w:szCs w:val="17"/>
                <w:color w:val="auto"/>
                <w:w w:val="88"/>
              </w:rPr>
              <w:t>6.87 years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88"/>
              </w:rPr>
              <w:t>2.88 years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1"/>
              </w:rPr>
              <w:t>Weighted average contractual term of options exercisable at June 30,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14"/>
              <w:spacing w:after="0"/>
              <w:rPr>
                <w:sz w:val="20"/>
                <w:szCs w:val="20"/>
                <w:color w:val="auto"/>
              </w:rPr>
            </w:pPr>
            <w:r>
              <w:rPr>
                <w:rFonts w:ascii="Arial" w:cs="Arial" w:eastAsia="Arial" w:hAnsi="Arial"/>
                <w:sz w:val="17"/>
                <w:szCs w:val="17"/>
                <w:color w:val="auto"/>
                <w:w w:val="88"/>
              </w:rPr>
              <w:t>6.61 years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88"/>
              </w:rPr>
              <w:t>2.71 years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5"/>
              </w:rPr>
              <w:t>Aggregated intrinsic value of options outstanding at June 30, 2017</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1,564,592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449,896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780" w:type="dxa"/>
            <w:vAlign w:val="bottom"/>
            <w:shd w:val="clear" w:color="auto" w:fill="CCEEFF"/>
          </w:tcPr>
          <w:p>
            <w:pPr>
              <w:spacing w:after="0" w:line="148" w:lineRule="exact"/>
              <w:rPr>
                <w:sz w:val="20"/>
                <w:szCs w:val="20"/>
                <w:color w:val="auto"/>
              </w:rPr>
            </w:pPr>
            <w:r>
              <w:rPr>
                <w:rFonts w:ascii="Arial" w:cs="Arial" w:eastAsia="Arial" w:hAnsi="Arial"/>
                <w:sz w:val="17"/>
                <w:szCs w:val="17"/>
                <w:color w:val="auto"/>
              </w:rPr>
              <w:t>(1)</w:t>
            </w:r>
          </w:p>
        </w:tc>
        <w:tc>
          <w:tcPr>
            <w:tcW w:w="16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7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5"/>
              </w:rPr>
              <w:t>Aggregated intrinsic value of options exercisable at June 30, 2017</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1,564,592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449,896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80" w:type="dxa"/>
            <w:vAlign w:val="bottom"/>
            <w:shd w:val="clear" w:color="auto" w:fill="CCEEFF"/>
          </w:tcPr>
          <w:p>
            <w:pPr>
              <w:spacing w:after="0" w:line="148" w:lineRule="exact"/>
              <w:rPr>
                <w:sz w:val="20"/>
                <w:szCs w:val="20"/>
                <w:color w:val="auto"/>
              </w:rPr>
            </w:pPr>
            <w:r>
              <w:rPr>
                <w:rFonts w:ascii="Arial" w:cs="Arial" w:eastAsia="Arial" w:hAnsi="Arial"/>
                <w:sz w:val="17"/>
                <w:szCs w:val="17"/>
                <w:color w:val="auto"/>
              </w:rPr>
              <w:t>(1)</w:t>
            </w:r>
          </w:p>
        </w:tc>
        <w:tc>
          <w:tcPr>
            <w:tcW w:w="16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(1) The Company used a stock price of $6.37 as of June 30, 2017 to derive intrinsic value.</w:t>
      </w:r>
    </w:p>
    <w:p>
      <w:pPr>
        <w:spacing w:after="0" w:line="274" w:lineRule="exact"/>
        <w:rPr>
          <w:sz w:val="20"/>
          <w:szCs w:val="20"/>
          <w:color w:val="auto"/>
        </w:rPr>
      </w:pPr>
    </w:p>
    <w:p>
      <w:pPr>
        <w:ind w:right="220"/>
        <w:spacing w:after="0" w:line="365" w:lineRule="auto"/>
        <w:rPr>
          <w:sz w:val="20"/>
          <w:szCs w:val="20"/>
          <w:color w:val="auto"/>
        </w:rPr>
      </w:pPr>
      <w:r>
        <w:rPr>
          <w:rFonts w:ascii="Arial" w:cs="Arial" w:eastAsia="Arial" w:hAnsi="Arial"/>
          <w:sz w:val="18"/>
          <w:szCs w:val="18"/>
          <w:color w:val="auto"/>
        </w:rPr>
        <w:t>The total intrinsic value (which is the amount by which the fair value of the underlying stock exceeds the exercise price of an option on the exercise date) of stock options exercised during the six months June 30, 2018 and 2017 was $111,157 and $578,017, respectively.</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June 30, 2018 (Unaudited)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 w:type="dxa"/>
            <w:vAlign w:val="bottom"/>
          </w:tcPr>
          <w:p>
            <w:pPr>
              <w:spacing w:after="0"/>
              <w:rPr>
                <w:sz w:val="20"/>
                <w:szCs w:val="20"/>
                <w:color w:val="auto"/>
              </w:rPr>
            </w:pPr>
            <w:r>
              <w:rPr>
                <w:rFonts w:ascii="Arial" w:cs="Arial" w:eastAsia="Arial" w:hAnsi="Arial"/>
                <w:sz w:val="17"/>
                <w:szCs w:val="17"/>
                <w:color w:val="auto"/>
              </w:rPr>
              <w:t>6)</w:t>
            </w: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87"/>
              </w:rPr>
              <w:t>Earnings Per Share</w:t>
            </w:r>
          </w:p>
        </w:tc>
        <w:tc>
          <w:tcPr>
            <w:tcW w:w="3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4"/>
        </w:trPr>
        <w:tc>
          <w:tcPr>
            <w:tcW w:w="5660" w:type="dxa"/>
            <w:vAlign w:val="bottom"/>
            <w:gridSpan w:val="4"/>
          </w:tcPr>
          <w:p>
            <w:pPr>
              <w:spacing w:after="0"/>
              <w:rPr>
                <w:sz w:val="20"/>
                <w:szCs w:val="20"/>
                <w:color w:val="auto"/>
              </w:rPr>
            </w:pPr>
            <w:r>
              <w:rPr>
                <w:rFonts w:ascii="Arial" w:cs="Arial" w:eastAsia="Arial" w:hAnsi="Arial"/>
                <w:sz w:val="17"/>
                <w:szCs w:val="17"/>
                <w:color w:val="auto"/>
                <w:w w:val="96"/>
              </w:rPr>
              <w:t>The basic and diluted earnings per share amounts were calculated as follows: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4"/>
          </w:tcPr>
          <w:p>
            <w:pPr>
              <w:jc w:val="right"/>
              <w:ind w:right="194"/>
              <w:spacing w:after="0"/>
              <w:rPr>
                <w:sz w:val="20"/>
                <w:szCs w:val="20"/>
                <w:color w:val="auto"/>
              </w:rPr>
            </w:pPr>
            <w:r>
              <w:rPr>
                <w:rFonts w:ascii="Arial" w:cs="Arial" w:eastAsia="Arial" w:hAnsi="Arial"/>
                <w:sz w:val="17"/>
                <w:szCs w:val="17"/>
                <w:color w:val="auto"/>
              </w:rPr>
              <w:t>Three Months Ended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4"/>
          </w:tcPr>
          <w:p>
            <w:pPr>
              <w:jc w:val="right"/>
              <w:ind w:right="274"/>
              <w:spacing w:after="0"/>
              <w:rPr>
                <w:sz w:val="20"/>
                <w:szCs w:val="20"/>
                <w:color w:val="auto"/>
              </w:rPr>
            </w:pPr>
            <w:r>
              <w:rPr>
                <w:rFonts w:ascii="Arial" w:cs="Arial" w:eastAsia="Arial" w:hAnsi="Arial"/>
                <w:sz w:val="17"/>
                <w:szCs w:val="17"/>
                <w:color w:val="auto"/>
              </w:rPr>
              <w:t>Six Months Ended</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7"/>
                <w:szCs w:val="17"/>
                <w:color w:val="auto"/>
              </w:rPr>
              <w:t>June 30</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7"/>
                <w:szCs w:val="17"/>
                <w:color w:val="auto"/>
              </w:rPr>
              <w:t>June 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2017</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040" w:type="dxa"/>
            <w:vAlign w:val="bottom"/>
            <w:gridSpan w:val="3"/>
          </w:tcPr>
          <w:p>
            <w:pPr>
              <w:ind w:left="520"/>
              <w:spacing w:after="0"/>
              <w:rPr>
                <w:sz w:val="20"/>
                <w:szCs w:val="20"/>
                <w:color w:val="auto"/>
              </w:rPr>
            </w:pPr>
            <w:r>
              <w:rPr>
                <w:rFonts w:ascii="Arial" w:cs="Arial" w:eastAsia="Arial" w:hAnsi="Arial"/>
                <w:sz w:val="17"/>
                <w:szCs w:val="17"/>
                <w:color w:val="auto"/>
              </w:rPr>
              <w:t>Numerator:</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5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Net earnings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3,238,217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2,485,864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20,164,140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4,345,864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500" w:type="dxa"/>
            <w:vAlign w:val="bottom"/>
            <w:tcBorders>
              <w:top w:val="single" w:sz="8" w:color="CCEEFF"/>
            </w:tcBorders>
            <w:gridSpan w:val="2"/>
          </w:tcPr>
          <w:p>
            <w:pPr>
              <w:spacing w:after="0"/>
              <w:rPr>
                <w:sz w:val="20"/>
                <w:szCs w:val="20"/>
                <w:color w:val="auto"/>
              </w:rPr>
            </w:pPr>
            <w:r>
              <w:rPr>
                <w:rFonts w:ascii="Arial" w:cs="Arial" w:eastAsia="Arial" w:hAnsi="Arial"/>
                <w:sz w:val="17"/>
                <w:szCs w:val="17"/>
                <w:color w:val="auto"/>
              </w:rPr>
              <w:t>Denominator:</w:t>
            </w:r>
          </w:p>
        </w:tc>
        <w:tc>
          <w:tcPr>
            <w:tcW w:w="3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7"/>
                <w:szCs w:val="17"/>
                <w:color w:val="auto"/>
              </w:rPr>
              <w:t>Basic weighted-average shares outstanding</w:t>
            </w: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16,252,998</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15,931,031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16,209,987</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15,879,461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500" w:type="dxa"/>
            <w:vAlign w:val="bottom"/>
            <w:gridSpan w:val="2"/>
          </w:tcPr>
          <w:p>
            <w:pPr>
              <w:spacing w:after="0"/>
              <w:rPr>
                <w:sz w:val="20"/>
                <w:szCs w:val="20"/>
                <w:color w:val="auto"/>
              </w:rPr>
            </w:pPr>
            <w:r>
              <w:rPr>
                <w:rFonts w:ascii="Arial" w:cs="Arial" w:eastAsia="Arial" w:hAnsi="Arial"/>
                <w:sz w:val="17"/>
                <w:szCs w:val="17"/>
                <w:color w:val="auto"/>
              </w:rPr>
              <w:t>Effect of dilutive securities: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7"/>
                <w:szCs w:val="17"/>
                <w:color w:val="auto"/>
              </w:rPr>
              <w:t>Employee stock options</w:t>
            </w: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234,070</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347,117</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207,364</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361,607</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5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7"/>
                <w:szCs w:val="17"/>
                <w:color w:val="auto"/>
              </w:rPr>
              <w:t>Diluted weighted-average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16,487,068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16,278,148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16,417,351</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16,241,068</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20" w:type="dxa"/>
            <w:vAlign w:val="bottom"/>
          </w:tcPr>
          <w:p>
            <w:pPr>
              <w:spacing w:after="0"/>
              <w:rPr>
                <w:sz w:val="17"/>
                <w:szCs w:val="17"/>
                <w:color w:val="auto"/>
              </w:rPr>
            </w:pPr>
          </w:p>
        </w:tc>
        <w:tc>
          <w:tcPr>
            <w:tcW w:w="540" w:type="dxa"/>
            <w:vAlign w:val="bottom"/>
            <w:vMerge w:val="restart"/>
          </w:tcPr>
          <w:p>
            <w:pPr>
              <w:spacing w:after="0"/>
              <w:rPr>
                <w:sz w:val="17"/>
                <w:szCs w:val="17"/>
                <w:color w:val="auto"/>
              </w:rPr>
            </w:pPr>
          </w:p>
        </w:tc>
        <w:tc>
          <w:tcPr>
            <w:tcW w:w="7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620" w:type="dxa"/>
            <w:vAlign w:val="bottom"/>
          </w:tcPr>
          <w:p>
            <w:pPr>
              <w:spacing w:after="0"/>
              <w:rPr>
                <w:sz w:val="21"/>
                <w:szCs w:val="21"/>
                <w:color w:val="auto"/>
              </w:rPr>
            </w:pPr>
          </w:p>
        </w:tc>
        <w:tc>
          <w:tcPr>
            <w:tcW w:w="540" w:type="dxa"/>
            <w:vAlign w:val="bottom"/>
            <w:vMerge w:val="continue"/>
          </w:tcPr>
          <w:p>
            <w:pPr>
              <w:spacing w:after="0"/>
              <w:rPr>
                <w:sz w:val="21"/>
                <w:szCs w:val="21"/>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Basic net earnings per share</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20" w:type="dxa"/>
            <w:vAlign w:val="bottom"/>
          </w:tcPr>
          <w:p>
            <w:pPr>
              <w:spacing w:after="0"/>
              <w:rPr>
                <w:sz w:val="17"/>
                <w:szCs w:val="17"/>
                <w:color w:val="auto"/>
              </w:rPr>
            </w:pPr>
          </w:p>
        </w:tc>
        <w:tc>
          <w:tcPr>
            <w:tcW w:w="540" w:type="dxa"/>
            <w:vAlign w:val="bottom"/>
            <w:vMerge w:val="restart"/>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37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Diluted net earnings per share</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Net earnings per share amounts have been retroactively adjusted for the effect of annual stock dividends. For the six months June 30, 2018 and 2017, there were 589,822 and 330,225 of anti-dilutive employee stock option shares, respectively, that were not included in the computation of diluted net earnings per common share as their effect would be anti-dilutive.</w:t>
      </w:r>
    </w:p>
    <w:p>
      <w:pPr>
        <w:spacing w:after="0" w:line="224" w:lineRule="exact"/>
        <w:rPr>
          <w:sz w:val="20"/>
          <w:szCs w:val="20"/>
          <w:color w:val="auto"/>
        </w:rPr>
      </w:pPr>
    </w:p>
    <w:p>
      <w:pPr>
        <w:ind w:right="8000" w:firstLine="3"/>
        <w:spacing w:after="0" w:line="647" w:lineRule="auto"/>
        <w:tabs>
          <w:tab w:leader="none" w:pos="608" w:val="left"/>
        </w:tabs>
        <w:numPr>
          <w:ilvl w:val="0"/>
          <w:numId w:val="25"/>
        </w:numPr>
        <w:rPr>
          <w:rFonts w:ascii="Arial" w:cs="Arial" w:eastAsia="Arial" w:hAnsi="Arial"/>
          <w:sz w:val="15"/>
          <w:szCs w:val="15"/>
          <w:color w:val="auto"/>
        </w:rPr>
      </w:pPr>
      <w:r>
        <w:rPr>
          <w:rFonts w:ascii="Arial" w:cs="Arial" w:eastAsia="Arial" w:hAnsi="Arial"/>
          <w:sz w:val="15"/>
          <w:szCs w:val="15"/>
          <w:u w:val="single" w:color="auto"/>
          <w:color w:val="auto"/>
        </w:rPr>
        <w:t>Business Segment Information Description of Products and Services by Segment</w:t>
      </w:r>
    </w:p>
    <w:p>
      <w:pPr>
        <w:jc w:val="both"/>
        <w:spacing w:after="0" w:line="300" w:lineRule="auto"/>
        <w:rPr>
          <w:sz w:val="20"/>
          <w:szCs w:val="20"/>
          <w:color w:val="auto"/>
        </w:rPr>
      </w:pPr>
      <w:r>
        <w:rPr>
          <w:rFonts w:ascii="Arial" w:cs="Arial" w:eastAsia="Arial" w:hAnsi="Arial"/>
          <w:sz w:val="15"/>
          <w:szCs w:val="15"/>
          <w:color w:val="auto"/>
        </w:rPr>
        <w:t>The Company has three reportable business segments: life insurance, cemetery and mortuary, and mortgage. The Company's life insurance segment consists of life insurance premiums and operating expenses from the sale of insurance products sold by the Company's independent agency force and net investment income derived from investing policyholder and segment surplus funds. The Company's cemetery and mortuary segment consists of revenues and operating expenses from the sale of at-need cemetery and mortuary merchandise and services at its mortuaries and cemeteries, pre-need sales of cemetery spaces after collection of 10% or more of the purchase price and the net investment income from investing segment surplus funds. The Company's mortgage segment consists of fee income and expenses from the originations of residential mortgage loans and interest earned and interest expenses from warehousing loans held for sale.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Measurement of Segment Profit or Loss and Segment Assets</w:t>
      </w:r>
    </w:p>
    <w:p>
      <w:pPr>
        <w:spacing w:after="0" w:line="270"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The accounting policies of the reportable segments are the same as those described in the Significant Accounting Principles of the Form 10-K for the year ended December 31, 2017. Intersegment revenues are recorded at cost plus an agreed upon intercompany profit, and are eliminated upon consolidation.</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Factors Management Used to Identify the Enterprise's Reportable Segments</w:t>
      </w:r>
    </w:p>
    <w:p>
      <w:pPr>
        <w:spacing w:after="0" w:line="2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Company's reportable segments are business units that are managed separately due to the different products provided and the need to report separately to the various regulatory jurisdictions. The Company regularly reviews the quantitative thresholds and other criteria to determine when other business segments may need to be reported.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June 30, 2018 (Unaudited)</w:t>
      </w:r>
    </w:p>
    <w:p>
      <w:pPr>
        <w:spacing w:after="0" w:line="257" w:lineRule="exact"/>
        <w:rPr>
          <w:sz w:val="20"/>
          <w:szCs w:val="20"/>
          <w:color w:val="auto"/>
        </w:rPr>
      </w:pPr>
    </w:p>
    <w:p>
      <w:pPr>
        <w:ind w:left="620" w:hanging="61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Business Segment Information</w:t>
      </w:r>
      <w:r>
        <w:rPr>
          <w:rFonts w:ascii="Arial" w:cs="Arial" w:eastAsia="Arial" w:hAnsi="Arial"/>
          <w:sz w:val="17"/>
          <w:szCs w:val="17"/>
          <w:color w:val="auto"/>
        </w:rPr>
        <w:t xml:space="preserve"> (Continued)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254"/>
              <w:spacing w:after="0"/>
              <w:rPr>
                <w:sz w:val="20"/>
                <w:szCs w:val="20"/>
                <w:color w:val="auto"/>
              </w:rPr>
            </w:pPr>
            <w:r>
              <w:rPr>
                <w:rFonts w:ascii="Arial" w:cs="Arial" w:eastAsia="Arial" w:hAnsi="Arial"/>
                <w:sz w:val="17"/>
                <w:szCs w:val="17"/>
                <w:color w:val="auto"/>
              </w:rPr>
              <w:t>Life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Arial" w:cs="Arial" w:eastAsia="Arial" w:hAnsi="Arial"/>
                <w:sz w:val="17"/>
                <w:szCs w:val="17"/>
                <w:color w:val="auto"/>
                <w:w w:val="89"/>
              </w:rPr>
              <w:t>Cemetery/</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right"/>
              <w:ind w:right="102"/>
              <w:spacing w:after="0"/>
              <w:rPr>
                <w:sz w:val="20"/>
                <w:szCs w:val="20"/>
                <w:color w:val="auto"/>
              </w:rPr>
            </w:pPr>
            <w:r>
              <w:rPr>
                <w:rFonts w:ascii="Arial" w:cs="Arial" w:eastAsia="Arial" w:hAnsi="Arial"/>
                <w:sz w:val="17"/>
                <w:szCs w:val="17"/>
                <w:color w:val="auto"/>
                <w:w w:val="93"/>
              </w:rPr>
              <w:t>Intercompany</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ind w:right="54"/>
              <w:spacing w:after="0"/>
              <w:rPr>
                <w:sz w:val="20"/>
                <w:szCs w:val="20"/>
                <w:color w:val="auto"/>
              </w:rPr>
            </w:pPr>
            <w:r>
              <w:rPr>
                <w:rFonts w:ascii="Arial" w:cs="Arial" w:eastAsia="Arial" w:hAnsi="Arial"/>
                <w:sz w:val="17"/>
                <w:szCs w:val="17"/>
                <w:color w:val="auto"/>
                <w:w w:val="93"/>
              </w:rPr>
              <w:t>Insurance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54"/>
              <w:spacing w:after="0"/>
              <w:rPr>
                <w:sz w:val="20"/>
                <w:szCs w:val="20"/>
                <w:color w:val="auto"/>
              </w:rPr>
            </w:pPr>
            <w:r>
              <w:rPr>
                <w:rFonts w:ascii="Arial" w:cs="Arial" w:eastAsia="Arial" w:hAnsi="Arial"/>
                <w:sz w:val="17"/>
                <w:szCs w:val="17"/>
                <w:color w:val="auto"/>
                <w:w w:val="98"/>
              </w:rPr>
              <w:t>Mortuary</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w w:val="97"/>
              </w:rPr>
              <w:t>Mortgage</w:t>
            </w:r>
          </w:p>
        </w:tc>
        <w:tc>
          <w:tcPr>
            <w:tcW w:w="80" w:type="dxa"/>
            <w:vAlign w:val="bottom"/>
          </w:tcPr>
          <w:p>
            <w:pPr>
              <w:spacing w:after="0"/>
              <w:rPr>
                <w:sz w:val="19"/>
                <w:szCs w:val="19"/>
                <w:color w:val="auto"/>
              </w:rPr>
            </w:pPr>
          </w:p>
        </w:tc>
        <w:tc>
          <w:tcPr>
            <w:tcW w:w="1120" w:type="dxa"/>
            <w:vAlign w:val="bottom"/>
            <w:gridSpan w:val="3"/>
          </w:tcPr>
          <w:p>
            <w:pPr>
              <w:jc w:val="right"/>
              <w:ind w:right="142"/>
              <w:spacing w:after="0"/>
              <w:rPr>
                <w:sz w:val="20"/>
                <w:szCs w:val="20"/>
                <w:color w:val="auto"/>
              </w:rPr>
            </w:pPr>
            <w:r>
              <w:rPr>
                <w:rFonts w:ascii="Arial" w:cs="Arial" w:eastAsia="Arial" w:hAnsi="Arial"/>
                <w:sz w:val="17"/>
                <w:szCs w:val="17"/>
                <w:color w:val="auto"/>
              </w:rPr>
              <w:t>Eliminations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w w:val="88"/>
              </w:rPr>
              <w:t>Consolidated</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2920" w:type="dxa"/>
            <w:vAlign w:val="bottom"/>
            <w:gridSpan w:val="2"/>
          </w:tcPr>
          <w:p>
            <w:pPr>
              <w:spacing w:after="0" w:line="194" w:lineRule="exact"/>
              <w:rPr>
                <w:sz w:val="20"/>
                <w:szCs w:val="20"/>
                <w:color w:val="auto"/>
              </w:rPr>
            </w:pPr>
            <w:r>
              <w:rPr>
                <w:rFonts w:ascii="Arial" w:cs="Arial" w:eastAsia="Arial" w:hAnsi="Arial"/>
                <w:sz w:val="17"/>
                <w:szCs w:val="17"/>
                <w:color w:val="auto"/>
              </w:rPr>
              <w:t>For the Three Months Ended</w:t>
            </w:r>
          </w:p>
        </w:tc>
        <w:tc>
          <w:tcPr>
            <w:tcW w:w="4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60" w:type="dxa"/>
            <w:vAlign w:val="bottom"/>
          </w:tcPr>
          <w:p>
            <w:pPr>
              <w:spacing w:after="0"/>
              <w:rPr>
                <w:sz w:val="15"/>
                <w:szCs w:val="15"/>
                <w:color w:val="auto"/>
              </w:rPr>
            </w:pPr>
          </w:p>
        </w:tc>
        <w:tc>
          <w:tcPr>
            <w:tcW w:w="2920" w:type="dxa"/>
            <w:vAlign w:val="bottom"/>
            <w:gridSpan w:val="2"/>
          </w:tcPr>
          <w:p>
            <w:pPr>
              <w:spacing w:after="0" w:line="180" w:lineRule="exact"/>
              <w:rPr>
                <w:sz w:val="20"/>
                <w:szCs w:val="20"/>
                <w:color w:val="auto"/>
              </w:rPr>
            </w:pPr>
            <w:r>
              <w:rPr>
                <w:rFonts w:ascii="Arial" w:cs="Arial" w:eastAsia="Arial" w:hAnsi="Arial"/>
                <w:sz w:val="17"/>
                <w:szCs w:val="17"/>
                <w:color w:val="auto"/>
              </w:rPr>
              <w:t>June 30, 2018</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160" w:type="dxa"/>
            <w:vAlign w:val="bottom"/>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Revenues from external customers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29,370,509</w:t>
            </w:r>
          </w:p>
        </w:tc>
        <w:tc>
          <w:tcPr>
            <w:tcW w:w="280" w:type="dxa"/>
            <w:vAlign w:val="bottom"/>
            <w:gridSpan w:val="2"/>
            <w:shd w:val="clear" w:color="auto" w:fill="CCEEFF"/>
          </w:tcPr>
          <w:p>
            <w:pPr>
              <w:jc w:val="center"/>
              <w:ind w:left="76"/>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5,281,005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34,213,612</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68,865,126</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7"/>
                <w:szCs w:val="17"/>
                <w:color w:val="auto"/>
              </w:rPr>
            </w:pPr>
          </w:p>
        </w:tc>
        <w:tc>
          <w:tcPr>
            <w:tcW w:w="2920" w:type="dxa"/>
            <w:vAlign w:val="bottom"/>
            <w:gridSpan w:val="2"/>
          </w:tcPr>
          <w:p>
            <w:pPr>
              <w:spacing w:after="0"/>
              <w:rPr>
                <w:sz w:val="20"/>
                <w:szCs w:val="20"/>
                <w:color w:val="auto"/>
              </w:rPr>
            </w:pPr>
            <w:r>
              <w:rPr>
                <w:rFonts w:ascii="Arial" w:cs="Arial" w:eastAsia="Arial" w:hAnsi="Arial"/>
                <w:sz w:val="17"/>
                <w:szCs w:val="17"/>
                <w:color w:val="auto"/>
              </w:rPr>
              <w:t>Intersegment revenues</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987,994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107,021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132,282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2"/>
              <w:spacing w:after="0"/>
              <w:rPr>
                <w:sz w:val="20"/>
                <w:szCs w:val="20"/>
                <w:color w:val="auto"/>
              </w:rPr>
            </w:pPr>
            <w:r>
              <w:rPr>
                <w:rFonts w:ascii="Arial" w:cs="Arial" w:eastAsia="Arial" w:hAnsi="Arial"/>
                <w:sz w:val="17"/>
                <w:szCs w:val="17"/>
                <w:color w:val="auto"/>
              </w:rPr>
              <w:t>(1,227,297)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7"/>
                <w:szCs w:val="17"/>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Segment profit before income taxes</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2,937,037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2,071,666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(846,472)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4,162,231</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7"/>
                <w:szCs w:val="17"/>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 the Three Months Ended</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160" w:type="dxa"/>
            <w:vAlign w:val="bottom"/>
          </w:tcPr>
          <w:p>
            <w:pPr>
              <w:spacing w:after="0"/>
              <w:rPr>
                <w:sz w:val="14"/>
                <w:szCs w:val="14"/>
                <w:color w:val="auto"/>
              </w:rPr>
            </w:pPr>
          </w:p>
        </w:tc>
        <w:tc>
          <w:tcPr>
            <w:tcW w:w="2920" w:type="dxa"/>
            <w:vAlign w:val="bottom"/>
            <w:gridSpan w:val="2"/>
          </w:tcPr>
          <w:p>
            <w:pPr>
              <w:spacing w:after="0" w:line="168" w:lineRule="exact"/>
              <w:rPr>
                <w:sz w:val="20"/>
                <w:szCs w:val="20"/>
                <w:color w:val="auto"/>
              </w:rPr>
            </w:pPr>
            <w:r>
              <w:rPr>
                <w:rFonts w:ascii="Arial" w:cs="Arial" w:eastAsia="Arial" w:hAnsi="Arial"/>
                <w:sz w:val="17"/>
                <w:szCs w:val="17"/>
                <w:color w:val="auto"/>
              </w:rPr>
              <w:t>June 30, 2017</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160" w:type="dxa"/>
            <w:vAlign w:val="bottom"/>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Revenues from external customers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25,870,031</w:t>
            </w:r>
          </w:p>
        </w:tc>
        <w:tc>
          <w:tcPr>
            <w:tcW w:w="280" w:type="dxa"/>
            <w:vAlign w:val="bottom"/>
            <w:gridSpan w:val="2"/>
            <w:shd w:val="clear" w:color="auto" w:fill="CCEEFF"/>
          </w:tcPr>
          <w:p>
            <w:pPr>
              <w:jc w:val="center"/>
              <w:ind w:left="76"/>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3,308,665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44,133,898</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73,312,594</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7"/>
                <w:szCs w:val="17"/>
                <w:color w:val="auto"/>
              </w:rPr>
            </w:pPr>
          </w:p>
        </w:tc>
        <w:tc>
          <w:tcPr>
            <w:tcW w:w="2920" w:type="dxa"/>
            <w:vAlign w:val="bottom"/>
            <w:gridSpan w:val="2"/>
          </w:tcPr>
          <w:p>
            <w:pPr>
              <w:spacing w:after="0"/>
              <w:rPr>
                <w:sz w:val="20"/>
                <w:szCs w:val="20"/>
                <w:color w:val="auto"/>
              </w:rPr>
            </w:pPr>
            <w:r>
              <w:rPr>
                <w:rFonts w:ascii="Arial" w:cs="Arial" w:eastAsia="Arial" w:hAnsi="Arial"/>
                <w:sz w:val="17"/>
                <w:szCs w:val="17"/>
                <w:color w:val="auto"/>
              </w:rPr>
              <w:t>Intersegment revenues</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1,588,782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105,004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86,414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2"/>
              <w:spacing w:after="0"/>
              <w:rPr>
                <w:sz w:val="20"/>
                <w:szCs w:val="20"/>
                <w:color w:val="auto"/>
              </w:rPr>
            </w:pPr>
            <w:r>
              <w:rPr>
                <w:rFonts w:ascii="Arial" w:cs="Arial" w:eastAsia="Arial" w:hAnsi="Arial"/>
                <w:sz w:val="17"/>
                <w:szCs w:val="17"/>
                <w:color w:val="auto"/>
              </w:rPr>
              <w:t>(1,780,200)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7"/>
                <w:szCs w:val="17"/>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Segment profit before income taxes</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2,799,274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325,203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869,822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3,994,299</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60" w:type="dxa"/>
            <w:vAlign w:val="bottom"/>
            <w:vMerge w:val="restart"/>
          </w:tcPr>
          <w:p>
            <w:pPr>
              <w:spacing w:after="0"/>
              <w:rPr>
                <w:sz w:val="17"/>
                <w:szCs w:val="17"/>
                <w:color w:val="auto"/>
              </w:rPr>
            </w:pPr>
          </w:p>
        </w:tc>
        <w:tc>
          <w:tcPr>
            <w:tcW w:w="9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60" w:type="dxa"/>
            <w:vAlign w:val="bottom"/>
            <w:vMerge w:val="continue"/>
          </w:tcPr>
          <w:p>
            <w:pPr>
              <w:spacing w:after="0"/>
              <w:rPr>
                <w:sz w:val="17"/>
                <w:szCs w:val="17"/>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 the Six Months Ended</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160" w:type="dxa"/>
            <w:vAlign w:val="bottom"/>
          </w:tcPr>
          <w:p>
            <w:pPr>
              <w:spacing w:after="0"/>
              <w:rPr>
                <w:sz w:val="14"/>
                <w:szCs w:val="14"/>
                <w:color w:val="auto"/>
              </w:rPr>
            </w:pPr>
          </w:p>
        </w:tc>
        <w:tc>
          <w:tcPr>
            <w:tcW w:w="2920" w:type="dxa"/>
            <w:vAlign w:val="bottom"/>
            <w:gridSpan w:val="2"/>
          </w:tcPr>
          <w:p>
            <w:pPr>
              <w:spacing w:after="0" w:line="168" w:lineRule="exact"/>
              <w:rPr>
                <w:sz w:val="20"/>
                <w:szCs w:val="20"/>
                <w:color w:val="auto"/>
              </w:rPr>
            </w:pPr>
            <w:r>
              <w:rPr>
                <w:rFonts w:ascii="Arial" w:cs="Arial" w:eastAsia="Arial" w:hAnsi="Arial"/>
                <w:sz w:val="17"/>
                <w:szCs w:val="17"/>
                <w:color w:val="auto"/>
              </w:rPr>
              <w:t>June 30, 2018</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160" w:type="dxa"/>
            <w:vAlign w:val="bottom"/>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Revenues from external customers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80,236,374</w:t>
            </w:r>
          </w:p>
        </w:tc>
        <w:tc>
          <w:tcPr>
            <w:tcW w:w="280" w:type="dxa"/>
            <w:vAlign w:val="bottom"/>
            <w:gridSpan w:val="2"/>
            <w:shd w:val="clear" w:color="auto" w:fill="CCEEFF"/>
          </w:tcPr>
          <w:p>
            <w:pPr>
              <w:jc w:val="center"/>
              <w:ind w:left="76"/>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9,051,414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61,653,447</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150,941,235</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7"/>
                <w:szCs w:val="17"/>
                <w:color w:val="auto"/>
              </w:rPr>
            </w:pPr>
          </w:p>
        </w:tc>
        <w:tc>
          <w:tcPr>
            <w:tcW w:w="2920" w:type="dxa"/>
            <w:vAlign w:val="bottom"/>
            <w:gridSpan w:val="2"/>
          </w:tcPr>
          <w:p>
            <w:pPr>
              <w:spacing w:after="0"/>
              <w:rPr>
                <w:sz w:val="20"/>
                <w:szCs w:val="20"/>
                <w:color w:val="auto"/>
              </w:rPr>
            </w:pPr>
            <w:r>
              <w:rPr>
                <w:rFonts w:ascii="Arial" w:cs="Arial" w:eastAsia="Arial" w:hAnsi="Arial"/>
                <w:sz w:val="17"/>
                <w:szCs w:val="17"/>
                <w:color w:val="auto"/>
              </w:rPr>
              <w:t>Intersegment revenues</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1,807,286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216,038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265,879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2"/>
              <w:spacing w:after="0"/>
              <w:rPr>
                <w:sz w:val="20"/>
                <w:szCs w:val="20"/>
                <w:color w:val="auto"/>
              </w:rPr>
            </w:pPr>
            <w:r>
              <w:rPr>
                <w:rFonts w:ascii="Arial" w:cs="Arial" w:eastAsia="Arial" w:hAnsi="Arial"/>
                <w:sz w:val="17"/>
                <w:szCs w:val="17"/>
                <w:color w:val="auto"/>
              </w:rPr>
              <w:t>(2,289,203)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7"/>
                <w:szCs w:val="17"/>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Segment profit before income taxes</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26,648,846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2,932,429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(4,231,863)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25,349,412</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60" w:type="dxa"/>
            <w:vAlign w:val="bottom"/>
            <w:vMerge w:val="restart"/>
          </w:tcPr>
          <w:p>
            <w:pPr>
              <w:spacing w:after="0"/>
              <w:rPr>
                <w:sz w:val="17"/>
                <w:szCs w:val="17"/>
                <w:color w:val="auto"/>
              </w:rPr>
            </w:pPr>
          </w:p>
        </w:tc>
        <w:tc>
          <w:tcPr>
            <w:tcW w:w="9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60" w:type="dxa"/>
            <w:vAlign w:val="bottom"/>
            <w:vMerge w:val="continue"/>
          </w:tcPr>
          <w:p>
            <w:pPr>
              <w:spacing w:after="0"/>
              <w:rPr>
                <w:sz w:val="17"/>
                <w:szCs w:val="17"/>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Identifiable Assets</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919,115,726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95,779,077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185,865,711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w w:val="90"/>
              </w:rPr>
              <w:t>(135,776,637)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1,064,983,877</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7"/>
                <w:szCs w:val="17"/>
                <w:color w:val="auto"/>
              </w:rPr>
              <w:t>Goodwill</w:t>
            </w:r>
          </w:p>
        </w:tc>
        <w:tc>
          <w:tcPr>
            <w:tcW w:w="4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2,765,570</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2,765,570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160" w:type="dxa"/>
            <w:vAlign w:val="bottom"/>
          </w:tcPr>
          <w:p>
            <w:pPr>
              <w:spacing w:after="0"/>
              <w:rPr>
                <w:sz w:val="21"/>
                <w:szCs w:val="21"/>
                <w:color w:val="auto"/>
              </w:rPr>
            </w:pPr>
          </w:p>
        </w:tc>
        <w:tc>
          <w:tcPr>
            <w:tcW w:w="2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Assets</w:t>
            </w: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921,881,296</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95,779,077</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185,865,711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(135,776,637</w:t>
            </w:r>
          </w:p>
        </w:tc>
        <w:tc>
          <w:tcPr>
            <w:tcW w:w="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1,067,749,447</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160" w:type="dxa"/>
            <w:vAlign w:val="bottom"/>
            <w:vMerge w:val="restart"/>
          </w:tcPr>
          <w:p>
            <w:pPr>
              <w:spacing w:after="0"/>
              <w:rPr>
                <w:sz w:val="17"/>
                <w:szCs w:val="17"/>
                <w:color w:val="auto"/>
              </w:rPr>
            </w:pPr>
          </w:p>
        </w:tc>
        <w:tc>
          <w:tcPr>
            <w:tcW w:w="9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60" w:type="dxa"/>
            <w:vAlign w:val="bottom"/>
            <w:vMerge w:val="continue"/>
          </w:tcPr>
          <w:p>
            <w:pPr>
              <w:spacing w:after="0"/>
              <w:rPr>
                <w:sz w:val="17"/>
                <w:szCs w:val="17"/>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 the Six Months Ended</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160" w:type="dxa"/>
            <w:vAlign w:val="bottom"/>
          </w:tcPr>
          <w:p>
            <w:pPr>
              <w:spacing w:after="0"/>
              <w:rPr>
                <w:sz w:val="14"/>
                <w:szCs w:val="14"/>
                <w:color w:val="auto"/>
              </w:rPr>
            </w:pPr>
          </w:p>
        </w:tc>
        <w:tc>
          <w:tcPr>
            <w:tcW w:w="2920" w:type="dxa"/>
            <w:vAlign w:val="bottom"/>
            <w:gridSpan w:val="2"/>
          </w:tcPr>
          <w:p>
            <w:pPr>
              <w:spacing w:after="0" w:line="168" w:lineRule="exact"/>
              <w:rPr>
                <w:sz w:val="20"/>
                <w:szCs w:val="20"/>
                <w:color w:val="auto"/>
              </w:rPr>
            </w:pPr>
            <w:r>
              <w:rPr>
                <w:rFonts w:ascii="Arial" w:cs="Arial" w:eastAsia="Arial" w:hAnsi="Arial"/>
                <w:sz w:val="17"/>
                <w:szCs w:val="17"/>
                <w:color w:val="auto"/>
              </w:rPr>
              <w:t>June 30, 2017</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160" w:type="dxa"/>
            <w:vAlign w:val="bottom"/>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Revenues from external customers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52,034,068</w:t>
            </w:r>
          </w:p>
        </w:tc>
        <w:tc>
          <w:tcPr>
            <w:tcW w:w="280" w:type="dxa"/>
            <w:vAlign w:val="bottom"/>
            <w:gridSpan w:val="2"/>
            <w:shd w:val="clear" w:color="auto" w:fill="CCEEFF"/>
          </w:tcPr>
          <w:p>
            <w:pPr>
              <w:jc w:val="center"/>
              <w:ind w:left="76"/>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6,908,226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85,199,597</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144,141,891</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7"/>
                <w:szCs w:val="17"/>
                <w:color w:val="auto"/>
              </w:rPr>
            </w:pPr>
          </w:p>
        </w:tc>
        <w:tc>
          <w:tcPr>
            <w:tcW w:w="2920" w:type="dxa"/>
            <w:vAlign w:val="bottom"/>
            <w:gridSpan w:val="2"/>
          </w:tcPr>
          <w:p>
            <w:pPr>
              <w:spacing w:after="0"/>
              <w:rPr>
                <w:sz w:val="20"/>
                <w:szCs w:val="20"/>
                <w:color w:val="auto"/>
              </w:rPr>
            </w:pPr>
            <w:r>
              <w:rPr>
                <w:rFonts w:ascii="Arial" w:cs="Arial" w:eastAsia="Arial" w:hAnsi="Arial"/>
                <w:sz w:val="17"/>
                <w:szCs w:val="17"/>
                <w:color w:val="auto"/>
              </w:rPr>
              <w:t>Intersegment revenues</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3,050,106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206,255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182,184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2"/>
              <w:spacing w:after="0"/>
              <w:rPr>
                <w:sz w:val="20"/>
                <w:szCs w:val="20"/>
                <w:color w:val="auto"/>
              </w:rPr>
            </w:pPr>
            <w:r>
              <w:rPr>
                <w:rFonts w:ascii="Arial" w:cs="Arial" w:eastAsia="Arial" w:hAnsi="Arial"/>
                <w:sz w:val="17"/>
                <w:szCs w:val="17"/>
                <w:color w:val="auto"/>
              </w:rPr>
              <w:t>(3,438,545)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7"/>
                <w:szCs w:val="17"/>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Segment profit before income taxes</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4,282,754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1,084,114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1,525,201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6,892,069</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60" w:type="dxa"/>
            <w:vAlign w:val="bottom"/>
            <w:vMerge w:val="restart"/>
          </w:tcPr>
          <w:p>
            <w:pPr>
              <w:spacing w:after="0"/>
              <w:rPr>
                <w:sz w:val="17"/>
                <w:szCs w:val="17"/>
                <w:color w:val="auto"/>
              </w:rPr>
            </w:pPr>
          </w:p>
        </w:tc>
        <w:tc>
          <w:tcPr>
            <w:tcW w:w="9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60" w:type="dxa"/>
            <w:vAlign w:val="bottom"/>
            <w:vMerge w:val="continue"/>
          </w:tcPr>
          <w:p>
            <w:pPr>
              <w:spacing w:after="0"/>
              <w:rPr>
                <w:sz w:val="17"/>
                <w:szCs w:val="17"/>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Identifiable Assets</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839,619,710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95,058,739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170,463,229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w w:val="90"/>
              </w:rPr>
              <w:t>(131,393,058)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973,748,620</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7"/>
                <w:szCs w:val="17"/>
                <w:color w:val="auto"/>
              </w:rPr>
              <w:t>Goodwill</w:t>
            </w:r>
          </w:p>
        </w:tc>
        <w:tc>
          <w:tcPr>
            <w:tcW w:w="4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2,765,570</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2,765,570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160" w:type="dxa"/>
            <w:vAlign w:val="bottom"/>
          </w:tcPr>
          <w:p>
            <w:pPr>
              <w:spacing w:after="0"/>
              <w:rPr>
                <w:sz w:val="21"/>
                <w:szCs w:val="21"/>
                <w:color w:val="auto"/>
              </w:rPr>
            </w:pPr>
          </w:p>
        </w:tc>
        <w:tc>
          <w:tcPr>
            <w:tcW w:w="2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Assets</w:t>
            </w: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842,385,280</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95,058,739</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170,463,229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(131,393,058</w:t>
            </w:r>
          </w:p>
        </w:tc>
        <w:tc>
          <w:tcPr>
            <w:tcW w:w="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976,514,190</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1"/>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gridSpan w:val="3"/>
          </w:tcPr>
          <w:p>
            <w:pPr>
              <w:jc w:val="center"/>
              <w:ind w:right="574"/>
              <w:spacing w:after="0"/>
              <w:rPr>
                <w:sz w:val="20"/>
                <w:szCs w:val="20"/>
                <w:color w:val="auto"/>
              </w:rPr>
            </w:pPr>
            <w:r>
              <w:rPr>
                <w:rFonts w:ascii="Arial" w:cs="Arial" w:eastAsia="Arial" w:hAnsi="Arial"/>
                <w:sz w:val="16"/>
                <w:szCs w:val="16"/>
                <w:color w:val="auto"/>
                <w:w w:val="89"/>
              </w:rPr>
              <w:t>31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1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June 30, 2018 (Unaudited)</w:t>
      </w:r>
    </w:p>
    <w:p>
      <w:pPr>
        <w:spacing w:after="0" w:line="200" w:lineRule="exact"/>
        <w:rPr>
          <w:sz w:val="20"/>
          <w:szCs w:val="20"/>
          <w:color w:val="auto"/>
        </w:rPr>
      </w:pPr>
    </w:p>
    <w:p>
      <w:pPr>
        <w:spacing w:after="0" w:line="315" w:lineRule="exact"/>
        <w:rPr>
          <w:sz w:val="20"/>
          <w:szCs w:val="20"/>
          <w:color w:val="auto"/>
        </w:rPr>
      </w:pPr>
    </w:p>
    <w:p>
      <w:pPr>
        <w:ind w:left="620" w:hanging="61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Fair Value of Financial Instruments</w:t>
      </w:r>
    </w:p>
    <w:p>
      <w:pPr>
        <w:spacing w:after="0" w:line="2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GAAP defines fair value as the exchange price that would be received for an asset or paid to transfer a liability (an exit price) in the principal or most advantageous market for the asset or liability in an orderly transaction between market participants. GAAP also specifies a fair value hierarchy based upon the observability of inputs used in valuation techniques. Observable inputs (highest level) reflect market data obtained from independent sources, while unobservable inputs (lowest level) reflect internally developed market assumptions. Fair value measurements are classified under the following hierarchy:</w:t>
      </w:r>
    </w:p>
    <w:p>
      <w:pPr>
        <w:spacing w:after="0" w:line="21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Financial assets and financial liabilities whose values are based on unadjusted quoted prices for identical assets or liabilities in an active market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can access.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Financial assets and financial liabilities whose values are based on the following:</w:t>
      </w:r>
    </w:p>
    <w:p>
      <w:pPr>
        <w:spacing w:after="0" w:line="218" w:lineRule="exact"/>
        <w:rPr>
          <w:sz w:val="20"/>
          <w:szCs w:val="20"/>
          <w:color w:val="auto"/>
        </w:rPr>
      </w:pPr>
    </w:p>
    <w:p>
      <w:pPr>
        <w:ind w:left="700" w:hanging="415"/>
        <w:spacing w:after="0"/>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Quoted prices for similar assets or liabilities in active markets;</w:t>
      </w:r>
    </w:p>
    <w:p>
      <w:pPr>
        <w:spacing w:after="0" w:line="217" w:lineRule="exact"/>
        <w:rPr>
          <w:rFonts w:ascii="Arial" w:cs="Arial" w:eastAsia="Arial" w:hAnsi="Arial"/>
          <w:sz w:val="17"/>
          <w:szCs w:val="17"/>
          <w:color w:val="auto"/>
        </w:rPr>
      </w:pPr>
    </w:p>
    <w:p>
      <w:pPr>
        <w:ind w:left="700" w:hanging="419"/>
        <w:spacing w:after="0"/>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Quoted prices for identical or similar assets or liabilities in non-active markets; or</w:t>
      </w:r>
    </w:p>
    <w:p>
      <w:pPr>
        <w:spacing w:after="0" w:line="217" w:lineRule="exact"/>
        <w:rPr>
          <w:rFonts w:ascii="Arial" w:cs="Arial" w:eastAsia="Arial" w:hAnsi="Arial"/>
          <w:sz w:val="17"/>
          <w:szCs w:val="17"/>
          <w:color w:val="auto"/>
        </w:rPr>
      </w:pPr>
    </w:p>
    <w:p>
      <w:pPr>
        <w:ind w:left="700" w:hanging="415"/>
        <w:spacing w:after="0"/>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Valuation models whose inputs are observable, directly or indirectly, for substantially the full term of the asset or liability.</w:t>
      </w:r>
    </w:p>
    <w:p>
      <w:pPr>
        <w:spacing w:after="0" w:line="2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Financial assets and financial liabilities whose values are based on prices or valuation techniques that require inputs that are both unobservable and</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to the overall fair value measurement. These inputs may reflect the Company's estimates of the assumptions that market participants would use in valuing the financial assets and financial liabilities.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Company utilizes a combination of third party valuation service providers, brokers, and internal valuation models to determine fair value.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methods and assumptions were used by the Company in estimating the fair value disclosures related to significant financial instruments.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The items shown under Level 1 and Level 2 are valued as follows:</w:t>
      </w:r>
    </w:p>
    <w:p>
      <w:pPr>
        <w:spacing w:after="0" w:line="27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i w:val="1"/>
          <w:iCs w:val="1"/>
          <w:u w:val="single" w:color="auto"/>
          <w:color w:val="auto"/>
        </w:rPr>
        <w:t>Equity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values of investments in equity securities along with methods used to estimate such values are disclosed in Note 3 of the Notes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condensed consolidated financial statements.</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u w:val="single" w:color="auto"/>
          <w:color w:val="auto"/>
        </w:rPr>
        <w:t>Restricted Assets</w:t>
      </w:r>
      <w:r>
        <w:rPr>
          <w:rFonts w:ascii="Arial" w:cs="Arial" w:eastAsia="Arial" w:hAnsi="Arial"/>
          <w:sz w:val="17"/>
          <w:szCs w:val="17"/>
          <w:i w:val="1"/>
          <w:iCs w:val="1"/>
          <w:color w:val="auto"/>
        </w:rPr>
        <w:t xml:space="preserve">: </w:t>
      </w:r>
      <w:r>
        <w:rPr>
          <w:rFonts w:ascii="Arial" w:cs="Arial" w:eastAsia="Arial" w:hAnsi="Arial"/>
          <w:sz w:val="17"/>
          <w:szCs w:val="17"/>
          <w:color w:val="auto"/>
        </w:rPr>
        <w:t>A portion of these assets include mutual funds and equity securities that have quoted market prices that are used to determine fair value. Also</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are cash and cash equivalents and participations in mortgage loans. The carrying amounts reported in the accompanying condensed consolidated balance sheets for these financial instruments approximate their fair values due to their short-term nature.</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u w:val="single" w:color="auto"/>
          <w:color w:val="auto"/>
        </w:rPr>
        <w:t>Cemetery Endowment Care Trust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A portion of these assets include equity securities that have quoted market prices that are used to determine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Also included are cash and cash equivalents. The carrying amounts reported in the accompanying condensed consolidated balance sheets for these financial instruments approximate their fair values due to their short-term nature.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Call and Put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uses quoted market prices to value its call and put options.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Additionally, there were no transfers between Level 1 and Level 2 in the fair value hierarchy.</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The items shown under Level 3 are valued as follows:</w:t>
      </w:r>
    </w:p>
    <w:p>
      <w:pPr>
        <w:spacing w:after="0" w:line="270" w:lineRule="exact"/>
        <w:rPr>
          <w:sz w:val="20"/>
          <w:szCs w:val="20"/>
          <w:color w:val="auto"/>
        </w:rPr>
      </w:pPr>
    </w:p>
    <w:p>
      <w:pPr>
        <w:jc w:val="both"/>
        <w:spacing w:after="0" w:line="315" w:lineRule="auto"/>
        <w:rPr>
          <w:sz w:val="20"/>
          <w:szCs w:val="20"/>
          <w:color w:val="auto"/>
        </w:rPr>
      </w:pPr>
      <w:r>
        <w:rPr>
          <w:rFonts w:ascii="Arial" w:cs="Arial" w:eastAsia="Arial" w:hAnsi="Arial"/>
          <w:sz w:val="16"/>
          <w:szCs w:val="16"/>
          <w:i w:val="1"/>
          <w:iCs w:val="1"/>
          <w:u w:val="single" w:color="auto"/>
          <w:color w:val="auto"/>
        </w:rPr>
        <w:t>Loans Held for Sale</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elected the fair value option for all loans held for sale originated after July 1, 2017. The fair value is based on quoted market</w:t>
      </w:r>
      <w:r>
        <w:rPr>
          <w:rFonts w:ascii="Arial" w:cs="Arial" w:eastAsia="Arial" w:hAnsi="Arial"/>
          <w:sz w:val="16"/>
          <w:szCs w:val="16"/>
          <w:i w:val="1"/>
          <w:iCs w:val="1"/>
          <w:color w:val="auto"/>
        </w:rPr>
        <w:t xml:space="preserve"> </w:t>
      </w:r>
      <w:r>
        <w:rPr>
          <w:rFonts w:ascii="Arial" w:cs="Arial" w:eastAsia="Arial" w:hAnsi="Arial"/>
          <w:sz w:val="16"/>
          <w:szCs w:val="16"/>
          <w:color w:val="auto"/>
        </w:rPr>
        <w:t>prices, when available. When a quoted market price is not readily available, the Company uses the market price from its last sale of similar assets.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June 30, 2018 (Unaudited)</w:t>
      </w:r>
    </w:p>
    <w:p>
      <w:pPr>
        <w:spacing w:after="0" w:line="257" w:lineRule="exact"/>
        <w:rPr>
          <w:sz w:val="20"/>
          <w:szCs w:val="20"/>
          <w:color w:val="auto"/>
        </w:rPr>
      </w:pPr>
    </w:p>
    <w:p>
      <w:pPr>
        <w:ind w:left="620" w:hanging="61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Fair Value of Financial Instruments</w:t>
      </w:r>
      <w:r>
        <w:rPr>
          <w:rFonts w:ascii="Arial" w:cs="Arial" w:eastAsia="Arial" w:hAnsi="Arial"/>
          <w:sz w:val="17"/>
          <w:szCs w:val="17"/>
          <w:color w:val="auto"/>
        </w:rPr>
        <w:t xml:space="preserve"> (Continued)</w:t>
      </w:r>
    </w:p>
    <w:p>
      <w:pPr>
        <w:spacing w:after="0" w:line="27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u w:val="single" w:color="auto"/>
          <w:color w:val="auto"/>
        </w:rPr>
        <w:t>Loan Commitments and Forward Sale Commitments</w:t>
      </w:r>
      <w:r>
        <w:rPr>
          <w:rFonts w:ascii="Arial" w:cs="Arial" w:eastAsia="Arial" w:hAnsi="Arial"/>
          <w:sz w:val="17"/>
          <w:szCs w:val="17"/>
          <w:color w:val="auto"/>
        </w:rPr>
        <w:t>: The Company's mortgage segment enters into loan commitments with potential borrowers and forward sale</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commitments to sell loans to third-party investors. The Company also uses a hedging strategy for these transactions. A loan commitment binds the Company to lend funds to a qualified borrower at a specified interest rate and within a specified period of time, generally up to 30 days after issuance of the loan commitment. Loan commitments are defined to be derivatives under GAAP and are recognized at fair value on the consolidated balance sheets with changes in their fair values recorded in current earnings.</w:t>
      </w:r>
    </w:p>
    <w:p>
      <w:pPr>
        <w:spacing w:after="0" w:line="22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Company estimates the fair value of a loan commitment based on the change in estimated fair value of the underlying mortgage loan, quoted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Following issuance, the value of a mortgage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21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u w:val="single" w:color="auto"/>
          <w:color w:val="auto"/>
        </w:rPr>
        <w:t>Impaired Mortgage Loans Held for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believes that the fair value of these nonperforming loans will approximate the unpaid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expected to be recovered based on the fair value of the underlying collateral. For residential and commercial properties, the collateral value is estimated by obtaining an independent appraisal. The appraisal typically considers area comparables and property condition as well as potential rental income that could be generated (particularly for commercial properties). For residential construction loans, the collateral is typically incomplete, so fair value is estimated as the replacement cost using data from Marshall and Swift, a provider of building cost information to the real estate construction.</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Real Estate Held for Investment</w:t>
      </w:r>
      <w:r>
        <w:rPr>
          <w:rFonts w:ascii="Arial" w:cs="Arial" w:eastAsia="Arial" w:hAnsi="Arial"/>
          <w:sz w:val="17"/>
          <w:szCs w:val="17"/>
          <w:color w:val="auto"/>
        </w:rPr>
        <w:t>: The Company believes that in an orderly market, fair value will approximate the replacement cost of a home and the rental income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a cash flow stream for investment analysis. The Company believes the highest and best use of the properties are as income producing assets since it is the Company's intent to hold the properties as rental properties, matching the income from the investment in rental properties with the funds required for future estimated policy claims.</w:t>
      </w:r>
    </w:p>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It should be noted that for replacement cost, when determining the fair value of mortgage properties, the Company uses Marshall and Swift, a provider of building cost information to the real estate construction industry. For the investment analysis, the Company uses market data based upon its real estate operation experience and projected the present value of the net rental income over seven years. The Company also considers area comparables and property condition when determining fair value.</w:t>
      </w:r>
    </w:p>
    <w:p>
      <w:pPr>
        <w:spacing w:after="0" w:line="22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In addition to this analysis performed by the Company, the Company depreciates Real Estate Held for Investment. This depreciation reduces the book value of these properties and lessens the exposure to the Company from further deterioration in real estate values.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Mortgage Servicing Rights</w:t>
      </w:r>
      <w:r>
        <w:rPr>
          <w:rFonts w:ascii="Arial" w:cs="Arial" w:eastAsia="Arial" w:hAnsi="Arial"/>
          <w:sz w:val="17"/>
          <w:szCs w:val="17"/>
          <w:color w:val="auto"/>
        </w:rPr>
        <w:t>: The Company initially recognizes Mortgage Servicing Rights ("MSRs") at their estimated fair values derived from the net cash flows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the servicing contracts, where the Company assumes the obligation to service the loan in the sale transaction. The precise fair value of MSRs cannot be readily determined because MSRs are not actively traded in stand-alone markets. Considerable judgment is required to estimate the fair values of these assets and the exercise of such judgment can significantly affect the Company's earnings.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June 30, 2018 (Unaudited)</w:t>
      </w:r>
    </w:p>
    <w:p>
      <w:pPr>
        <w:spacing w:after="0" w:line="257" w:lineRule="exact"/>
        <w:rPr>
          <w:sz w:val="20"/>
          <w:szCs w:val="20"/>
          <w:color w:val="auto"/>
        </w:rPr>
      </w:pPr>
    </w:p>
    <w:p>
      <w:pPr>
        <w:ind w:left="620" w:hanging="61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Fair Value of Financial Instruments</w:t>
      </w:r>
      <w:r>
        <w:rPr>
          <w:rFonts w:ascii="Arial" w:cs="Arial" w:eastAsia="Arial" w:hAnsi="Arial"/>
          <w:sz w:val="17"/>
          <w:szCs w:val="17"/>
          <w:color w:val="auto"/>
        </w:rPr>
        <w:t xml:space="preserve"> (Continued)</w:t>
      </w:r>
    </w:p>
    <w:p>
      <w:pPr>
        <w:spacing w:after="0" w:line="270"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The following tables summarize Level 1, 2 and 3 financial assets and financial liabilities measured at fair value on a recurring basis by their classification in the condensed consolidated balance sheet at June 30, 2018.</w:t>
      </w:r>
    </w:p>
    <w:p>
      <w:pPr>
        <w:spacing w:after="0" w:line="200" w:lineRule="exact"/>
        <w:rPr>
          <w:sz w:val="20"/>
          <w:szCs w:val="20"/>
          <w:color w:val="auto"/>
        </w:rPr>
      </w:pPr>
    </w:p>
    <w:p>
      <w:pPr>
        <w:spacing w:after="0" w:line="269"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Quoted</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7"/>
                <w:szCs w:val="17"/>
                <w:color w:val="auto"/>
                <w:w w:val="91"/>
              </w:rPr>
              <w:t>Prices in</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7"/>
                <w:szCs w:val="17"/>
                <w:color w:val="auto"/>
                <w:w w:val="99"/>
              </w:rPr>
              <w:t>Active</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7"/>
                <w:szCs w:val="17"/>
                <w:color w:val="auto"/>
                <w:w w:val="94"/>
              </w:rPr>
              <w:t>Markets for</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6"/>
              </w:rPr>
              <w:t>Significant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7"/>
                <w:szCs w:val="17"/>
                <w:color w:val="auto"/>
                <w:w w:val="96"/>
              </w:rPr>
              <w:t>Significant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7"/>
                <w:szCs w:val="17"/>
                <w:color w:val="auto"/>
                <w:w w:val="94"/>
              </w:rPr>
              <w:t>Identical</w:t>
            </w:r>
          </w:p>
        </w:tc>
        <w:tc>
          <w:tcPr>
            <w:tcW w:w="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w w:val="96"/>
              </w:rPr>
              <w:t>Observable</w:t>
            </w:r>
          </w:p>
        </w:tc>
        <w:tc>
          <w:tcPr>
            <w:tcW w:w="1220" w:type="dxa"/>
            <w:vAlign w:val="bottom"/>
            <w:gridSpan w:val="4"/>
          </w:tcPr>
          <w:p>
            <w:pPr>
              <w:ind w:left="180"/>
              <w:spacing w:after="0"/>
              <w:rPr>
                <w:sz w:val="20"/>
                <w:szCs w:val="20"/>
                <w:color w:val="auto"/>
              </w:rPr>
            </w:pPr>
            <w:r>
              <w:rPr>
                <w:rFonts w:ascii="Arial" w:cs="Arial" w:eastAsia="Arial" w:hAnsi="Arial"/>
                <w:sz w:val="17"/>
                <w:szCs w:val="17"/>
                <w:color w:val="auto"/>
                <w:w w:val="97"/>
              </w:rPr>
              <w:t>Unobservable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7"/>
                <w:szCs w:val="17"/>
                <w:color w:val="auto"/>
                <w:w w:val="86"/>
              </w:rPr>
              <w:t>Assets</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4"/>
              </w:rPr>
              <w:t>Inputs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Inputs</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7"/>
                <w:szCs w:val="17"/>
                <w:color w:val="auto"/>
              </w:rPr>
              <w:t>Total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7"/>
                <w:szCs w:val="17"/>
                <w:color w:val="auto"/>
                <w:w w:val="96"/>
              </w:rPr>
              <w:t>(Level 1)</w:t>
            </w:r>
          </w:p>
        </w:tc>
        <w:tc>
          <w:tcPr>
            <w:tcW w:w="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6"/>
              </w:rPr>
              <w:t>(Level 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7"/>
                <w:szCs w:val="17"/>
                <w:color w:val="auto"/>
                <w:w w:val="96"/>
              </w:rPr>
              <w:t>(Level 3)</w:t>
            </w:r>
          </w:p>
        </w:tc>
        <w:tc>
          <w:tcPr>
            <w:tcW w:w="0" w:type="dxa"/>
            <w:vAlign w:val="bottom"/>
          </w:tcPr>
          <w:p>
            <w:pPr>
              <w:spacing w:after="0"/>
              <w:rPr>
                <w:sz w:val="1"/>
                <w:szCs w:val="1"/>
                <w:color w:val="auto"/>
              </w:rPr>
            </w:pPr>
          </w:p>
        </w:tc>
      </w:tr>
      <w:tr>
        <w:trPr>
          <w:trHeight w:val="207"/>
        </w:trPr>
        <w:tc>
          <w:tcPr>
            <w:tcW w:w="4800" w:type="dxa"/>
            <w:vAlign w:val="bottom"/>
            <w:gridSpan w:val="2"/>
          </w:tcPr>
          <w:p>
            <w:pPr>
              <w:spacing w:after="0"/>
              <w:rPr>
                <w:sz w:val="20"/>
                <w:szCs w:val="20"/>
                <w:color w:val="auto"/>
              </w:rPr>
            </w:pPr>
            <w:r>
              <w:rPr>
                <w:rFonts w:ascii="Arial" w:cs="Arial" w:eastAsia="Arial" w:hAnsi="Arial"/>
                <w:sz w:val="17"/>
                <w:szCs w:val="17"/>
                <w:color w:val="auto"/>
              </w:rPr>
              <w:t>Assets accounted for at fair value on a recurring basis</w:t>
            </w: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Common stock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6,078,767</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6,078,767</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54"/>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7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7"/>
                <w:szCs w:val="17"/>
                <w:color w:val="auto"/>
              </w:rPr>
              <w:t>Total equity securities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6,078,767</w:t>
            </w:r>
          </w:p>
        </w:tc>
        <w:tc>
          <w:tcPr>
            <w:tcW w:w="10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6,078,767</w:t>
            </w:r>
          </w:p>
        </w:tc>
        <w:tc>
          <w:tcPr>
            <w:tcW w:w="100" w:type="dxa"/>
            <w:vAlign w:val="bottom"/>
          </w:tcPr>
          <w:p>
            <w:pPr>
              <w:spacing w:after="0"/>
              <w:rPr>
                <w:sz w:val="17"/>
                <w:szCs w:val="17"/>
                <w:color w:val="auto"/>
              </w:rPr>
            </w:pPr>
          </w:p>
        </w:tc>
        <w:tc>
          <w:tcPr>
            <w:tcW w:w="900" w:type="dxa"/>
            <w:vAlign w:val="bottom"/>
            <w:gridSpan w:val="2"/>
          </w:tcPr>
          <w:p>
            <w:pPr>
              <w:jc w:val="right"/>
              <w:ind w:right="654"/>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47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7"/>
                <w:szCs w:val="17"/>
                <w:color w:val="auto"/>
              </w:rPr>
              <w:t>Loans held for sale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w w:val="88"/>
              </w:rPr>
              <w:t>170,538,537</w:t>
            </w:r>
          </w:p>
        </w:tc>
        <w:tc>
          <w:tcPr>
            <w:tcW w:w="10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654"/>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w w:val="90"/>
              </w:rPr>
              <w:t>170,538,537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Restricted assets (1)</w:t>
            </w: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809,002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809,002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7"/>
                <w:szCs w:val="17"/>
                <w:color w:val="auto"/>
              </w:rPr>
              <w:t>Cemetery perpetual care trust investments (1)</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683,233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683,233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Derivatives - loan commitments (2)</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2,935,344</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2,935,344</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 w:type="dxa"/>
            <w:vAlign w:val="bottom"/>
            <w:vMerge w:val="continue"/>
          </w:tcPr>
          <w:p>
            <w:pPr>
              <w:spacing w:after="0"/>
              <w:rPr>
                <w:sz w:val="21"/>
                <w:szCs w:val="21"/>
                <w:color w:val="auto"/>
              </w:rPr>
            </w:pPr>
          </w:p>
        </w:tc>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assets accounted for at fair value on a recurring basis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8"/>
              </w:rPr>
              <w:t>181,044,883</w:t>
            </w: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7,571,002</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54"/>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173,473,881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7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Liabilities accounted for at fair value on a recurring basis</w:t>
            </w: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7"/>
                <w:szCs w:val="17"/>
                <w:color w:val="auto"/>
              </w:rPr>
              <w:t>Derivatives - call options (3)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(28,325)</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(28,325)</w:t>
            </w:r>
          </w:p>
        </w:tc>
        <w:tc>
          <w:tcPr>
            <w:tcW w:w="900" w:type="dxa"/>
            <w:vAlign w:val="bottom"/>
            <w:gridSpan w:val="2"/>
          </w:tcPr>
          <w:p>
            <w:pPr>
              <w:jc w:val="right"/>
              <w:ind w:right="654"/>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Derivatives - put options (3)</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(57,591)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(57,591)</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7"/>
                <w:szCs w:val="17"/>
                <w:color w:val="auto"/>
              </w:rPr>
              <w:t>Derivatives - loan commitments (3)</w:t>
            </w: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(495,628)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(495,628)</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78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7"/>
                <w:szCs w:val="17"/>
                <w:color w:val="auto"/>
              </w:rPr>
              <w:t>Total liabilities accounted for at fair value on a recurring basis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(581,544)</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(85,916)</w:t>
            </w:r>
          </w:p>
        </w:tc>
        <w:tc>
          <w:tcPr>
            <w:tcW w:w="900" w:type="dxa"/>
            <w:vAlign w:val="bottom"/>
            <w:gridSpan w:val="2"/>
          </w:tcPr>
          <w:p>
            <w:pPr>
              <w:jc w:val="right"/>
              <w:ind w:right="654"/>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(495,628)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400" w:hanging="253"/>
        <w:spacing w:after="0"/>
        <w:tabs>
          <w:tab w:leader="none" w:pos="14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Mutual funds and equity securities</w:t>
      </w:r>
    </w:p>
    <w:p>
      <w:pPr>
        <w:spacing w:after="0" w:line="23" w:lineRule="exact"/>
        <w:rPr>
          <w:rFonts w:ascii="Arial" w:cs="Arial" w:eastAsia="Arial" w:hAnsi="Arial"/>
          <w:sz w:val="17"/>
          <w:szCs w:val="17"/>
          <w:color w:val="auto"/>
        </w:rPr>
      </w:pPr>
    </w:p>
    <w:p>
      <w:pPr>
        <w:ind w:left="1400" w:hanging="253"/>
        <w:spacing w:after="0"/>
        <w:tabs>
          <w:tab w:leader="none" w:pos="14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Included in other assets on the condensed consolidated balance sheets</w:t>
      </w:r>
    </w:p>
    <w:p>
      <w:pPr>
        <w:spacing w:after="0" w:line="11" w:lineRule="exact"/>
        <w:rPr>
          <w:rFonts w:ascii="Arial" w:cs="Arial" w:eastAsia="Arial" w:hAnsi="Arial"/>
          <w:sz w:val="17"/>
          <w:szCs w:val="17"/>
          <w:color w:val="auto"/>
        </w:rPr>
      </w:pPr>
    </w:p>
    <w:p>
      <w:pPr>
        <w:ind w:left="1400" w:hanging="253"/>
        <w:spacing w:after="0"/>
        <w:tabs>
          <w:tab w:leader="none" w:pos="14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Included in other liabilities and accrued expenses on the condensed consolidated balance sheets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summary of changes in the condensed consolidated balance sheet line items measured using level 3 inputs: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7"/>
                <w:szCs w:val="17"/>
                <w:color w:val="auto"/>
                <w:w w:val="92"/>
              </w:rPr>
              <w:t>Net Loan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w w:val="99"/>
              </w:rPr>
              <w:t>Loans Held</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060" w:type="dxa"/>
            <w:vAlign w:val="bottom"/>
            <w:gridSpan w:val="4"/>
          </w:tcPr>
          <w:p>
            <w:pPr>
              <w:jc w:val="center"/>
              <w:ind w:right="100"/>
              <w:spacing w:after="0"/>
              <w:rPr>
                <w:sz w:val="20"/>
                <w:szCs w:val="20"/>
                <w:color w:val="auto"/>
              </w:rPr>
            </w:pPr>
            <w:r>
              <w:rPr>
                <w:rFonts w:ascii="Arial" w:cs="Arial" w:eastAsia="Arial" w:hAnsi="Arial"/>
                <w:sz w:val="17"/>
                <w:szCs w:val="17"/>
                <w:color w:val="auto"/>
                <w:w w:val="91"/>
              </w:rPr>
              <w:t>Commitments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rPr>
              <w:t>for Sale</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Balance - December 31, 2017</w:t>
            </w:r>
          </w:p>
        </w:tc>
        <w:tc>
          <w:tcPr>
            <w:tcW w:w="2880" w:type="dxa"/>
            <w:vAlign w:val="bottom"/>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1,996,589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133,414,188</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Originations</w:t>
            </w:r>
          </w:p>
        </w:tc>
        <w:tc>
          <w:tcPr>
            <w:tcW w:w="2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w w:val="95"/>
              </w:rPr>
              <w:t>1,095,373,146</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Sales</w:t>
            </w:r>
          </w:p>
        </w:tc>
        <w:tc>
          <w:tcPr>
            <w:tcW w:w="2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9"/>
              </w:rPr>
              <w:t>(1,097,388,896)</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Transfer to mortgage loans held for investment</w:t>
            </w:r>
          </w:p>
        </w:tc>
        <w:tc>
          <w:tcPr>
            <w:tcW w:w="2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(139,464)</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Total gains (losses):</w:t>
            </w:r>
          </w:p>
        </w:tc>
        <w:tc>
          <w:tcPr>
            <w:tcW w:w="2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7"/>
                <w:szCs w:val="17"/>
                <w:color w:val="auto"/>
              </w:rPr>
              <w:t>Included in earnings (1)</w:t>
            </w:r>
          </w:p>
        </w:tc>
        <w:tc>
          <w:tcPr>
            <w:tcW w:w="2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443,127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39,279,563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6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3000" w:type="dxa"/>
            <w:vAlign w:val="bottom"/>
            <w:gridSpan w:val="3"/>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60" w:type="dxa"/>
            <w:vAlign w:val="bottom"/>
            <w:vMerge w:val="continue"/>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Balance - June 30, 2018</w:t>
            </w:r>
          </w:p>
        </w:tc>
        <w:tc>
          <w:tcPr>
            <w:tcW w:w="300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2,439,716</w:t>
            </w:r>
          </w:p>
        </w:tc>
        <w:tc>
          <w:tcPr>
            <w:tcW w:w="10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170,538,537</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00" w:type="dxa"/>
            <w:vAlign w:val="bottom"/>
            <w:gridSpan w:val="3"/>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8020" w:type="dxa"/>
            <w:vAlign w:val="bottom"/>
            <w:gridSpan w:val="5"/>
          </w:tcPr>
          <w:p>
            <w:pPr>
              <w:ind w:left="1140"/>
              <w:spacing w:after="0"/>
              <w:rPr>
                <w:sz w:val="20"/>
                <w:szCs w:val="20"/>
                <w:color w:val="auto"/>
              </w:rPr>
            </w:pPr>
            <w:r>
              <w:rPr>
                <w:rFonts w:ascii="Arial" w:cs="Arial" w:eastAsia="Arial" w:hAnsi="Arial"/>
                <w:sz w:val="17"/>
                <w:szCs w:val="17"/>
                <w:color w:val="auto"/>
                <w:w w:val="91"/>
              </w:rPr>
              <w:t>(1) As a component of Mortgage fee income on the condensed consolidated statements of earnings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2"/>
        </w:trPr>
        <w:tc>
          <w:tcPr>
            <w:tcW w:w="11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880" w:type="dxa"/>
            <w:vAlign w:val="bottom"/>
          </w:tcPr>
          <w:p>
            <w:pPr>
              <w:jc w:val="right"/>
              <w:ind w:right="2043"/>
              <w:spacing w:after="0"/>
              <w:rPr>
                <w:sz w:val="20"/>
                <w:szCs w:val="20"/>
                <w:color w:val="auto"/>
              </w:rPr>
            </w:pPr>
            <w:r>
              <w:rPr>
                <w:rFonts w:ascii="Arial" w:cs="Arial" w:eastAsia="Arial" w:hAnsi="Arial"/>
                <w:sz w:val="14"/>
                <w:szCs w:val="14"/>
                <w:color w:val="auto"/>
              </w:rPr>
              <w:t>34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160" w:type="dxa"/>
            <w:vAlign w:val="bottom"/>
            <w:tcBorders>
              <w:bottom w:val="single" w:sz="8" w:color="auto"/>
            </w:tcBorders>
          </w:tcPr>
          <w:p>
            <w:pPr>
              <w:spacing w:after="0"/>
              <w:rPr>
                <w:sz w:val="3"/>
                <w:szCs w:val="3"/>
                <w:color w:val="auto"/>
              </w:rPr>
            </w:pPr>
          </w:p>
        </w:tc>
        <w:tc>
          <w:tcPr>
            <w:tcW w:w="386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June 30, 2018 (Unaudited)</w:t>
      </w:r>
    </w:p>
    <w:p>
      <w:pPr>
        <w:spacing w:after="0" w:line="257" w:lineRule="exact"/>
        <w:rPr>
          <w:sz w:val="20"/>
          <w:szCs w:val="20"/>
          <w:color w:val="auto"/>
        </w:rPr>
      </w:pPr>
    </w:p>
    <w:p>
      <w:pPr>
        <w:ind w:left="620" w:hanging="617"/>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Fair Value of Financial Instruments</w:t>
      </w:r>
      <w:r>
        <w:rPr>
          <w:rFonts w:ascii="Arial" w:cs="Arial" w:eastAsia="Arial" w:hAnsi="Arial"/>
          <w:sz w:val="17"/>
          <w:szCs w:val="17"/>
          <w:color w:val="auto"/>
        </w:rPr>
        <w:t xml:space="preserve"> (Continued)</w:t>
      </w:r>
    </w:p>
    <w:p>
      <w:pPr>
        <w:spacing w:after="0" w:line="270"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The following tables summarize Level 1, 2 and 3 financial assets and financial liabilities measured at fair value on a nonrecurring basis by their classification in the condensed consolidated balance sheet at June 30, 2018.</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w w:val="89"/>
              </w:rPr>
              <w:t>Quoted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w w:val="88"/>
              </w:rPr>
              <w:t>Prices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w w:val="99"/>
              </w:rPr>
              <w:t>in Active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6"/>
              </w:rPr>
              <w:t>Significant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96"/>
              </w:rPr>
              <w:t>Significant</w:t>
            </w:r>
          </w:p>
        </w:tc>
        <w:tc>
          <w:tcPr>
            <w:tcW w:w="8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94"/>
              </w:rPr>
              <w:t>Markets for</w:t>
            </w:r>
          </w:p>
        </w:tc>
        <w:tc>
          <w:tcPr>
            <w:tcW w:w="1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1"/>
              </w:rPr>
              <w:t>Observable</w:t>
            </w:r>
          </w:p>
        </w:tc>
        <w:tc>
          <w:tcPr>
            <w:tcW w:w="60" w:type="dxa"/>
            <w:vAlign w:val="bottom"/>
          </w:tcPr>
          <w:p>
            <w:pPr>
              <w:spacing w:after="0"/>
              <w:rPr>
                <w:sz w:val="17"/>
                <w:szCs w:val="17"/>
                <w:color w:val="auto"/>
              </w:rPr>
            </w:pPr>
          </w:p>
        </w:tc>
        <w:tc>
          <w:tcPr>
            <w:tcW w:w="1140" w:type="dxa"/>
            <w:vAlign w:val="bottom"/>
            <w:gridSpan w:val="3"/>
          </w:tcPr>
          <w:p>
            <w:pPr>
              <w:jc w:val="center"/>
              <w:ind w:left="94"/>
              <w:spacing w:after="0"/>
              <w:rPr>
                <w:sz w:val="20"/>
                <w:szCs w:val="20"/>
                <w:color w:val="auto"/>
              </w:rPr>
            </w:pPr>
            <w:r>
              <w:rPr>
                <w:rFonts w:ascii="Arial" w:cs="Arial" w:eastAsia="Arial" w:hAnsi="Arial"/>
                <w:sz w:val="17"/>
                <w:szCs w:val="17"/>
                <w:color w:val="auto"/>
                <w:w w:val="91"/>
              </w:rPr>
              <w:t>Unobservable</w:t>
            </w:r>
          </w:p>
        </w:tc>
        <w:tc>
          <w:tcPr>
            <w:tcW w:w="8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w w:val="94"/>
              </w:rPr>
              <w:t>Identical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w w:val="86"/>
              </w:rPr>
              <w:t>Assets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Inputs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ind w:right="14"/>
              <w:spacing w:after="0"/>
              <w:rPr>
                <w:sz w:val="20"/>
                <w:szCs w:val="20"/>
                <w:color w:val="auto"/>
              </w:rPr>
            </w:pPr>
            <w:r>
              <w:rPr>
                <w:rFonts w:ascii="Arial" w:cs="Arial" w:eastAsia="Arial" w:hAnsi="Arial"/>
                <w:sz w:val="17"/>
                <w:szCs w:val="17"/>
                <w:color w:val="auto"/>
                <w:w w:val="90"/>
              </w:rPr>
              <w:t>Inputs</w:t>
            </w:r>
          </w:p>
        </w:tc>
        <w:tc>
          <w:tcPr>
            <w:tcW w:w="8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Total</w:t>
            </w:r>
          </w:p>
        </w:tc>
        <w:tc>
          <w:tcPr>
            <w:tcW w:w="200" w:type="dxa"/>
            <w:vAlign w:val="bottom"/>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(Level 1)</w:t>
            </w:r>
          </w:p>
        </w:tc>
        <w:tc>
          <w:tcPr>
            <w:tcW w:w="1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(Level 2)</w:t>
            </w:r>
          </w:p>
        </w:tc>
        <w:tc>
          <w:tcPr>
            <w:tcW w:w="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(Level 3)</w:t>
            </w:r>
          </w:p>
        </w:tc>
        <w:tc>
          <w:tcPr>
            <w:tcW w:w="80" w:type="dxa"/>
            <w:vAlign w:val="bottom"/>
          </w:tcPr>
          <w:p>
            <w:pPr>
              <w:spacing w:after="0"/>
              <w:rPr>
                <w:sz w:val="19"/>
                <w:szCs w:val="19"/>
                <w:color w:val="auto"/>
              </w:rPr>
            </w:pPr>
          </w:p>
        </w:tc>
      </w:tr>
      <w:tr>
        <w:trPr>
          <w:trHeight w:val="207"/>
        </w:trPr>
        <w:tc>
          <w:tcPr>
            <w:tcW w:w="4840" w:type="dxa"/>
            <w:vAlign w:val="bottom"/>
            <w:gridSpan w:val="2"/>
          </w:tcPr>
          <w:p>
            <w:pPr>
              <w:spacing w:after="0"/>
              <w:rPr>
                <w:sz w:val="20"/>
                <w:szCs w:val="20"/>
                <w:color w:val="auto"/>
              </w:rPr>
            </w:pPr>
            <w:r>
              <w:rPr>
                <w:rFonts w:ascii="Arial" w:cs="Arial" w:eastAsia="Arial" w:hAnsi="Arial"/>
                <w:sz w:val="17"/>
                <w:szCs w:val="17"/>
                <w:color w:val="auto"/>
              </w:rPr>
              <w:t>Assets accounted for at fair value on a nonrecurring basis</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Impaired mortgage loans held for investment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1,698,262</w:t>
            </w:r>
          </w:p>
        </w:tc>
        <w:tc>
          <w:tcPr>
            <w:tcW w:w="1000" w:type="dxa"/>
            <w:vAlign w:val="bottom"/>
            <w:gridSpan w:val="2"/>
            <w:shd w:val="clear" w:color="auto" w:fill="CCEEFF"/>
          </w:tcPr>
          <w:p>
            <w:pPr>
              <w:jc w:val="right"/>
              <w:ind w:right="63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74"/>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1,698,262</w:t>
            </w:r>
          </w:p>
        </w:tc>
        <w:tc>
          <w:tcPr>
            <w:tcW w:w="8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Impaired real estate held for investment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999,465</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999,465</w:t>
            </w:r>
          </w:p>
        </w:tc>
        <w:tc>
          <w:tcPr>
            <w:tcW w:w="8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Mortgage servicing rights additions</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1,364,733</w:t>
            </w: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1,364,733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Total assets accounted for at fair value on a nonrecurring basis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4,062,460</w:t>
            </w:r>
          </w:p>
        </w:tc>
        <w:tc>
          <w:tcPr>
            <w:tcW w:w="1000" w:type="dxa"/>
            <w:vAlign w:val="bottom"/>
            <w:gridSpan w:val="2"/>
          </w:tcPr>
          <w:p>
            <w:pPr>
              <w:jc w:val="right"/>
              <w:ind w:right="634"/>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674"/>
              <w:spacing w:after="0"/>
              <w:rPr>
                <w:sz w:val="20"/>
                <w:szCs w:val="20"/>
                <w:color w:val="auto"/>
              </w:rPr>
            </w:pPr>
            <w:r>
              <w:rPr>
                <w:rFonts w:ascii="Arial" w:cs="Arial" w:eastAsia="Arial" w:hAnsi="Arial"/>
                <w:sz w:val="17"/>
                <w:szCs w:val="17"/>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4,062,460</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6" w:lineRule="exact"/>
        <w:rPr>
          <w:sz w:val="20"/>
          <w:szCs w:val="20"/>
          <w:color w:val="auto"/>
        </w:rPr>
      </w:pPr>
    </w:p>
    <w:p>
      <w:pPr>
        <w:ind w:right="400"/>
        <w:spacing w:after="0" w:line="283" w:lineRule="auto"/>
        <w:rPr>
          <w:sz w:val="20"/>
          <w:szCs w:val="20"/>
          <w:color w:val="auto"/>
        </w:rPr>
      </w:pPr>
      <w:r>
        <w:rPr>
          <w:rFonts w:ascii="Arial" w:cs="Arial" w:eastAsia="Arial" w:hAnsi="Arial"/>
          <w:sz w:val="17"/>
          <w:szCs w:val="17"/>
          <w:color w:val="auto"/>
        </w:rPr>
        <w:t>The following tables summarize Level 1, 2 and 3 financial assets and financial liabilities measured at fair value on a recurring basis by their classification in the condensed consolidated balance sheet at December 31, 2017.</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Quoted</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7"/>
                <w:szCs w:val="17"/>
                <w:color w:val="auto"/>
                <w:w w:val="91"/>
              </w:rPr>
              <w:t>Prices in</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7"/>
                <w:szCs w:val="17"/>
                <w:color w:val="auto"/>
                <w:w w:val="99"/>
              </w:rPr>
              <w:t>Active</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7"/>
                <w:szCs w:val="17"/>
                <w:color w:val="auto"/>
                <w:w w:val="94"/>
              </w:rPr>
              <w:t>Markets for</w:t>
            </w: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6"/>
              </w:rPr>
              <w:t>Significant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7"/>
                <w:szCs w:val="17"/>
                <w:color w:val="auto"/>
                <w:w w:val="96"/>
              </w:rPr>
              <w:t>Significant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7"/>
                <w:szCs w:val="17"/>
                <w:color w:val="auto"/>
                <w:w w:val="94"/>
              </w:rPr>
              <w:t>Identical</w:t>
            </w: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1"/>
              </w:rPr>
              <w:t>Observable</w:t>
            </w:r>
          </w:p>
        </w:tc>
        <w:tc>
          <w:tcPr>
            <w:tcW w:w="60" w:type="dxa"/>
            <w:vAlign w:val="bottom"/>
          </w:tcPr>
          <w:p>
            <w:pPr>
              <w:spacing w:after="0"/>
              <w:rPr>
                <w:sz w:val="17"/>
                <w:szCs w:val="17"/>
                <w:color w:val="auto"/>
              </w:rPr>
            </w:pPr>
          </w:p>
        </w:tc>
        <w:tc>
          <w:tcPr>
            <w:tcW w:w="1220" w:type="dxa"/>
            <w:vAlign w:val="bottom"/>
            <w:gridSpan w:val="4"/>
          </w:tcPr>
          <w:p>
            <w:pPr>
              <w:ind w:left="180"/>
              <w:spacing w:after="0"/>
              <w:rPr>
                <w:sz w:val="20"/>
                <w:szCs w:val="20"/>
                <w:color w:val="auto"/>
              </w:rPr>
            </w:pPr>
            <w:r>
              <w:rPr>
                <w:rFonts w:ascii="Arial" w:cs="Arial" w:eastAsia="Arial" w:hAnsi="Arial"/>
                <w:sz w:val="17"/>
                <w:szCs w:val="17"/>
                <w:color w:val="auto"/>
                <w:w w:val="97"/>
              </w:rPr>
              <w:t>Unobservable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7"/>
                <w:szCs w:val="17"/>
                <w:color w:val="auto"/>
                <w:w w:val="86"/>
              </w:rPr>
              <w:t>Assets</w:t>
            </w: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Inputs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Inputs</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7"/>
                <w:szCs w:val="17"/>
                <w:color w:val="auto"/>
              </w:rPr>
              <w:t>Total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7"/>
                <w:szCs w:val="17"/>
                <w:color w:val="auto"/>
                <w:w w:val="96"/>
              </w:rPr>
              <w:t>(Level 1)</w:t>
            </w:r>
          </w:p>
        </w:tc>
        <w:tc>
          <w:tcPr>
            <w:tcW w:w="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6"/>
              </w:rPr>
              <w:t>(Level 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7"/>
                <w:szCs w:val="17"/>
                <w:color w:val="auto"/>
                <w:w w:val="96"/>
              </w:rPr>
              <w:t>(Level 3)</w:t>
            </w:r>
          </w:p>
        </w:tc>
        <w:tc>
          <w:tcPr>
            <w:tcW w:w="0" w:type="dxa"/>
            <w:vAlign w:val="bottom"/>
          </w:tcPr>
          <w:p>
            <w:pPr>
              <w:spacing w:after="0"/>
              <w:rPr>
                <w:sz w:val="1"/>
                <w:szCs w:val="1"/>
                <w:color w:val="auto"/>
              </w:rPr>
            </w:pPr>
          </w:p>
        </w:tc>
      </w:tr>
      <w:tr>
        <w:trPr>
          <w:trHeight w:val="207"/>
        </w:trPr>
        <w:tc>
          <w:tcPr>
            <w:tcW w:w="4800" w:type="dxa"/>
            <w:vAlign w:val="bottom"/>
            <w:gridSpan w:val="2"/>
          </w:tcPr>
          <w:p>
            <w:pPr>
              <w:spacing w:after="0"/>
              <w:rPr>
                <w:sz w:val="20"/>
                <w:szCs w:val="20"/>
                <w:color w:val="auto"/>
              </w:rPr>
            </w:pPr>
            <w:r>
              <w:rPr>
                <w:rFonts w:ascii="Arial" w:cs="Arial" w:eastAsia="Arial" w:hAnsi="Arial"/>
                <w:sz w:val="17"/>
                <w:szCs w:val="17"/>
                <w:color w:val="auto"/>
              </w:rPr>
              <w:t>Assets accounted for at fair value on a recurring basis</w:t>
            </w: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Common stock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6,037,855</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6,037,855</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74"/>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7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7"/>
                <w:szCs w:val="17"/>
                <w:color w:val="auto"/>
              </w:rPr>
              <w:t>Total equity securities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6,037,855</w:t>
            </w:r>
          </w:p>
        </w:tc>
        <w:tc>
          <w:tcPr>
            <w:tcW w:w="1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6,037,855</w:t>
            </w:r>
          </w:p>
        </w:tc>
        <w:tc>
          <w:tcPr>
            <w:tcW w:w="100" w:type="dxa"/>
            <w:vAlign w:val="bottom"/>
          </w:tcPr>
          <w:p>
            <w:pPr>
              <w:spacing w:after="0"/>
              <w:rPr>
                <w:sz w:val="17"/>
                <w:szCs w:val="17"/>
                <w:color w:val="auto"/>
              </w:rPr>
            </w:pPr>
          </w:p>
        </w:tc>
        <w:tc>
          <w:tcPr>
            <w:tcW w:w="920" w:type="dxa"/>
            <w:vAlign w:val="bottom"/>
            <w:gridSpan w:val="2"/>
          </w:tcPr>
          <w:p>
            <w:pPr>
              <w:jc w:val="right"/>
              <w:ind w:right="674"/>
              <w:spacing w:after="0"/>
              <w:rPr>
                <w:sz w:val="20"/>
                <w:szCs w:val="20"/>
                <w:color w:val="auto"/>
              </w:rPr>
            </w:pPr>
            <w:r>
              <w:rPr>
                <w:rFonts w:ascii="Arial" w:cs="Arial" w:eastAsia="Arial" w:hAnsi="Arial"/>
                <w:sz w:val="17"/>
                <w:szCs w:val="17"/>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47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7"/>
                <w:szCs w:val="17"/>
                <w:color w:val="auto"/>
              </w:rPr>
              <w:t>Loans held for sale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133,414,188</w:t>
            </w:r>
          </w:p>
        </w:tc>
        <w:tc>
          <w:tcPr>
            <w:tcW w:w="1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674"/>
              <w:spacing w:after="0"/>
              <w:rPr>
                <w:sz w:val="20"/>
                <w:szCs w:val="20"/>
                <w:color w:val="auto"/>
              </w:rPr>
            </w:pPr>
            <w:r>
              <w:rPr>
                <w:rFonts w:ascii="Arial" w:cs="Arial" w:eastAsia="Arial" w:hAnsi="Arial"/>
                <w:sz w:val="17"/>
                <w:szCs w:val="17"/>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w w:val="90"/>
              </w:rPr>
              <w:t>133,414,188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Restricted assets (1)</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809,958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809,958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7"/>
                <w:szCs w:val="17"/>
                <w:color w:val="auto"/>
              </w:rPr>
              <w:t>Cemetery perpetual care trust investments (1)</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682,315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682,315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Derivatives - loan commitments (2)</w:t>
            </w: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2,032,782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2,032,782</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 w:type="dxa"/>
            <w:vAlign w:val="bottom"/>
            <w:vMerge w:val="continue"/>
          </w:tcPr>
          <w:p>
            <w:pPr>
              <w:spacing w:after="0"/>
              <w:rPr>
                <w:sz w:val="21"/>
                <w:szCs w:val="21"/>
                <w:color w:val="auto"/>
              </w:rPr>
            </w:pPr>
          </w:p>
        </w:tc>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assets accounted for at fair value on a recurring basis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9,562,910</w:t>
            </w:r>
          </w:p>
        </w:tc>
        <w:tc>
          <w:tcPr>
            <w:tcW w:w="1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7,530,128</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74"/>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2,032,782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8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Liabilities accounted for at fair value on a recurring basis</w:t>
            </w: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Derivatives - call options (3)</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(64,689)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(64,689)</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7"/>
                <w:szCs w:val="17"/>
                <w:color w:val="auto"/>
              </w:rPr>
              <w:t>Derivatives - put options (3)</w:t>
            </w:r>
          </w:p>
        </w:tc>
        <w:tc>
          <w:tcPr>
            <w:tcW w:w="8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(20,568)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(20,568)</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Derivatives - loan commitments (3)</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(36,193)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(36,193)</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7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liabilities accounted for at fair value on a recurring basis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(121,450)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(85,257)</w:t>
            </w:r>
          </w:p>
        </w:tc>
        <w:tc>
          <w:tcPr>
            <w:tcW w:w="920" w:type="dxa"/>
            <w:vAlign w:val="bottom"/>
            <w:gridSpan w:val="2"/>
            <w:shd w:val="clear" w:color="auto" w:fill="CCEEFF"/>
          </w:tcPr>
          <w:p>
            <w:pPr>
              <w:jc w:val="right"/>
              <w:ind w:right="674"/>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400" w:hanging="253"/>
        <w:spacing w:after="0"/>
        <w:tabs>
          <w:tab w:leader="none" w:pos="14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Mutual funds and equity securities</w:t>
      </w:r>
    </w:p>
    <w:p>
      <w:pPr>
        <w:spacing w:after="0" w:line="23" w:lineRule="exact"/>
        <w:rPr>
          <w:rFonts w:ascii="Arial" w:cs="Arial" w:eastAsia="Arial" w:hAnsi="Arial"/>
          <w:sz w:val="17"/>
          <w:szCs w:val="17"/>
          <w:color w:val="auto"/>
        </w:rPr>
      </w:pPr>
    </w:p>
    <w:p>
      <w:pPr>
        <w:ind w:left="1400" w:hanging="253"/>
        <w:spacing w:after="0"/>
        <w:tabs>
          <w:tab w:leader="none" w:pos="14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Included in other assets on the condensed consolidated balance sheets</w:t>
      </w:r>
    </w:p>
    <w:p>
      <w:pPr>
        <w:spacing w:after="0" w:line="11" w:lineRule="exact"/>
        <w:rPr>
          <w:rFonts w:ascii="Arial" w:cs="Arial" w:eastAsia="Arial" w:hAnsi="Arial"/>
          <w:sz w:val="17"/>
          <w:szCs w:val="17"/>
          <w:color w:val="auto"/>
        </w:rPr>
      </w:pPr>
    </w:p>
    <w:p>
      <w:pPr>
        <w:ind w:left="1400" w:hanging="253"/>
        <w:spacing w:after="0"/>
        <w:tabs>
          <w:tab w:leader="none" w:pos="14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Included in other liabilities and accrued expenses on the condensed consolidated balance sheets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June 30, 2018 (Unaudited)</w:t>
      </w:r>
    </w:p>
    <w:p>
      <w:pPr>
        <w:spacing w:after="0" w:line="205" w:lineRule="exact"/>
        <w:rPr>
          <w:sz w:val="20"/>
          <w:szCs w:val="20"/>
          <w:color w:val="auto"/>
        </w:rPr>
      </w:pPr>
    </w:p>
    <w:p>
      <w:pPr>
        <w:ind w:left="620" w:hanging="61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Fair Value of Financial Instruments</w:t>
      </w:r>
      <w:r>
        <w:rPr>
          <w:rFonts w:ascii="Arial" w:cs="Arial" w:eastAsia="Arial" w:hAnsi="Arial"/>
          <w:sz w:val="17"/>
          <w:szCs w:val="17"/>
          <w:color w:val="auto"/>
        </w:rPr>
        <w:t xml:space="preserve"> (Continued)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summary of changes in the condensed consolidated balance sheet line items measured using level 3 inputs: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7"/>
                <w:szCs w:val="17"/>
                <w:color w:val="auto"/>
                <w:w w:val="93"/>
              </w:rPr>
              <w:t>Bank Loan</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w w:val="95"/>
              </w:rPr>
              <w:t>Net Loan</w:t>
            </w:r>
          </w:p>
        </w:tc>
        <w:tc>
          <w:tcPr>
            <w:tcW w:w="1060" w:type="dxa"/>
            <w:vAlign w:val="bottom"/>
            <w:gridSpan w:val="3"/>
          </w:tcPr>
          <w:p>
            <w:pPr>
              <w:spacing w:after="0"/>
              <w:rPr>
                <w:sz w:val="20"/>
                <w:szCs w:val="20"/>
                <w:color w:val="auto"/>
              </w:rPr>
            </w:pPr>
            <w:r>
              <w:rPr>
                <w:rFonts w:ascii="Arial" w:cs="Arial" w:eastAsia="Arial" w:hAnsi="Arial"/>
                <w:sz w:val="17"/>
                <w:szCs w:val="17"/>
                <w:color w:val="auto"/>
              </w:rPr>
              <w:t>Interest Rate</w:t>
            </w:r>
          </w:p>
        </w:tc>
        <w:tc>
          <w:tcPr>
            <w:tcW w:w="1240" w:type="dxa"/>
            <w:vAlign w:val="bottom"/>
            <w:gridSpan w:val="3"/>
          </w:tcPr>
          <w:p>
            <w:pPr>
              <w:jc w:val="right"/>
              <w:ind w:right="140"/>
              <w:spacing w:after="0"/>
              <w:rPr>
                <w:sz w:val="20"/>
                <w:szCs w:val="20"/>
                <w:color w:val="auto"/>
              </w:rPr>
            </w:pPr>
            <w:r>
              <w:rPr>
                <w:rFonts w:ascii="Arial" w:cs="Arial" w:eastAsia="Arial" w:hAnsi="Arial"/>
                <w:sz w:val="17"/>
                <w:szCs w:val="17"/>
                <w:color w:val="auto"/>
                <w:w w:val="97"/>
              </w:rPr>
              <w:t>Loans Held for</w:t>
            </w:r>
          </w:p>
        </w:tc>
      </w:tr>
      <w:tr>
        <w:trPr>
          <w:trHeight w:val="225"/>
        </w:trPr>
        <w:tc>
          <w:tcPr>
            <w:tcW w:w="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160" w:type="dxa"/>
            <w:vAlign w:val="bottom"/>
            <w:gridSpan w:val="3"/>
          </w:tcPr>
          <w:p>
            <w:pPr>
              <w:spacing w:after="0"/>
              <w:rPr>
                <w:sz w:val="20"/>
                <w:szCs w:val="20"/>
                <w:color w:val="auto"/>
              </w:rPr>
            </w:pPr>
            <w:r>
              <w:rPr>
                <w:rFonts w:ascii="Arial" w:cs="Arial" w:eastAsia="Arial" w:hAnsi="Arial"/>
                <w:sz w:val="17"/>
                <w:szCs w:val="17"/>
                <w:color w:val="auto"/>
              </w:rPr>
              <w:t>Commitments</w:t>
            </w:r>
          </w:p>
        </w:tc>
        <w:tc>
          <w:tcPr>
            <w:tcW w:w="140" w:type="dxa"/>
            <w:vAlign w:val="bottom"/>
          </w:tcPr>
          <w:p>
            <w:pPr>
              <w:spacing w:after="0"/>
              <w:rPr>
                <w:sz w:val="19"/>
                <w:szCs w:val="19"/>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7"/>
                <w:szCs w:val="17"/>
                <w:color w:val="auto"/>
                <w:w w:val="90"/>
              </w:rPr>
              <w:t>Swaps</w:t>
            </w:r>
          </w:p>
        </w:tc>
        <w:tc>
          <w:tcPr>
            <w:tcW w:w="10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7"/>
                <w:szCs w:val="17"/>
                <w:color w:val="auto"/>
              </w:rPr>
              <w:t>Sale</w:t>
            </w:r>
          </w:p>
        </w:tc>
      </w:tr>
      <w:tr>
        <w:trPr>
          <w:trHeight w:val="207"/>
        </w:trPr>
        <w:tc>
          <w:tcPr>
            <w:tcW w:w="2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Balance - December 31, 2016</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6,809,332</w:t>
            </w: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(3,308)</w:t>
            </w: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Arial" w:cs="Arial" w:eastAsia="Arial" w:hAnsi="Arial"/>
                <w:sz w:val="17"/>
                <w:szCs w:val="17"/>
                <w:color w:val="auto"/>
              </w:rPr>
              <w:t>Originations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w w:val="95"/>
              </w:rPr>
              <w:t>1,233,683,666</w:t>
            </w:r>
          </w:p>
        </w:tc>
        <w:tc>
          <w:tcPr>
            <w:tcW w:w="8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Sales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9"/>
              </w:rPr>
              <w:t>(1,151,031,388)</w:t>
            </w:r>
          </w:p>
        </w:tc>
      </w:tr>
      <w:tr>
        <w:trPr>
          <w:trHeight w:val="207"/>
        </w:trPr>
        <w:tc>
          <w:tcPr>
            <w:tcW w:w="2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Arial" w:cs="Arial" w:eastAsia="Arial" w:hAnsi="Arial"/>
                <w:sz w:val="17"/>
                <w:szCs w:val="17"/>
                <w:color w:val="auto"/>
              </w:rPr>
              <w:t>Total gains (losses):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Included in earnings (1)</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(4,812,743)</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50,761,910</w:t>
            </w:r>
          </w:p>
        </w:tc>
        <w:tc>
          <w:tcPr>
            <w:tcW w:w="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7"/>
                <w:szCs w:val="17"/>
                <w:color w:val="auto"/>
              </w:rPr>
              <w:t>Included in other comprehensive income (2)</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3,308</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r>
      <w:tr>
        <w:trPr>
          <w:trHeight w:val="247"/>
        </w:trPr>
        <w:tc>
          <w:tcPr>
            <w:tcW w:w="20" w:type="dxa"/>
            <w:vAlign w:val="bottom"/>
          </w:tcPr>
          <w:p>
            <w:pPr>
              <w:spacing w:after="0"/>
              <w:rPr>
                <w:sz w:val="21"/>
                <w:szCs w:val="21"/>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 December 31, 2017</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1,996,589</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133,414,188</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4" w:lineRule="exact"/>
        <w:rPr>
          <w:sz w:val="20"/>
          <w:szCs w:val="20"/>
          <w:color w:val="auto"/>
        </w:rPr>
      </w:pPr>
    </w:p>
    <w:p>
      <w:pPr>
        <w:ind w:left="1400" w:hanging="253"/>
        <w:spacing w:after="0"/>
        <w:tabs>
          <w:tab w:leader="none" w:pos="14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As a component of Mortgage fee income on the condensed consolidated statements of earnings</w:t>
      </w:r>
    </w:p>
    <w:p>
      <w:pPr>
        <w:spacing w:after="0" w:line="23" w:lineRule="exact"/>
        <w:rPr>
          <w:rFonts w:ascii="Arial" w:cs="Arial" w:eastAsia="Arial" w:hAnsi="Arial"/>
          <w:sz w:val="17"/>
          <w:szCs w:val="17"/>
          <w:color w:val="auto"/>
        </w:rPr>
      </w:pPr>
    </w:p>
    <w:p>
      <w:pPr>
        <w:ind w:left="1140" w:right="2620" w:firstLine="7"/>
        <w:spacing w:after="0" w:line="267" w:lineRule="auto"/>
        <w:tabs>
          <w:tab w:leader="none" w:pos="1384" w:val="left"/>
        </w:tabs>
        <w:numPr>
          <w:ilvl w:val="0"/>
          <w:numId w:val="35"/>
        </w:numPr>
        <w:rPr>
          <w:rFonts w:ascii="Arial" w:cs="Arial" w:eastAsia="Arial" w:hAnsi="Arial"/>
          <w:sz w:val="17"/>
          <w:szCs w:val="17"/>
          <w:color w:val="auto"/>
        </w:rPr>
      </w:pPr>
      <w:r>
        <w:rPr>
          <w:rFonts w:ascii="Arial" w:cs="Arial" w:eastAsia="Arial" w:hAnsi="Arial"/>
          <w:sz w:val="17"/>
          <w:szCs w:val="17"/>
          <w:color w:val="auto"/>
        </w:rPr>
        <w:t>As a component of Unrealized gains on derivative instruments on the condensed consolidated statements of comprehensive income</w:t>
      </w:r>
    </w:p>
    <w:p>
      <w:pPr>
        <w:spacing w:after="0" w:line="200" w:lineRule="exact"/>
        <w:rPr>
          <w:sz w:val="20"/>
          <w:szCs w:val="20"/>
          <w:color w:val="auto"/>
        </w:rPr>
      </w:pPr>
    </w:p>
    <w:p>
      <w:pPr>
        <w:spacing w:after="0" w:line="283"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The following tables summarize Level 1, 2 and 3 financial assets and financial liabilities measured at fair value on a nonrecurring basis by their classification in the condensed consolidated balance sheet at December 31, 2017.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54"/>
              <w:spacing w:after="0"/>
              <w:rPr>
                <w:sz w:val="20"/>
                <w:szCs w:val="20"/>
                <w:color w:val="auto"/>
              </w:rPr>
            </w:pPr>
            <w:r>
              <w:rPr>
                <w:rFonts w:ascii="Arial" w:cs="Arial" w:eastAsia="Arial" w:hAnsi="Arial"/>
                <w:sz w:val="17"/>
                <w:szCs w:val="17"/>
                <w:color w:val="auto"/>
                <w:w w:val="89"/>
              </w:rPr>
              <w:t>Quoted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54"/>
              <w:spacing w:after="0"/>
              <w:rPr>
                <w:sz w:val="20"/>
                <w:szCs w:val="20"/>
                <w:color w:val="auto"/>
              </w:rPr>
            </w:pPr>
            <w:r>
              <w:rPr>
                <w:rFonts w:ascii="Arial" w:cs="Arial" w:eastAsia="Arial" w:hAnsi="Arial"/>
                <w:sz w:val="17"/>
                <w:szCs w:val="17"/>
                <w:color w:val="auto"/>
                <w:w w:val="88"/>
              </w:rPr>
              <w:t>Prices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34"/>
              <w:spacing w:after="0"/>
              <w:rPr>
                <w:sz w:val="20"/>
                <w:szCs w:val="20"/>
                <w:color w:val="auto"/>
              </w:rPr>
            </w:pPr>
            <w:r>
              <w:rPr>
                <w:rFonts w:ascii="Arial" w:cs="Arial" w:eastAsia="Arial" w:hAnsi="Arial"/>
                <w:sz w:val="17"/>
                <w:szCs w:val="17"/>
                <w:color w:val="auto"/>
                <w:w w:val="99"/>
              </w:rPr>
              <w:t>in Active</w:t>
            </w:r>
          </w:p>
        </w:tc>
        <w:tc>
          <w:tcPr>
            <w:tcW w:w="18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96"/>
              </w:rPr>
              <w:t>Significant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96"/>
              </w:rPr>
              <w:t>Significant</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94"/>
              </w:rPr>
              <w:t>Markets for</w:t>
            </w:r>
          </w:p>
        </w:tc>
        <w:tc>
          <w:tcPr>
            <w:tcW w:w="18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91"/>
              </w:rPr>
              <w:t>Observable</w:t>
            </w:r>
          </w:p>
        </w:tc>
        <w:tc>
          <w:tcPr>
            <w:tcW w:w="1140" w:type="dxa"/>
            <w:vAlign w:val="bottom"/>
            <w:gridSpan w:val="3"/>
          </w:tcPr>
          <w:p>
            <w:pPr>
              <w:jc w:val="center"/>
              <w:ind w:left="94"/>
              <w:spacing w:after="0"/>
              <w:rPr>
                <w:sz w:val="20"/>
                <w:szCs w:val="20"/>
                <w:color w:val="auto"/>
              </w:rPr>
            </w:pPr>
            <w:r>
              <w:rPr>
                <w:rFonts w:ascii="Arial" w:cs="Arial" w:eastAsia="Arial" w:hAnsi="Arial"/>
                <w:sz w:val="17"/>
                <w:szCs w:val="17"/>
                <w:color w:val="auto"/>
                <w:w w:val="91"/>
              </w:rPr>
              <w:t>Unobservable</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34"/>
              <w:spacing w:after="0"/>
              <w:rPr>
                <w:sz w:val="20"/>
                <w:szCs w:val="20"/>
                <w:color w:val="auto"/>
              </w:rPr>
            </w:pPr>
            <w:r>
              <w:rPr>
                <w:rFonts w:ascii="Arial" w:cs="Arial" w:eastAsia="Arial" w:hAnsi="Arial"/>
                <w:sz w:val="17"/>
                <w:szCs w:val="17"/>
                <w:color w:val="auto"/>
                <w:w w:val="94"/>
              </w:rPr>
              <w:t>Identical</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34"/>
              <w:spacing w:after="0"/>
              <w:rPr>
                <w:sz w:val="20"/>
                <w:szCs w:val="20"/>
                <w:color w:val="auto"/>
              </w:rPr>
            </w:pPr>
            <w:r>
              <w:rPr>
                <w:rFonts w:ascii="Arial" w:cs="Arial" w:eastAsia="Arial" w:hAnsi="Arial"/>
                <w:sz w:val="17"/>
                <w:szCs w:val="17"/>
                <w:color w:val="auto"/>
                <w:w w:val="86"/>
              </w:rPr>
              <w:t>Assets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34"/>
              <w:spacing w:after="0"/>
              <w:rPr>
                <w:sz w:val="20"/>
                <w:szCs w:val="20"/>
                <w:color w:val="auto"/>
              </w:rPr>
            </w:pPr>
            <w:r>
              <w:rPr>
                <w:rFonts w:ascii="Arial" w:cs="Arial" w:eastAsia="Arial" w:hAnsi="Arial"/>
                <w:sz w:val="17"/>
                <w:szCs w:val="17"/>
                <w:color w:val="auto"/>
                <w:w w:val="94"/>
              </w:rPr>
              <w:t>Inputs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ind w:right="14"/>
              <w:spacing w:after="0"/>
              <w:rPr>
                <w:sz w:val="20"/>
                <w:szCs w:val="20"/>
                <w:color w:val="auto"/>
              </w:rPr>
            </w:pPr>
            <w:r>
              <w:rPr>
                <w:rFonts w:ascii="Arial" w:cs="Arial" w:eastAsia="Arial" w:hAnsi="Arial"/>
                <w:sz w:val="17"/>
                <w:szCs w:val="17"/>
                <w:color w:val="auto"/>
                <w:w w:val="90"/>
              </w:rPr>
              <w:t>Inputs</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6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Total</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color w:val="auto"/>
                <w:w w:val="96"/>
              </w:rPr>
              <w:t>(Level 1)</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color w:val="auto"/>
                <w:w w:val="96"/>
              </w:rPr>
              <w:t>(Level 2)</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(Level 3)</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5540" w:type="dxa"/>
            <w:vAlign w:val="bottom"/>
            <w:gridSpan w:val="2"/>
          </w:tcPr>
          <w:p>
            <w:pPr>
              <w:ind w:left="1140"/>
              <w:spacing w:after="0"/>
              <w:rPr>
                <w:sz w:val="20"/>
                <w:szCs w:val="20"/>
                <w:color w:val="auto"/>
              </w:rPr>
            </w:pPr>
            <w:r>
              <w:rPr>
                <w:rFonts w:ascii="Arial" w:cs="Arial" w:eastAsia="Arial" w:hAnsi="Arial"/>
                <w:sz w:val="17"/>
                <w:szCs w:val="17"/>
                <w:color w:val="auto"/>
              </w:rPr>
              <w:t>Assets accounted for at fair value on a nonrecurring basis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7"/>
                <w:szCs w:val="17"/>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Impaired mortgage loans held for investment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1,363,440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1,363,440</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7"/>
                <w:szCs w:val="17"/>
                <w:color w:val="auto"/>
              </w:rPr>
            </w:pPr>
          </w:p>
        </w:tc>
        <w:tc>
          <w:tcPr>
            <w:tcW w:w="4380" w:type="dxa"/>
            <w:vAlign w:val="bottom"/>
          </w:tcPr>
          <w:p>
            <w:pPr>
              <w:spacing w:after="0"/>
              <w:rPr>
                <w:sz w:val="20"/>
                <w:szCs w:val="20"/>
                <w:color w:val="auto"/>
              </w:rPr>
            </w:pPr>
            <w:r>
              <w:rPr>
                <w:rFonts w:ascii="Arial" w:cs="Arial" w:eastAsia="Arial" w:hAnsi="Arial"/>
                <w:sz w:val="17"/>
                <w:szCs w:val="17"/>
                <w:color w:val="auto"/>
              </w:rPr>
              <w:t>Mortgage servicing rights additions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6,085,352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6,085,352</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7"/>
                <w:szCs w:val="17"/>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Impaired real estate held for investment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8,500,000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8,500,000</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7"/>
                <w:szCs w:val="17"/>
                <w:color w:val="auto"/>
              </w:rPr>
              <w:t>Impaired fixed maturity securities, held to maturity</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426,984</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426,984</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60" w:type="dxa"/>
            <w:vAlign w:val="bottom"/>
            <w:vMerge w:val="restart"/>
          </w:tcPr>
          <w:p>
            <w:pPr>
              <w:spacing w:after="0"/>
              <w:rPr>
                <w:sz w:val="17"/>
                <w:szCs w:val="17"/>
                <w:color w:val="auto"/>
              </w:rPr>
            </w:pPr>
          </w:p>
        </w:tc>
        <w:tc>
          <w:tcPr>
            <w:tcW w:w="43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60" w:type="dxa"/>
            <w:vAlign w:val="bottom"/>
            <w:vMerge w:val="continue"/>
          </w:tcPr>
          <w:p>
            <w:pPr>
              <w:spacing w:after="0"/>
              <w:rPr>
                <w:sz w:val="17"/>
                <w:szCs w:val="17"/>
                <w:color w:val="auto"/>
              </w:rPr>
            </w:pPr>
          </w:p>
        </w:tc>
        <w:tc>
          <w:tcPr>
            <w:tcW w:w="4380" w:type="dxa"/>
            <w:vAlign w:val="bottom"/>
          </w:tcPr>
          <w:p>
            <w:pPr>
              <w:spacing w:after="0"/>
              <w:rPr>
                <w:sz w:val="20"/>
                <w:szCs w:val="20"/>
                <w:color w:val="auto"/>
              </w:rPr>
            </w:pPr>
            <w:r>
              <w:rPr>
                <w:rFonts w:ascii="Arial" w:cs="Arial" w:eastAsia="Arial" w:hAnsi="Arial"/>
                <w:sz w:val="17"/>
                <w:szCs w:val="17"/>
                <w:color w:val="auto"/>
                <w:w w:val="91"/>
              </w:rPr>
              <w:t>Total assets accounted for at fair value on a nonrecurring basis</w:t>
            </w: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16,375,776</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426,984</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15,948,792</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40" w:type="dxa"/>
            <w:vAlign w:val="bottom"/>
            <w:vMerge w:val="restart"/>
          </w:tcPr>
          <w:p>
            <w:pPr>
              <w:jc w:val="right"/>
              <w:ind w:right="120"/>
              <w:spacing w:after="0"/>
              <w:rPr>
                <w:sz w:val="20"/>
                <w:szCs w:val="20"/>
                <w:color w:val="auto"/>
              </w:rPr>
            </w:pPr>
            <w:r>
              <w:rPr>
                <w:rFonts w:ascii="Arial" w:cs="Arial" w:eastAsia="Arial" w:hAnsi="Arial"/>
                <w:sz w:val="14"/>
                <w:szCs w:val="14"/>
                <w:color w:val="auto"/>
              </w:rPr>
              <w:t>36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1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160" w:type="dxa"/>
            <w:vAlign w:val="bottom"/>
            <w:tcBorders>
              <w:bottom w:val="single" w:sz="8" w:color="auto"/>
            </w:tcBorders>
          </w:tcPr>
          <w:p>
            <w:pPr>
              <w:spacing w:after="0"/>
              <w:rPr>
                <w:sz w:val="3"/>
                <w:szCs w:val="3"/>
                <w:color w:val="auto"/>
              </w:rPr>
            </w:pPr>
          </w:p>
        </w:tc>
        <w:tc>
          <w:tcPr>
            <w:tcW w:w="43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June 30, 2018 (Unaudited)</w:t>
      </w:r>
    </w:p>
    <w:p>
      <w:pPr>
        <w:spacing w:after="0" w:line="205" w:lineRule="exact"/>
        <w:rPr>
          <w:sz w:val="20"/>
          <w:szCs w:val="20"/>
          <w:color w:val="auto"/>
        </w:rPr>
      </w:pPr>
    </w:p>
    <w:p>
      <w:pPr>
        <w:ind w:left="620" w:hanging="61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Fair Value of Financial Instruments</w:t>
      </w:r>
      <w:r>
        <w:rPr>
          <w:rFonts w:ascii="Arial" w:cs="Arial" w:eastAsia="Arial" w:hAnsi="Arial"/>
          <w:sz w:val="17"/>
          <w:szCs w:val="17"/>
          <w:color w:val="auto"/>
        </w:rPr>
        <w:t xml:space="preserve"> (Continued)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Instruments Carried at Other Than Fair Value</w:t>
      </w:r>
    </w:p>
    <w:p>
      <w:pPr>
        <w:spacing w:after="0" w:line="27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ASC 825, Financial Instruments, requires disclosure of fair value information about financial instruments, whether or not recognized in the balance sheet, for which it is practicable to estimate that value.</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Management uses its best judgment in estimating the fair value of the Company's financial instruments; however, there are inherent limitations in any estimation technique. Therefore, for substantially all financial instruments, the fair value estimates presented herein are not necessarily indicative of the amounts the Company could have realized in a sales transaction at June 30, 2018 and December 31, 2017.</w:t>
      </w:r>
    </w:p>
    <w:p>
      <w:pPr>
        <w:spacing w:after="0" w:line="22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carrying values and estimated fair values for such financial instruments, and their corresponding placement in the fair value hierarchy, are summarized as follows as of June 30, 2018:</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7"/>
                <w:szCs w:val="17"/>
                <w:color w:val="auto"/>
              </w:rPr>
              <w:t>Carrying</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Estimated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7"/>
                <w:szCs w:val="17"/>
                <w:color w:val="auto"/>
              </w:rPr>
              <w:t>Value</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Level 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ind w:right="134"/>
              <w:spacing w:after="0"/>
              <w:rPr>
                <w:sz w:val="20"/>
                <w:szCs w:val="20"/>
                <w:color w:val="auto"/>
              </w:rPr>
            </w:pPr>
            <w:r>
              <w:rPr>
                <w:rFonts w:ascii="Arial" w:cs="Arial" w:eastAsia="Arial" w:hAnsi="Arial"/>
                <w:sz w:val="17"/>
                <w:szCs w:val="17"/>
                <w:color w:val="auto"/>
              </w:rPr>
              <w:t>Level 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Level 3</w:t>
            </w:r>
          </w:p>
        </w:tc>
        <w:tc>
          <w:tcPr>
            <w:tcW w:w="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Fair Value</w:t>
            </w:r>
          </w:p>
        </w:tc>
        <w:tc>
          <w:tcPr>
            <w:tcW w:w="0" w:type="dxa"/>
            <w:vAlign w:val="bottom"/>
          </w:tcPr>
          <w:p>
            <w:pPr>
              <w:spacing w:after="0"/>
              <w:rPr>
                <w:sz w:val="1"/>
                <w:szCs w:val="1"/>
                <w:color w:val="auto"/>
              </w:rPr>
            </w:pPr>
          </w:p>
        </w:tc>
      </w:tr>
      <w:tr>
        <w:trPr>
          <w:trHeight w:val="168"/>
        </w:trPr>
        <w:tc>
          <w:tcPr>
            <w:tcW w:w="460" w:type="dxa"/>
            <w:vAlign w:val="bottom"/>
            <w:tcBorders>
              <w:bottom w:val="single" w:sz="8" w:color="auto"/>
            </w:tcBorders>
            <w:gridSpan w:val="2"/>
          </w:tcPr>
          <w:p>
            <w:pPr>
              <w:spacing w:after="0" w:line="168" w:lineRule="exact"/>
              <w:rPr>
                <w:sz w:val="20"/>
                <w:szCs w:val="20"/>
                <w:color w:val="auto"/>
              </w:rPr>
            </w:pPr>
            <w:r>
              <w:rPr>
                <w:rFonts w:ascii="Arial" w:cs="Arial" w:eastAsia="Arial" w:hAnsi="Arial"/>
                <w:sz w:val="17"/>
                <w:szCs w:val="17"/>
                <w:color w:val="auto"/>
                <w:w w:val="86"/>
              </w:rPr>
              <w:t>Assets</w:t>
            </w:r>
          </w:p>
        </w:tc>
        <w:tc>
          <w:tcPr>
            <w:tcW w:w="284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Fixed maturity securities held to maturity</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$ 218,409,812</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574"/>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192,836,479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30,687,179</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9"/>
              </w:rPr>
              <w:t>$ 223,523,658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80" w:type="dxa"/>
            <w:vAlign w:val="bottom"/>
            <w:gridSpan w:val="3"/>
          </w:tcPr>
          <w:p>
            <w:pPr>
              <w:spacing w:after="0"/>
              <w:rPr>
                <w:sz w:val="20"/>
                <w:szCs w:val="20"/>
                <w:color w:val="auto"/>
              </w:rPr>
            </w:pPr>
            <w:r>
              <w:rPr>
                <w:rFonts w:ascii="Arial" w:cs="Arial" w:eastAsia="Arial" w:hAnsi="Arial"/>
                <w:sz w:val="17"/>
                <w:szCs w:val="17"/>
                <w:color w:val="auto"/>
              </w:rPr>
              <w:t>Mortgage loans held for investment:</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Residential</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85,733,141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90,610,146</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90,610,146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80" w:type="dxa"/>
            <w:vAlign w:val="bottom"/>
            <w:gridSpan w:val="3"/>
          </w:tcPr>
          <w:p>
            <w:pPr>
              <w:spacing w:after="0"/>
              <w:rPr>
                <w:sz w:val="20"/>
                <w:szCs w:val="20"/>
                <w:color w:val="auto"/>
              </w:rPr>
            </w:pPr>
            <w:r>
              <w:rPr>
                <w:rFonts w:ascii="Arial" w:cs="Arial" w:eastAsia="Arial" w:hAnsi="Arial"/>
                <w:sz w:val="17"/>
                <w:szCs w:val="17"/>
                <w:color w:val="auto"/>
              </w:rPr>
              <w:t>Residential construction</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62,883,246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62,883,246</w:t>
            </w: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62,883,246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Commercial</w:t>
            </w: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44,452,450</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45,438,216</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45,438,216</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80" w:type="dxa"/>
            <w:vAlign w:val="bottom"/>
            <w:gridSpan w:val="3"/>
          </w:tcPr>
          <w:p>
            <w:pPr>
              <w:spacing w:after="0"/>
              <w:rPr>
                <w:sz w:val="20"/>
                <w:szCs w:val="20"/>
                <w:color w:val="auto"/>
              </w:rPr>
            </w:pPr>
            <w:r>
              <w:rPr>
                <w:rFonts w:ascii="Arial" w:cs="Arial" w:eastAsia="Arial" w:hAnsi="Arial"/>
                <w:sz w:val="17"/>
                <w:szCs w:val="17"/>
                <w:color w:val="auto"/>
              </w:rPr>
              <w:t>Mortgage loans held for investment, net</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$ 193,068,837</w:t>
            </w:r>
          </w:p>
        </w:tc>
        <w:tc>
          <w:tcPr>
            <w:tcW w:w="100" w:type="dxa"/>
            <w:vAlign w:val="bottom"/>
          </w:tcPr>
          <w:p>
            <w:pPr>
              <w:spacing w:after="0"/>
              <w:rPr>
                <w:sz w:val="17"/>
                <w:szCs w:val="17"/>
                <w:color w:val="auto"/>
              </w:rPr>
            </w:pPr>
          </w:p>
        </w:tc>
        <w:tc>
          <w:tcPr>
            <w:tcW w:w="820" w:type="dxa"/>
            <w:vAlign w:val="bottom"/>
            <w:gridSpan w:val="2"/>
          </w:tcPr>
          <w:p>
            <w:pPr>
              <w:jc w:val="right"/>
              <w:ind w:right="574"/>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w w:val="95"/>
              </w:rPr>
              <w:t>198,931,608</w:t>
            </w: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w w:val="99"/>
              </w:rPr>
              <w:t>$ 198,931,608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Policy loans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6,310,614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6,310,614</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6,310,614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80" w:type="dxa"/>
            <w:vAlign w:val="bottom"/>
            <w:gridSpan w:val="3"/>
          </w:tcPr>
          <w:p>
            <w:pPr>
              <w:spacing w:after="0"/>
              <w:rPr>
                <w:sz w:val="20"/>
                <w:szCs w:val="20"/>
                <w:color w:val="auto"/>
              </w:rPr>
            </w:pPr>
            <w:r>
              <w:rPr>
                <w:rFonts w:ascii="Arial" w:cs="Arial" w:eastAsia="Arial" w:hAnsi="Arial"/>
                <w:sz w:val="17"/>
                <w:szCs w:val="17"/>
                <w:color w:val="auto"/>
              </w:rPr>
              <w:t>Insurance assignments, net (1)</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31,693,933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31,693,933</w:t>
            </w: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31,693,933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Restricted assets (2)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1,159,629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1,169,967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1,169,967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80" w:type="dxa"/>
            <w:vAlign w:val="bottom"/>
            <w:gridSpan w:val="3"/>
          </w:tcPr>
          <w:p>
            <w:pPr>
              <w:spacing w:after="0"/>
              <w:rPr>
                <w:sz w:val="20"/>
                <w:szCs w:val="20"/>
                <w:color w:val="auto"/>
              </w:rPr>
            </w:pPr>
            <w:r>
              <w:rPr>
                <w:rFonts w:ascii="Arial" w:cs="Arial" w:eastAsia="Arial" w:hAnsi="Arial"/>
                <w:sz w:val="17"/>
                <w:szCs w:val="17"/>
                <w:color w:val="auto"/>
              </w:rPr>
              <w:t>Restricted assets (3)</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1,500,000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1,500,000</w:t>
            </w: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1,500,000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4"/>
              </w:rPr>
              <w:t>Cemetery perpetual care trust investments (2)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963,646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961,655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961,655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80" w:type="dxa"/>
            <w:vAlign w:val="bottom"/>
            <w:gridSpan w:val="3"/>
          </w:tcPr>
          <w:p>
            <w:pPr>
              <w:spacing w:after="0"/>
              <w:rPr>
                <w:sz w:val="20"/>
                <w:szCs w:val="20"/>
                <w:color w:val="auto"/>
              </w:rPr>
            </w:pPr>
            <w:r>
              <w:rPr>
                <w:rFonts w:ascii="Arial" w:cs="Arial" w:eastAsia="Arial" w:hAnsi="Arial"/>
                <w:sz w:val="17"/>
                <w:szCs w:val="17"/>
                <w:color w:val="auto"/>
              </w:rPr>
              <w:t>Mortgage servicing rights, net</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21,117,937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31,037,960</w:t>
            </w: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31,037,960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3280" w:type="dxa"/>
            <w:vAlign w:val="bottom"/>
            <w:gridSpan w:val="3"/>
          </w:tcPr>
          <w:p>
            <w:pPr>
              <w:spacing w:after="0" w:line="168" w:lineRule="exact"/>
              <w:rPr>
                <w:sz w:val="20"/>
                <w:szCs w:val="20"/>
                <w:color w:val="auto"/>
              </w:rPr>
            </w:pPr>
            <w:r>
              <w:rPr>
                <w:rFonts w:ascii="Arial" w:cs="Arial" w:eastAsia="Arial" w:hAnsi="Arial"/>
                <w:sz w:val="17"/>
                <w:szCs w:val="17"/>
                <w:color w:val="auto"/>
              </w:rPr>
              <w:t>Liabilities</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Bank and other loans payable</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$(208,777,621)</w:t>
            </w:r>
          </w:p>
        </w:tc>
        <w:tc>
          <w:tcPr>
            <w:tcW w:w="820" w:type="dxa"/>
            <w:vAlign w:val="bottom"/>
            <w:gridSpan w:val="2"/>
            <w:shd w:val="clear" w:color="auto" w:fill="CCEEFF"/>
          </w:tcPr>
          <w:p>
            <w:pPr>
              <w:jc w:val="right"/>
              <w:ind w:right="574"/>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0"/>
              </w:rPr>
              <w:t>(208,777,621)</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w w:val="97"/>
              </w:rPr>
              <w:t>$(208,777,621)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80" w:type="dxa"/>
            <w:vAlign w:val="bottom"/>
            <w:gridSpan w:val="3"/>
          </w:tcPr>
          <w:p>
            <w:pPr>
              <w:spacing w:after="0"/>
              <w:rPr>
                <w:sz w:val="20"/>
                <w:szCs w:val="20"/>
                <w:color w:val="auto"/>
              </w:rPr>
            </w:pPr>
            <w:r>
              <w:rPr>
                <w:rFonts w:ascii="Arial" w:cs="Arial" w:eastAsia="Arial" w:hAnsi="Arial"/>
                <w:sz w:val="17"/>
                <w:szCs w:val="17"/>
                <w:color w:val="auto"/>
              </w:rPr>
              <w:t>Policyholder account balances (4)</w:t>
            </w:r>
          </w:p>
        </w:tc>
        <w:tc>
          <w:tcPr>
            <w:tcW w:w="1280" w:type="dxa"/>
            <w:vAlign w:val="bottom"/>
            <w:gridSpan w:val="3"/>
          </w:tcPr>
          <w:p>
            <w:pPr>
              <w:jc w:val="right"/>
              <w:ind w:right="60"/>
              <w:spacing w:after="0"/>
              <w:rPr>
                <w:sz w:val="20"/>
                <w:szCs w:val="20"/>
                <w:color w:val="auto"/>
              </w:rPr>
            </w:pPr>
            <w:r>
              <w:rPr>
                <w:rFonts w:ascii="Arial" w:cs="Arial" w:eastAsia="Arial" w:hAnsi="Arial"/>
                <w:sz w:val="17"/>
                <w:szCs w:val="17"/>
                <w:color w:val="auto"/>
              </w:rPr>
              <w:t>(46,914,113)</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(34,441,613)</w:t>
            </w:r>
          </w:p>
        </w:tc>
        <w:tc>
          <w:tcPr>
            <w:tcW w:w="1180" w:type="dxa"/>
            <w:vAlign w:val="bottom"/>
            <w:gridSpan w:val="3"/>
          </w:tcPr>
          <w:p>
            <w:pPr>
              <w:jc w:val="right"/>
              <w:ind w:right="40"/>
              <w:spacing w:after="0"/>
              <w:rPr>
                <w:sz w:val="20"/>
                <w:szCs w:val="20"/>
                <w:color w:val="auto"/>
              </w:rPr>
            </w:pPr>
            <w:r>
              <w:rPr>
                <w:rFonts w:ascii="Arial" w:cs="Arial" w:eastAsia="Arial" w:hAnsi="Arial"/>
                <w:sz w:val="17"/>
                <w:szCs w:val="17"/>
                <w:color w:val="auto"/>
              </w:rPr>
              <w:t>(34,441,613)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Future policy benefits - annuities (4)</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(98,787,048)</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(96,759,178)</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(96,759,178)</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400" w:hanging="253"/>
        <w:spacing w:after="0"/>
        <w:tabs>
          <w:tab w:leader="none" w:pos="14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Included in other investments and policy loans on the condensed consolidated balance sheet.</w:t>
      </w:r>
    </w:p>
    <w:p>
      <w:pPr>
        <w:spacing w:after="0" w:line="23" w:lineRule="exact"/>
        <w:rPr>
          <w:rFonts w:ascii="Arial" w:cs="Arial" w:eastAsia="Arial" w:hAnsi="Arial"/>
          <w:sz w:val="17"/>
          <w:szCs w:val="17"/>
          <w:color w:val="auto"/>
        </w:rPr>
      </w:pPr>
    </w:p>
    <w:p>
      <w:pPr>
        <w:ind w:left="1400" w:hanging="253"/>
        <w:spacing w:after="0"/>
        <w:tabs>
          <w:tab w:leader="none" w:pos="14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Fixed maturity securities held to maturity</w:t>
      </w:r>
    </w:p>
    <w:p>
      <w:pPr>
        <w:spacing w:after="0" w:line="11" w:lineRule="exact"/>
        <w:rPr>
          <w:rFonts w:ascii="Arial" w:cs="Arial" w:eastAsia="Arial" w:hAnsi="Arial"/>
          <w:sz w:val="17"/>
          <w:szCs w:val="17"/>
          <w:color w:val="auto"/>
        </w:rPr>
      </w:pPr>
    </w:p>
    <w:p>
      <w:pPr>
        <w:ind w:left="1400" w:hanging="253"/>
        <w:spacing w:after="0"/>
        <w:tabs>
          <w:tab w:leader="none" w:pos="14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Participation in mortgage loans held for investment (residential</w:t>
      </w:r>
    </w:p>
    <w:p>
      <w:pPr>
        <w:spacing w:after="0" w:line="1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construction)</w:t>
      </w:r>
    </w:p>
    <w:p>
      <w:pPr>
        <w:spacing w:after="0" w:line="1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(4) Included in future policy benefits and unpaid claims on the condensed consolidated balance sheet.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June 30, 2018 (Unaudited)</w:t>
      </w:r>
    </w:p>
    <w:p>
      <w:pPr>
        <w:spacing w:after="0" w:line="205" w:lineRule="exact"/>
        <w:rPr>
          <w:sz w:val="20"/>
          <w:szCs w:val="20"/>
          <w:color w:val="auto"/>
        </w:rPr>
      </w:pPr>
    </w:p>
    <w:p>
      <w:pPr>
        <w:ind w:left="620" w:hanging="61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Fair Value of Financial Instruments</w:t>
      </w:r>
      <w:r>
        <w:rPr>
          <w:rFonts w:ascii="Arial" w:cs="Arial" w:eastAsia="Arial" w:hAnsi="Arial"/>
          <w:sz w:val="17"/>
          <w:szCs w:val="17"/>
          <w:color w:val="auto"/>
        </w:rPr>
        <w:t xml:space="preserve"> (Continued)</w:t>
      </w:r>
    </w:p>
    <w:p>
      <w:pPr>
        <w:spacing w:after="0" w:line="270"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The carrying values and estimated fair values for such financial instruments, and their corresponding placement in the fair value hierarchy, are summarized as follows as of December 31, 2017:</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7"/>
                <w:szCs w:val="17"/>
                <w:color w:val="auto"/>
              </w:rPr>
              <w:t>Carrying</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Estimated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7"/>
                <w:szCs w:val="17"/>
                <w:color w:val="auto"/>
              </w:rPr>
              <w:t>Value</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Level 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ind w:right="134"/>
              <w:spacing w:after="0"/>
              <w:rPr>
                <w:sz w:val="20"/>
                <w:szCs w:val="20"/>
                <w:color w:val="auto"/>
              </w:rPr>
            </w:pPr>
            <w:r>
              <w:rPr>
                <w:rFonts w:ascii="Arial" w:cs="Arial" w:eastAsia="Arial" w:hAnsi="Arial"/>
                <w:sz w:val="17"/>
                <w:szCs w:val="17"/>
                <w:color w:val="auto"/>
              </w:rPr>
              <w:t>Level 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rPr>
              <w:t>Level 3</w:t>
            </w:r>
          </w:p>
        </w:tc>
        <w:tc>
          <w:tcPr>
            <w:tcW w:w="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Fair Value</w:t>
            </w:r>
          </w:p>
        </w:tc>
        <w:tc>
          <w:tcPr>
            <w:tcW w:w="0" w:type="dxa"/>
            <w:vAlign w:val="bottom"/>
          </w:tcPr>
          <w:p>
            <w:pPr>
              <w:spacing w:after="0"/>
              <w:rPr>
                <w:sz w:val="1"/>
                <w:szCs w:val="1"/>
                <w:color w:val="auto"/>
              </w:rPr>
            </w:pPr>
          </w:p>
        </w:tc>
      </w:tr>
      <w:tr>
        <w:trPr>
          <w:trHeight w:val="168"/>
        </w:trPr>
        <w:tc>
          <w:tcPr>
            <w:tcW w:w="460" w:type="dxa"/>
            <w:vAlign w:val="bottom"/>
            <w:tcBorders>
              <w:bottom w:val="single" w:sz="8" w:color="auto"/>
            </w:tcBorders>
            <w:gridSpan w:val="2"/>
          </w:tcPr>
          <w:p>
            <w:pPr>
              <w:spacing w:after="0" w:line="168" w:lineRule="exact"/>
              <w:rPr>
                <w:sz w:val="20"/>
                <w:szCs w:val="20"/>
                <w:color w:val="auto"/>
              </w:rPr>
            </w:pPr>
            <w:r>
              <w:rPr>
                <w:rFonts w:ascii="Arial" w:cs="Arial" w:eastAsia="Arial" w:hAnsi="Arial"/>
                <w:sz w:val="17"/>
                <w:szCs w:val="17"/>
                <w:color w:val="auto"/>
                <w:w w:val="86"/>
              </w:rPr>
              <w:t>Assets</w:t>
            </w:r>
          </w:p>
        </w:tc>
        <w:tc>
          <w:tcPr>
            <w:tcW w:w="284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Fixed maturity securities held to maturity</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$ 228,397,623</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574"/>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208,672,036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32,826,373</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9"/>
              </w:rPr>
              <w:t>$ 241,498,409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80" w:type="dxa"/>
            <w:vAlign w:val="bottom"/>
            <w:gridSpan w:val="3"/>
          </w:tcPr>
          <w:p>
            <w:pPr>
              <w:spacing w:after="0"/>
              <w:rPr>
                <w:sz w:val="20"/>
                <w:szCs w:val="20"/>
                <w:color w:val="auto"/>
              </w:rPr>
            </w:pPr>
            <w:r>
              <w:rPr>
                <w:rFonts w:ascii="Arial" w:cs="Arial" w:eastAsia="Arial" w:hAnsi="Arial"/>
                <w:sz w:val="17"/>
                <w:szCs w:val="17"/>
                <w:color w:val="auto"/>
              </w:rPr>
              <w:t>Mortgage loans held for investment:</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Residential</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99,816,535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106,050,169</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106,050,169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80" w:type="dxa"/>
            <w:vAlign w:val="bottom"/>
            <w:gridSpan w:val="3"/>
          </w:tcPr>
          <w:p>
            <w:pPr>
              <w:spacing w:after="0"/>
              <w:rPr>
                <w:sz w:val="20"/>
                <w:szCs w:val="20"/>
                <w:color w:val="auto"/>
              </w:rPr>
            </w:pPr>
            <w:r>
              <w:rPr>
                <w:rFonts w:ascii="Arial" w:cs="Arial" w:eastAsia="Arial" w:hAnsi="Arial"/>
                <w:sz w:val="17"/>
                <w:szCs w:val="17"/>
                <w:color w:val="auto"/>
              </w:rPr>
              <w:t>Residential construction</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49,694,025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49,694,025</w:t>
            </w: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49,694,025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Commercial</w:t>
            </w: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54,700,325</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56,473,156</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56,473,156</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80" w:type="dxa"/>
            <w:vAlign w:val="bottom"/>
            <w:gridSpan w:val="3"/>
          </w:tcPr>
          <w:p>
            <w:pPr>
              <w:spacing w:after="0"/>
              <w:rPr>
                <w:sz w:val="20"/>
                <w:szCs w:val="20"/>
                <w:color w:val="auto"/>
              </w:rPr>
            </w:pPr>
            <w:r>
              <w:rPr>
                <w:rFonts w:ascii="Arial" w:cs="Arial" w:eastAsia="Arial" w:hAnsi="Arial"/>
                <w:sz w:val="17"/>
                <w:szCs w:val="17"/>
                <w:color w:val="auto"/>
              </w:rPr>
              <w:t>Mortgage loans held for investment, net</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$ 204,210,885</w:t>
            </w:r>
          </w:p>
        </w:tc>
        <w:tc>
          <w:tcPr>
            <w:tcW w:w="100" w:type="dxa"/>
            <w:vAlign w:val="bottom"/>
          </w:tcPr>
          <w:p>
            <w:pPr>
              <w:spacing w:after="0"/>
              <w:rPr>
                <w:sz w:val="17"/>
                <w:szCs w:val="17"/>
                <w:color w:val="auto"/>
              </w:rPr>
            </w:pPr>
          </w:p>
        </w:tc>
        <w:tc>
          <w:tcPr>
            <w:tcW w:w="820" w:type="dxa"/>
            <w:vAlign w:val="bottom"/>
            <w:gridSpan w:val="2"/>
          </w:tcPr>
          <w:p>
            <w:pPr>
              <w:jc w:val="right"/>
              <w:ind w:right="574"/>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w w:val="95"/>
              </w:rPr>
              <w:t>212,217,350</w:t>
            </w: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w w:val="99"/>
              </w:rPr>
              <w:t>$ 212,217,350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Policy loans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6,531,352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6,531,352</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6,531,352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80" w:type="dxa"/>
            <w:vAlign w:val="bottom"/>
            <w:gridSpan w:val="3"/>
          </w:tcPr>
          <w:p>
            <w:pPr>
              <w:spacing w:after="0"/>
              <w:rPr>
                <w:sz w:val="20"/>
                <w:szCs w:val="20"/>
                <w:color w:val="auto"/>
              </w:rPr>
            </w:pPr>
            <w:r>
              <w:rPr>
                <w:rFonts w:ascii="Arial" w:cs="Arial" w:eastAsia="Arial" w:hAnsi="Arial"/>
                <w:sz w:val="17"/>
                <w:szCs w:val="17"/>
                <w:color w:val="auto"/>
              </w:rPr>
              <w:t>Insurance assignments, net (1)</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35,455,098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35,455,098</w:t>
            </w: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35,455,098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Restricted assets (2)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1,130,088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1,152,324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1,152,324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80" w:type="dxa"/>
            <w:vAlign w:val="bottom"/>
            <w:gridSpan w:val="3"/>
          </w:tcPr>
          <w:p>
            <w:pPr>
              <w:spacing w:after="0"/>
              <w:rPr>
                <w:sz w:val="20"/>
                <w:szCs w:val="20"/>
                <w:color w:val="auto"/>
              </w:rPr>
            </w:pPr>
            <w:r>
              <w:rPr>
                <w:rFonts w:ascii="Arial" w:cs="Arial" w:eastAsia="Arial" w:hAnsi="Arial"/>
                <w:sz w:val="17"/>
                <w:szCs w:val="17"/>
                <w:color w:val="auto"/>
              </w:rPr>
              <w:t>Restricted assets (3)</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1,701,811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1,796,910</w:t>
            </w: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1,796,910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4"/>
              </w:rPr>
              <w:t>Cemetery perpetual care trust investments (2)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943,211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953,404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953,404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80" w:type="dxa"/>
            <w:vAlign w:val="bottom"/>
            <w:gridSpan w:val="3"/>
          </w:tcPr>
          <w:p>
            <w:pPr>
              <w:spacing w:after="0"/>
              <w:rPr>
                <w:sz w:val="20"/>
                <w:szCs w:val="20"/>
                <w:color w:val="auto"/>
              </w:rPr>
            </w:pPr>
            <w:r>
              <w:rPr>
                <w:rFonts w:ascii="Arial" w:cs="Arial" w:eastAsia="Arial" w:hAnsi="Arial"/>
                <w:sz w:val="17"/>
                <w:szCs w:val="17"/>
                <w:color w:val="auto"/>
                <w:w w:val="94"/>
              </w:rPr>
              <w:t>Cemetery perpetual care trust investments (3)</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4,128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4,411</w:t>
            </w: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4,411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Mortgage servicing rights, net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21,376,937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27,427,174</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27,427,174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3280" w:type="dxa"/>
            <w:vAlign w:val="bottom"/>
            <w:gridSpan w:val="3"/>
            <w:shd w:val="clear" w:color="auto" w:fill="CCEEFF"/>
          </w:tcPr>
          <w:p>
            <w:pPr>
              <w:spacing w:after="0" w:line="168" w:lineRule="exact"/>
              <w:rPr>
                <w:sz w:val="20"/>
                <w:szCs w:val="20"/>
                <w:color w:val="auto"/>
              </w:rPr>
            </w:pPr>
            <w:r>
              <w:rPr>
                <w:rFonts w:ascii="Arial" w:cs="Arial" w:eastAsia="Arial" w:hAnsi="Arial"/>
                <w:sz w:val="17"/>
                <w:szCs w:val="17"/>
                <w:color w:val="auto"/>
                <w:shd w:val="clear" w:color="auto" w:fill="CCEEFF"/>
              </w:rPr>
              <w:t>Liabilities</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3280" w:type="dxa"/>
            <w:vAlign w:val="bottom"/>
            <w:gridSpan w:val="3"/>
          </w:tcPr>
          <w:p>
            <w:pPr>
              <w:spacing w:after="0"/>
              <w:rPr>
                <w:sz w:val="20"/>
                <w:szCs w:val="20"/>
                <w:color w:val="auto"/>
              </w:rPr>
            </w:pPr>
            <w:r>
              <w:rPr>
                <w:rFonts w:ascii="Arial" w:cs="Arial" w:eastAsia="Arial" w:hAnsi="Arial"/>
                <w:sz w:val="17"/>
                <w:szCs w:val="17"/>
                <w:color w:val="auto"/>
              </w:rPr>
              <w:t>Bank and other loans payable</w:t>
            </w:r>
          </w:p>
        </w:tc>
        <w:tc>
          <w:tcPr>
            <w:tcW w:w="1280" w:type="dxa"/>
            <w:vAlign w:val="bottom"/>
            <w:gridSpan w:val="3"/>
          </w:tcPr>
          <w:p>
            <w:pPr>
              <w:jc w:val="right"/>
              <w:ind w:right="60"/>
              <w:spacing w:after="0"/>
              <w:rPr>
                <w:sz w:val="20"/>
                <w:szCs w:val="20"/>
                <w:color w:val="auto"/>
              </w:rPr>
            </w:pPr>
            <w:r>
              <w:rPr>
                <w:rFonts w:ascii="Arial" w:cs="Arial" w:eastAsia="Arial" w:hAnsi="Arial"/>
                <w:sz w:val="17"/>
                <w:szCs w:val="17"/>
                <w:color w:val="auto"/>
              </w:rPr>
              <w:t>$(157,450,925)</w:t>
            </w:r>
          </w:p>
        </w:tc>
        <w:tc>
          <w:tcPr>
            <w:tcW w:w="820" w:type="dxa"/>
            <w:vAlign w:val="bottom"/>
            <w:gridSpan w:val="2"/>
          </w:tcPr>
          <w:p>
            <w:pPr>
              <w:jc w:val="right"/>
              <w:ind w:right="574"/>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w w:val="90"/>
              </w:rPr>
              <w:t>(157,450,925)</w:t>
            </w:r>
          </w:p>
        </w:tc>
        <w:tc>
          <w:tcPr>
            <w:tcW w:w="1180" w:type="dxa"/>
            <w:vAlign w:val="bottom"/>
            <w:gridSpan w:val="3"/>
          </w:tcPr>
          <w:p>
            <w:pPr>
              <w:jc w:val="right"/>
              <w:ind w:right="40"/>
              <w:spacing w:after="0"/>
              <w:rPr>
                <w:sz w:val="20"/>
                <w:szCs w:val="20"/>
                <w:color w:val="auto"/>
              </w:rPr>
            </w:pPr>
            <w:r>
              <w:rPr>
                <w:rFonts w:ascii="Arial" w:cs="Arial" w:eastAsia="Arial" w:hAnsi="Arial"/>
                <w:sz w:val="17"/>
                <w:szCs w:val="17"/>
                <w:color w:val="auto"/>
                <w:w w:val="97"/>
              </w:rPr>
              <w:t>$(157,450,925)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Policyholder account balances (4)</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(47,867,037)</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(34,557,111)</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(34,557,111)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80" w:type="dxa"/>
            <w:vAlign w:val="bottom"/>
            <w:gridSpan w:val="3"/>
          </w:tcPr>
          <w:p>
            <w:pPr>
              <w:spacing w:after="0"/>
              <w:rPr>
                <w:sz w:val="20"/>
                <w:szCs w:val="20"/>
                <w:color w:val="auto"/>
              </w:rPr>
            </w:pPr>
            <w:r>
              <w:rPr>
                <w:rFonts w:ascii="Arial" w:cs="Arial" w:eastAsia="Arial" w:hAnsi="Arial"/>
                <w:sz w:val="17"/>
                <w:szCs w:val="17"/>
                <w:color w:val="auto"/>
              </w:rPr>
              <w:t>Future policy benefits - annuities (4)</w:t>
            </w:r>
          </w:p>
        </w:tc>
        <w:tc>
          <w:tcPr>
            <w:tcW w:w="1280" w:type="dxa"/>
            <w:vAlign w:val="bottom"/>
            <w:gridSpan w:val="3"/>
          </w:tcPr>
          <w:p>
            <w:pPr>
              <w:jc w:val="right"/>
              <w:ind w:right="60"/>
              <w:spacing w:after="0"/>
              <w:rPr>
                <w:sz w:val="20"/>
                <w:szCs w:val="20"/>
                <w:color w:val="auto"/>
              </w:rPr>
            </w:pPr>
            <w:r>
              <w:rPr>
                <w:rFonts w:ascii="Arial" w:cs="Arial" w:eastAsia="Arial" w:hAnsi="Arial"/>
                <w:sz w:val="17"/>
                <w:szCs w:val="17"/>
                <w:color w:val="auto"/>
              </w:rPr>
              <w:t>(99,474,392)</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(98,827,107)</w:t>
            </w:r>
          </w:p>
        </w:tc>
        <w:tc>
          <w:tcPr>
            <w:tcW w:w="1180" w:type="dxa"/>
            <w:vAlign w:val="bottom"/>
            <w:gridSpan w:val="3"/>
          </w:tcPr>
          <w:p>
            <w:pPr>
              <w:jc w:val="right"/>
              <w:ind w:right="40"/>
              <w:spacing w:after="0"/>
              <w:rPr>
                <w:sz w:val="20"/>
                <w:szCs w:val="20"/>
                <w:color w:val="auto"/>
              </w:rPr>
            </w:pPr>
            <w:r>
              <w:rPr>
                <w:rFonts w:ascii="Arial" w:cs="Arial" w:eastAsia="Arial" w:hAnsi="Arial"/>
                <w:sz w:val="17"/>
                <w:szCs w:val="17"/>
                <w:color w:val="auto"/>
              </w:rPr>
              <w:t>(98,827,107)</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1400" w:hanging="253"/>
        <w:spacing w:after="0"/>
        <w:tabs>
          <w:tab w:leader="none" w:pos="1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Included in other investments and policy loans on the condensed consolidated balance sheet.</w:t>
      </w:r>
    </w:p>
    <w:p>
      <w:pPr>
        <w:spacing w:after="0" w:line="23" w:lineRule="exact"/>
        <w:rPr>
          <w:rFonts w:ascii="Arial" w:cs="Arial" w:eastAsia="Arial" w:hAnsi="Arial"/>
          <w:sz w:val="17"/>
          <w:szCs w:val="17"/>
          <w:color w:val="auto"/>
        </w:rPr>
      </w:pPr>
    </w:p>
    <w:p>
      <w:pPr>
        <w:ind w:left="1400" w:hanging="253"/>
        <w:spacing w:after="0"/>
        <w:tabs>
          <w:tab w:leader="none" w:pos="1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Fixed maturity securities held to maturity</w:t>
      </w:r>
    </w:p>
    <w:p>
      <w:pPr>
        <w:spacing w:after="0" w:line="11" w:lineRule="exact"/>
        <w:rPr>
          <w:rFonts w:ascii="Arial" w:cs="Arial" w:eastAsia="Arial" w:hAnsi="Arial"/>
          <w:sz w:val="17"/>
          <w:szCs w:val="17"/>
          <w:color w:val="auto"/>
        </w:rPr>
      </w:pPr>
    </w:p>
    <w:p>
      <w:pPr>
        <w:ind w:left="1400" w:hanging="253"/>
        <w:spacing w:after="0"/>
        <w:tabs>
          <w:tab w:leader="none" w:pos="1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Participation in mortgage loans held for investment (commercial)</w:t>
      </w:r>
    </w:p>
    <w:p>
      <w:pPr>
        <w:spacing w:after="0" w:line="11" w:lineRule="exact"/>
        <w:rPr>
          <w:rFonts w:ascii="Arial" w:cs="Arial" w:eastAsia="Arial" w:hAnsi="Arial"/>
          <w:sz w:val="17"/>
          <w:szCs w:val="17"/>
          <w:color w:val="auto"/>
        </w:rPr>
      </w:pPr>
    </w:p>
    <w:p>
      <w:pPr>
        <w:ind w:left="1140" w:right="3720" w:firstLine="7"/>
        <w:spacing w:after="0" w:line="267" w:lineRule="auto"/>
        <w:tabs>
          <w:tab w:leader="none" w:pos="1384"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Included in future policy benefits and unpaid claims on the condensed consolidated balance sheet.</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The methods, assumptions and significant valuation techniques and inputs used to estimate the fair value of these financial instruments are summarized as follows:</w:t>
      </w:r>
    </w:p>
    <w:p>
      <w:pPr>
        <w:spacing w:after="0" w:line="29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i w:val="1"/>
          <w:iCs w:val="1"/>
          <w:u w:val="single" w:color="auto"/>
          <w:color w:val="auto"/>
        </w:rPr>
        <w:t>Fixed Maturity Securities Held to Maturity</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values of fixed maturity securities are based on quoted market prices, when available. For fixed maturity</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w:t>
      </w:r>
    </w:p>
    <w:p>
      <w:pPr>
        <w:spacing w:after="0" w:line="20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i w:val="1"/>
          <w:iCs w:val="1"/>
          <w:u w:val="single" w:color="auto"/>
          <w:color w:val="auto"/>
        </w:rPr>
        <w:t>Mortgage Loans Held for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estimated fair value of the Company's mortgage loans held for investment is determined using various methods.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mortgage loans are grouped into three categories: Residential, Residential Construction and Commercial. When estimating the expected future cash flows, it is assumed that all loans will be held to maturity, and any loans that are non-performing are evaluated individually for impairment.</w:t>
      </w:r>
    </w:p>
    <w:p>
      <w:pPr>
        <w:spacing w:after="0" w:line="207" w:lineRule="exact"/>
        <w:rPr>
          <w:sz w:val="20"/>
          <w:szCs w:val="20"/>
          <w:color w:val="auto"/>
        </w:rPr>
      </w:pPr>
    </w:p>
    <w:p>
      <w:pPr>
        <w:ind w:left="620"/>
        <w:spacing w:after="0" w:line="352" w:lineRule="auto"/>
        <w:rPr>
          <w:sz w:val="20"/>
          <w:szCs w:val="20"/>
          <w:color w:val="auto"/>
        </w:rPr>
      </w:pPr>
      <w:r>
        <w:rPr>
          <w:rFonts w:ascii="Arial" w:cs="Arial" w:eastAsia="Arial" w:hAnsi="Arial"/>
          <w:sz w:val="15"/>
          <w:szCs w:val="15"/>
          <w:color w:val="auto"/>
        </w:rPr>
        <w:t>Residential – The estimated fair value is determined through a combination of discounted cash flows (estimating expected future cash flows of interest payments and discounting them using current interest rates from single family mortgages) and considering pricing of similar loans that were sold recently.</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Residential Construction – These loans are primarily short in maturity accordingly, the estimated fair value is determined to be the carrying value.</w:t>
      </w:r>
    </w:p>
    <w:p>
      <w:pPr>
        <w:spacing w:after="0" w:line="281" w:lineRule="exact"/>
        <w:rPr>
          <w:sz w:val="20"/>
          <w:szCs w:val="20"/>
          <w:color w:val="auto"/>
        </w:rPr>
      </w:pPr>
    </w:p>
    <w:p>
      <w:pPr>
        <w:ind w:left="620"/>
        <w:spacing w:after="0" w:line="283" w:lineRule="auto"/>
        <w:rPr>
          <w:sz w:val="20"/>
          <w:szCs w:val="20"/>
          <w:color w:val="auto"/>
        </w:rPr>
      </w:pPr>
      <w:r>
        <w:rPr>
          <w:rFonts w:ascii="Arial" w:cs="Arial" w:eastAsia="Arial" w:hAnsi="Arial"/>
          <w:sz w:val="17"/>
          <w:szCs w:val="17"/>
          <w:color w:val="auto"/>
        </w:rPr>
        <w:t>Commercial – The estimated fair value is determined by estimating expected future cash flows of interest payments and discounting them using current interest rates for commercial mortgages.</w:t>
      </w:r>
    </w:p>
    <w:p>
      <w:pPr>
        <w:spacing w:after="0" w:line="211" w:lineRule="exact"/>
        <w:rPr>
          <w:sz w:val="20"/>
          <w:szCs w:val="20"/>
          <w:color w:val="auto"/>
        </w:rPr>
      </w:pPr>
    </w:p>
    <w:p>
      <w:pPr>
        <w:spacing w:after="0" w:line="283" w:lineRule="auto"/>
        <w:rPr>
          <w:sz w:val="20"/>
          <w:szCs w:val="20"/>
          <w:color w:val="auto"/>
        </w:rPr>
      </w:pPr>
      <w:r>
        <w:rPr>
          <w:rFonts w:ascii="Arial" w:cs="Arial" w:eastAsia="Arial" w:hAnsi="Arial"/>
          <w:sz w:val="17"/>
          <w:szCs w:val="17"/>
          <w:i w:val="1"/>
          <w:iCs w:val="1"/>
          <w:u w:val="single" w:color="auto"/>
          <w:color w:val="auto"/>
        </w:rPr>
        <w:t>Policy Loans</w:t>
      </w:r>
      <w:r>
        <w:rPr>
          <w:rFonts w:ascii="Arial" w:cs="Arial" w:eastAsia="Arial" w:hAnsi="Arial"/>
          <w:sz w:val="17"/>
          <w:szCs w:val="17"/>
          <w:color w:val="auto"/>
        </w:rPr>
        <w:t>: The carrying amounts reported in the accompanying condensed consolidated balance sheet for these financial instruments approximate their fair values</w:t>
      </w:r>
      <w:r>
        <w:rPr>
          <w:rFonts w:ascii="Arial" w:cs="Arial" w:eastAsia="Arial" w:hAnsi="Arial"/>
          <w:sz w:val="17"/>
          <w:szCs w:val="17"/>
          <w:i w:val="1"/>
          <w:iCs w:val="1"/>
          <w:color w:val="auto"/>
        </w:rPr>
        <w:t xml:space="preserve"> </w:t>
      </w:r>
      <w:r>
        <w:rPr>
          <w:rFonts w:ascii="Arial" w:cs="Arial" w:eastAsia="Arial" w:hAnsi="Arial"/>
          <w:sz w:val="17"/>
          <w:szCs w:val="17"/>
          <w:color w:val="auto"/>
        </w:rPr>
        <w:t>because they are fully collateralized by the cash surrender value of the underlying insurance policies.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June 30, 2018 (Unaudited)</w:t>
      </w:r>
    </w:p>
    <w:p>
      <w:pPr>
        <w:spacing w:after="0" w:line="205" w:lineRule="exact"/>
        <w:rPr>
          <w:sz w:val="20"/>
          <w:szCs w:val="20"/>
          <w:color w:val="auto"/>
        </w:rPr>
      </w:pPr>
    </w:p>
    <w:p>
      <w:pPr>
        <w:ind w:left="620" w:hanging="61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Fair Value of Financial Instruments</w:t>
      </w:r>
      <w:r>
        <w:rPr>
          <w:rFonts w:ascii="Arial" w:cs="Arial" w:eastAsia="Arial" w:hAnsi="Arial"/>
          <w:sz w:val="17"/>
          <w:szCs w:val="17"/>
          <w:color w:val="auto"/>
        </w:rPr>
        <w:t xml:space="preserve"> (Continued)</w:t>
      </w:r>
    </w:p>
    <w:p>
      <w:pPr>
        <w:spacing w:after="0" w:line="27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i w:val="1"/>
          <w:iCs w:val="1"/>
          <w:u w:val="single" w:color="auto"/>
          <w:color w:val="auto"/>
        </w:rPr>
        <w:t>Insurance Assignments, Net</w:t>
      </w:r>
      <w:r>
        <w:rPr>
          <w:rFonts w:ascii="Arial" w:cs="Arial" w:eastAsia="Arial" w:hAnsi="Arial"/>
          <w:sz w:val="17"/>
          <w:szCs w:val="17"/>
          <w:color w:val="auto"/>
        </w:rPr>
        <w:t>: These investments are primarily short in maturity, accordingly, the carrying amounts reported in the accompanying condensed</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balance sheet for these financial instruments approximate their fair values.</w:t>
      </w:r>
    </w:p>
    <w:p>
      <w:pPr>
        <w:spacing w:after="0" w:line="21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i w:val="1"/>
          <w:iCs w:val="1"/>
          <w:u w:val="single" w:color="auto"/>
          <w:color w:val="auto"/>
        </w:rPr>
        <w:t>Bank and Other Loans Payable</w:t>
      </w:r>
      <w:r>
        <w:rPr>
          <w:rFonts w:ascii="Arial" w:cs="Arial" w:eastAsia="Arial" w:hAnsi="Arial"/>
          <w:sz w:val="17"/>
          <w:szCs w:val="17"/>
          <w:color w:val="auto"/>
        </w:rPr>
        <w:t>: The carrying amounts reported in the accompanying condensed consolidated balance sheet for these financial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 their fair values due to their relatively short-term maturities and variable interest rates.</w:t>
      </w:r>
    </w:p>
    <w:p>
      <w:pPr>
        <w:spacing w:after="0" w:line="211" w:lineRule="exact"/>
        <w:rPr>
          <w:sz w:val="20"/>
          <w:szCs w:val="20"/>
          <w:color w:val="auto"/>
        </w:rPr>
      </w:pPr>
    </w:p>
    <w:p>
      <w:pPr>
        <w:jc w:val="both"/>
        <w:spacing w:after="0" w:line="309" w:lineRule="auto"/>
        <w:rPr>
          <w:sz w:val="20"/>
          <w:szCs w:val="20"/>
          <w:color w:val="auto"/>
        </w:rPr>
      </w:pPr>
      <w:r>
        <w:rPr>
          <w:rFonts w:ascii="Arial" w:cs="Arial" w:eastAsia="Arial" w:hAnsi="Arial"/>
          <w:sz w:val="15"/>
          <w:szCs w:val="15"/>
          <w:i w:val="1"/>
          <w:iCs w:val="1"/>
          <w:u w:val="single" w:color="auto"/>
          <w:color w:val="auto"/>
        </w:rPr>
        <w:t>Policyholder Account Balances and Future Policy Benefits-Annuities</w:t>
      </w:r>
      <w:r>
        <w:rPr>
          <w:rFonts w:ascii="Arial" w:cs="Arial" w:eastAsia="Arial" w:hAnsi="Arial"/>
          <w:sz w:val="15"/>
          <w:szCs w:val="15"/>
          <w:color w:val="auto"/>
        </w:rPr>
        <w:t>: Future policy benefit reserves for interest-sensitive insurance products are computed under a</w:t>
      </w:r>
      <w:r>
        <w:rPr>
          <w:rFonts w:ascii="Arial" w:cs="Arial" w:eastAsia="Arial" w:hAnsi="Arial"/>
          <w:sz w:val="15"/>
          <w:szCs w:val="15"/>
          <w:i w:val="1"/>
          <w:iCs w:val="1"/>
          <w:color w:val="auto"/>
        </w:rPr>
        <w:t xml:space="preserve"> </w:t>
      </w:r>
      <w:r>
        <w:rPr>
          <w:rFonts w:ascii="Arial" w:cs="Arial" w:eastAsia="Arial" w:hAnsi="Arial"/>
          <w:sz w:val="15"/>
          <w:szCs w:val="15"/>
          <w:color w:val="auto"/>
        </w:rPr>
        <w:t>retrospective deposit method and represent policy account balances before applicable surrender charges. Policy benefits and claims that are charged to expense include benefit claims incurred in the period in excess of related policy account balances. Interest crediting rates for interest-sensitive insurance products ranged from 1.5% to 6.5%. The fair values for these investment-type insurance contracts are estimated based on the present value of liability cash flows.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fair values for the Company's insurance contracts other than investment-type contracts are not required to be disclosed. However, the fair values of liabilities under all insurance contracts are taken into consideration in the Company's overall management of interest rate risk, such that the Company's exposure to changing interest rates is minimized through the matching of investment maturities with amounts due under insurance contracts.</w:t>
      </w:r>
    </w:p>
    <w:p>
      <w:pPr>
        <w:spacing w:after="0" w:line="224" w:lineRule="exact"/>
        <w:rPr>
          <w:sz w:val="20"/>
          <w:szCs w:val="20"/>
          <w:color w:val="auto"/>
        </w:rPr>
      </w:pPr>
    </w:p>
    <w:p>
      <w:pPr>
        <w:ind w:left="620" w:hanging="617"/>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Allowance for Doubtful Accounts</w:t>
      </w:r>
    </w:p>
    <w:p>
      <w:pPr>
        <w:spacing w:after="0" w:line="27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Company records an allowance and recognizes an expense for potential losses from other investments and receivables in accordance with generally accepted accounting principles.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Receivables are the result of cemetery and mortuary operations, mortgage loan operations and life insurance operations. The allowance is based upon the Company's historical experience for collectively evaluated impairment. Other allowances are based upon receivables individually evaluated for impairment. Collectability of the cemetery and mortuary receivables is significantly influenced by current economic conditions. The critical issues that impact recovery of mortgage loan operations are interest rate risk, loan underwriting, new regulations and the overall economy.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21"/>
          <w:szCs w:val="21"/>
          <w:color w:val="auto"/>
        </w:rPr>
        <w:t>SECURITY NATIONAL FINANCIAL CORPORATION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June 30, 2018 (Unaudited)</w:t>
      </w:r>
    </w:p>
    <w:p>
      <w:pPr>
        <w:spacing w:after="0" w:line="200" w:lineRule="exact"/>
        <w:rPr>
          <w:sz w:val="20"/>
          <w:szCs w:val="20"/>
          <w:color w:val="auto"/>
        </w:rPr>
      </w:pPr>
    </w:p>
    <w:p>
      <w:pPr>
        <w:spacing w:after="0" w:line="315" w:lineRule="exact"/>
        <w:rPr>
          <w:sz w:val="20"/>
          <w:szCs w:val="20"/>
          <w:color w:val="auto"/>
        </w:rPr>
      </w:pPr>
    </w:p>
    <w:p>
      <w:pPr>
        <w:ind w:left="660" w:hanging="657"/>
        <w:spacing w:after="0"/>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Derivative Instruments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Mortgage Banking Derivatives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Loan Commitments</w:t>
      </w:r>
    </w:p>
    <w:p>
      <w:pPr>
        <w:spacing w:after="0" w:line="27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is exposed to price risk due to the potential impact of changes in interest rates on the values of loan commitments from the time a loan commitment is made to an applicant to the time the loan that would result from the exercise of that loan commitment is funded. Managing price risk is complicated by the fact that the ultimate percentage of loan commitments that will be exercised (i.e., the number of loans that will be funded) fluctuates. The probability that a loan will not be funded or the loan application is denied or withdrawn within the terms of the commitment is driven by a number of factors, particularly the change, if any, in mortgage rates following the issuance of the loan commitment.</w:t>
      </w:r>
    </w:p>
    <w:p>
      <w:pPr>
        <w:spacing w:after="0" w:line="229"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In general, the probability of funding increases if mortgage rates rise and decreases if mortgage rates fall. This is due primarily to the relative attractiveness of current mortgage rates compared to the applicant's committed rate. The probability that a loan will not be funded within the terms of the mortgage loan commitment also is influenced by the source of the applications (retail, broker or correspondent channels), proximity to rate lock expiration, purpose for the loan (purchase or refinance), product type and the application approval status. The Company has developed fallout estimates using historical data that take into account all of the variables, as well as renegotiations of rate and point commitments that tend to occur when mortgage rates fall. These fallout estimates are used to estimate the number of loans that the Company expects to be funded within the terms of the loan commitments and are updated periodically to reflect the most current data.</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estimates the fair value of a loan commitment based on the change in estimated fair value of the underlying mortgage loan, quoted mortgage-backed securities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and is shown net of expenses. Following issuance, the value of a loan commitment can be either positive or negative depending upon the change in value of the underlying mortgage loans.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Forward Sale Commitments</w:t>
      </w:r>
    </w:p>
    <w:p>
      <w:pPr>
        <w:spacing w:after="0" w:line="27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utilizes forward commitments to economically hedge the price risk associated with its outstanding mortgage loan commitments. A forward commitment protects the Company from losses on sales of the loans arising from exercise of the loan commitments. Management expects these types of commitments will experience changes in fair value opposite to changes in fair value of the loan commitments, thereby reducing earnings volatility related to the recognition in earnings of changes in the values of the commitments.</w:t>
      </w:r>
    </w:p>
    <w:p>
      <w:pPr>
        <w:spacing w:after="0" w:line="22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net changes in fair value of loan commitments and forward sale commitments are shown in current earnings as a component of mortgage fee income on the consolidated statements of earnings. Mortgage banking derivatives are shown in other assets and other liabilities and accrued expenses on the condensed consolidated balance sheets.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Call and Put Options</w:t>
      </w:r>
    </w:p>
    <w:p>
      <w:pPr>
        <w:spacing w:after="0" w:line="27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uses a strategy of selling "out of the money" call options on its equity securities as a source of revenue. The options give the purchaser the right to buy from the Company specified equity securities at a set price up to a pre-determined date in the future. The Company uses the strategy of selling put options as a means of generating cash or purchasing equity securities at lower than current market prices. The Company receives an immediate payment of cash for the value of the option and establishes a liability for the fair value of the option. The liability for options is adjusted to fair value at each reporting date. In the event a call option is exercised, the Company recognizes a gain on the sale of the equity security enhanced by the value of the option that was sold. If the option expires unexercised, the Company realizes a gain from the sale of the option. In the event a put option is exercised, the Company acquires an equity security at the strike price of the option reduced by the value received from the sale of the put option. The equity security is then traded as a normal equity security in the Company's portfolio. The net changes in the fair value of call and put options are shown in current earnings as a component of gains (losses) on investments and other assets. Call and put options are shown in other liabilities and accrued expenses on the condensed consolidated balance sheets.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21"/>
          <w:szCs w:val="21"/>
          <w:color w:val="auto"/>
        </w:rPr>
        <w:t>SECURITY NATIONAL FINANCIAL CORPORATION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June 30, 2018 (Unaudited)</w:t>
      </w:r>
    </w:p>
    <w:p>
      <w:pPr>
        <w:spacing w:after="0" w:line="257" w:lineRule="exact"/>
        <w:rPr>
          <w:sz w:val="20"/>
          <w:szCs w:val="20"/>
          <w:color w:val="auto"/>
        </w:rPr>
      </w:pPr>
    </w:p>
    <w:p>
      <w:pPr>
        <w:ind w:left="660" w:hanging="657"/>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Derivative Instruments</w:t>
      </w:r>
      <w:r>
        <w:rPr>
          <w:rFonts w:ascii="Arial" w:cs="Arial" w:eastAsia="Arial" w:hAnsi="Arial"/>
          <w:sz w:val="17"/>
          <w:szCs w:val="17"/>
          <w:color w:val="auto"/>
        </w:rPr>
        <w:t xml:space="preserve"> (Continued)</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notional amount and fair value of derivatives as of June 30, 2018 and December 31, 2017.</w:t>
      </w:r>
    </w:p>
    <w:p>
      <w:pPr>
        <w:spacing w:after="0" w:line="270"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60" w:type="dxa"/>
            <w:vAlign w:val="bottom"/>
            <w:gridSpan w:val="12"/>
          </w:tcPr>
          <w:p>
            <w:pPr>
              <w:jc w:val="right"/>
              <w:ind w:right="714"/>
              <w:spacing w:after="0"/>
              <w:rPr>
                <w:sz w:val="20"/>
                <w:szCs w:val="20"/>
                <w:color w:val="auto"/>
              </w:rPr>
            </w:pPr>
            <w:r>
              <w:rPr>
                <w:rFonts w:ascii="Arial" w:cs="Arial" w:eastAsia="Arial" w:hAnsi="Arial"/>
                <w:sz w:val="17"/>
                <w:szCs w:val="17"/>
                <w:color w:val="auto"/>
              </w:rPr>
              <w:t>Fair Values and Notional Values of Derivative Instruments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98"/>
              </w:rPr>
              <w:t>June 30, 2018</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30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7"/>
                <w:szCs w:val="17"/>
                <w:color w:val="auto"/>
              </w:rPr>
              <w:t>December 31, 2017</w:t>
            </w:r>
          </w:p>
        </w:tc>
        <w:tc>
          <w:tcPr>
            <w:tcW w:w="8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94"/>
              <w:spacing w:after="0" w:line="194" w:lineRule="exact"/>
              <w:rPr>
                <w:sz w:val="20"/>
                <w:szCs w:val="20"/>
                <w:color w:val="auto"/>
              </w:rPr>
            </w:pPr>
            <w:r>
              <w:rPr>
                <w:rFonts w:ascii="Arial" w:cs="Arial" w:eastAsia="Arial" w:hAnsi="Arial"/>
                <w:sz w:val="17"/>
                <w:szCs w:val="17"/>
                <w:color w:val="auto"/>
              </w:rPr>
              <w:t>Notional</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14"/>
              <w:spacing w:after="0" w:line="194" w:lineRule="exact"/>
              <w:rPr>
                <w:sz w:val="20"/>
                <w:szCs w:val="20"/>
                <w:color w:val="auto"/>
              </w:rPr>
            </w:pPr>
            <w:r>
              <w:rPr>
                <w:rFonts w:ascii="Arial" w:cs="Arial" w:eastAsia="Arial" w:hAnsi="Arial"/>
                <w:sz w:val="17"/>
                <w:szCs w:val="17"/>
                <w:color w:val="auto"/>
                <w:w w:val="91"/>
              </w:rPr>
              <w:t>Asset Fair</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74"/>
              <w:spacing w:after="0" w:line="194" w:lineRule="exact"/>
              <w:rPr>
                <w:sz w:val="20"/>
                <w:szCs w:val="20"/>
                <w:color w:val="auto"/>
              </w:rPr>
            </w:pPr>
            <w:r>
              <w:rPr>
                <w:rFonts w:ascii="Arial" w:cs="Arial" w:eastAsia="Arial" w:hAnsi="Arial"/>
                <w:sz w:val="17"/>
                <w:szCs w:val="17"/>
                <w:color w:val="auto"/>
              </w:rPr>
              <w:t>Liability</w:t>
            </w:r>
          </w:p>
        </w:tc>
        <w:tc>
          <w:tcPr>
            <w:tcW w:w="200" w:type="dxa"/>
            <w:vAlign w:val="bottom"/>
          </w:tcPr>
          <w:p>
            <w:pPr>
              <w:spacing w:after="0"/>
              <w:rPr>
                <w:sz w:val="16"/>
                <w:szCs w:val="16"/>
                <w:color w:val="auto"/>
              </w:rPr>
            </w:pPr>
          </w:p>
        </w:tc>
        <w:tc>
          <w:tcPr>
            <w:tcW w:w="940" w:type="dxa"/>
            <w:vAlign w:val="bottom"/>
          </w:tcPr>
          <w:p>
            <w:pPr>
              <w:jc w:val="right"/>
              <w:ind w:right="94"/>
              <w:spacing w:after="0" w:line="194" w:lineRule="exact"/>
              <w:rPr>
                <w:sz w:val="20"/>
                <w:szCs w:val="20"/>
                <w:color w:val="auto"/>
              </w:rPr>
            </w:pPr>
            <w:r>
              <w:rPr>
                <w:rFonts w:ascii="Arial" w:cs="Arial" w:eastAsia="Arial" w:hAnsi="Arial"/>
                <w:sz w:val="17"/>
                <w:szCs w:val="17"/>
                <w:color w:val="auto"/>
              </w:rPr>
              <w:t>Notional</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34"/>
              <w:spacing w:after="0" w:line="194" w:lineRule="exact"/>
              <w:rPr>
                <w:sz w:val="20"/>
                <w:szCs w:val="20"/>
                <w:color w:val="auto"/>
              </w:rPr>
            </w:pPr>
            <w:r>
              <w:rPr>
                <w:rFonts w:ascii="Arial" w:cs="Arial" w:eastAsia="Arial" w:hAnsi="Arial"/>
                <w:sz w:val="17"/>
                <w:szCs w:val="17"/>
                <w:color w:val="auto"/>
                <w:w w:val="88"/>
              </w:rPr>
              <w:t>Asset Fair</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74"/>
              <w:spacing w:after="0" w:line="194" w:lineRule="exact"/>
              <w:rPr>
                <w:sz w:val="20"/>
                <w:szCs w:val="20"/>
                <w:color w:val="auto"/>
              </w:rPr>
            </w:pPr>
            <w:r>
              <w:rPr>
                <w:rFonts w:ascii="Arial" w:cs="Arial" w:eastAsia="Arial" w:hAnsi="Arial"/>
                <w:sz w:val="17"/>
                <w:szCs w:val="17"/>
                <w:color w:val="auto"/>
              </w:rPr>
              <w:t>Liability</w:t>
            </w:r>
          </w:p>
        </w:tc>
        <w:tc>
          <w:tcPr>
            <w:tcW w:w="80" w:type="dxa"/>
            <w:vAlign w:val="bottom"/>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2520" w:type="dxa"/>
            <w:vAlign w:val="bottom"/>
            <w:tcBorders>
              <w:bottom w:val="single" w:sz="8" w:color="auto"/>
            </w:tcBorders>
            <w:gridSpan w:val="2"/>
          </w:tcPr>
          <w:p>
            <w:pPr>
              <w:ind w:left="420"/>
              <w:spacing w:after="0"/>
              <w:rPr>
                <w:sz w:val="20"/>
                <w:szCs w:val="20"/>
                <w:color w:val="auto"/>
              </w:rPr>
            </w:pPr>
            <w:r>
              <w:rPr>
                <w:rFonts w:ascii="Arial" w:cs="Arial" w:eastAsia="Arial" w:hAnsi="Arial"/>
                <w:sz w:val="17"/>
                <w:szCs w:val="17"/>
                <w:color w:val="auto"/>
              </w:rPr>
              <w:t>Balance Sheet Location</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Amount</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Value</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90"/>
              </w:rPr>
              <w:t>Fair Value</w:t>
            </w: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Amount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Value</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90"/>
              </w:rPr>
              <w:t>Fair Value</w:t>
            </w:r>
          </w:p>
        </w:tc>
        <w:tc>
          <w:tcPr>
            <w:tcW w:w="8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1180" w:type="dxa"/>
            <w:vAlign w:val="bottom"/>
          </w:tcPr>
          <w:p>
            <w:pPr>
              <w:spacing w:after="0" w:line="194" w:lineRule="exact"/>
              <w:rPr>
                <w:sz w:val="20"/>
                <w:szCs w:val="20"/>
                <w:color w:val="auto"/>
              </w:rPr>
            </w:pPr>
            <w:r>
              <w:rPr>
                <w:rFonts w:ascii="Arial" w:cs="Arial" w:eastAsia="Arial" w:hAnsi="Arial"/>
                <w:sz w:val="17"/>
                <w:szCs w:val="17"/>
                <w:color w:val="auto"/>
              </w:rPr>
              <w:t>Derivatives not</w:t>
            </w: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7"/>
        </w:trPr>
        <w:tc>
          <w:tcPr>
            <w:tcW w:w="1200" w:type="dxa"/>
            <w:vAlign w:val="bottom"/>
            <w:gridSpan w:val="2"/>
          </w:tcPr>
          <w:p>
            <w:pPr>
              <w:spacing w:after="0"/>
              <w:rPr>
                <w:sz w:val="20"/>
                <w:szCs w:val="20"/>
                <w:color w:val="auto"/>
              </w:rPr>
            </w:pPr>
            <w:r>
              <w:rPr>
                <w:rFonts w:ascii="Arial" w:cs="Arial" w:eastAsia="Arial" w:hAnsi="Arial"/>
                <w:sz w:val="17"/>
                <w:szCs w:val="17"/>
                <w:color w:val="auto"/>
              </w:rPr>
              <w:t>designated as</w:t>
            </w: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1200" w:type="dxa"/>
            <w:vAlign w:val="bottom"/>
            <w:gridSpan w:val="2"/>
          </w:tcPr>
          <w:p>
            <w:pPr>
              <w:spacing w:after="0"/>
              <w:rPr>
                <w:sz w:val="20"/>
                <w:szCs w:val="20"/>
                <w:color w:val="auto"/>
              </w:rPr>
            </w:pPr>
            <w:r>
              <w:rPr>
                <w:rFonts w:ascii="Arial" w:cs="Arial" w:eastAsia="Arial" w:hAnsi="Arial"/>
                <w:sz w:val="17"/>
                <w:szCs w:val="17"/>
                <w:color w:val="auto"/>
              </w:rPr>
              <w:t>hedging</w:t>
            </w: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9"/>
        </w:trPr>
        <w:tc>
          <w:tcPr>
            <w:tcW w:w="1200" w:type="dxa"/>
            <w:vAlign w:val="bottom"/>
            <w:gridSpan w:val="2"/>
          </w:tcPr>
          <w:p>
            <w:pPr>
              <w:spacing w:after="0"/>
              <w:rPr>
                <w:sz w:val="20"/>
                <w:szCs w:val="20"/>
                <w:color w:val="auto"/>
              </w:rPr>
            </w:pPr>
            <w:r>
              <w:rPr>
                <w:rFonts w:ascii="Arial" w:cs="Arial" w:eastAsia="Arial" w:hAnsi="Arial"/>
                <w:sz w:val="17"/>
                <w:szCs w:val="17"/>
                <w:color w:val="auto"/>
              </w:rPr>
              <w:t>instruments:</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11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Loan</w:t>
            </w:r>
          </w:p>
        </w:tc>
        <w:tc>
          <w:tcPr>
            <w:tcW w:w="134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88"/>
              </w:rPr>
              <w:t>Other assets and</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commitments</w:t>
            </w:r>
          </w:p>
        </w:tc>
        <w:tc>
          <w:tcPr>
            <w:tcW w:w="1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Other liabilities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8"/>
              </w:rPr>
              <w:t>$172,439,140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2,935,344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495,628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$105,679,107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2,032,782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36,193</w:t>
            </w:r>
          </w:p>
        </w:tc>
        <w:tc>
          <w:tcPr>
            <w:tcW w:w="80" w:type="dxa"/>
            <w:vAlign w:val="bottom"/>
            <w:shd w:val="clear" w:color="auto" w:fill="CCEEFF"/>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Call options</w:t>
            </w:r>
          </w:p>
        </w:tc>
        <w:tc>
          <w:tcPr>
            <w:tcW w:w="1340" w:type="dxa"/>
            <w:vAlign w:val="bottom"/>
          </w:tcPr>
          <w:p>
            <w:pPr>
              <w:jc w:val="center"/>
              <w:spacing w:after="0"/>
              <w:rPr>
                <w:sz w:val="20"/>
                <w:szCs w:val="20"/>
                <w:color w:val="auto"/>
              </w:rPr>
            </w:pPr>
            <w:r>
              <w:rPr>
                <w:rFonts w:ascii="Arial" w:cs="Arial" w:eastAsia="Arial" w:hAnsi="Arial"/>
                <w:sz w:val="17"/>
                <w:szCs w:val="17"/>
                <w:color w:val="auto"/>
                <w:w w:val="96"/>
              </w:rPr>
              <w:t>Other liabilities</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2,900,750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28,325</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1,488,550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64,689</w:t>
            </w:r>
          </w:p>
        </w:tc>
        <w:tc>
          <w:tcPr>
            <w:tcW w:w="8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Put options</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6"/>
              </w:rPr>
              <w:t>Other liabilities</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4,524,200</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57,591</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2,265,900</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20,568</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7"/>
                <w:szCs w:val="17"/>
                <w:color w:val="auto"/>
              </w:rPr>
              <w:t>Total</w:t>
            </w:r>
          </w:p>
        </w:tc>
        <w:tc>
          <w:tcPr>
            <w:tcW w:w="13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179,864,090</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2,935,344</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581,544</w:t>
            </w:r>
          </w:p>
        </w:tc>
        <w:tc>
          <w:tcPr>
            <w:tcW w:w="11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109,433,557</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2,032,782</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121,450</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gains and losses on derivatives for the periods presented.</w:t>
      </w:r>
    </w:p>
    <w:p>
      <w:pPr>
        <w:spacing w:after="0" w:line="270"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gridSpan w:val="5"/>
          </w:tcPr>
          <w:p>
            <w:pPr>
              <w:jc w:val="center"/>
              <w:ind w:right="199"/>
              <w:spacing w:after="0"/>
              <w:rPr>
                <w:sz w:val="20"/>
                <w:szCs w:val="20"/>
                <w:color w:val="auto"/>
              </w:rPr>
            </w:pPr>
            <w:r>
              <w:rPr>
                <w:rFonts w:ascii="Arial" w:cs="Arial" w:eastAsia="Arial" w:hAnsi="Arial"/>
                <w:sz w:val="17"/>
                <w:szCs w:val="17"/>
                <w:color w:val="auto"/>
                <w:w w:val="93"/>
              </w:rPr>
              <w:t>Net Amount Gain</w:t>
            </w:r>
          </w:p>
        </w:tc>
        <w:tc>
          <w:tcPr>
            <w:tcW w:w="180" w:type="dxa"/>
            <w:vAlign w:val="bottom"/>
          </w:tcPr>
          <w:p>
            <w:pPr>
              <w:spacing w:after="0"/>
              <w:rPr>
                <w:sz w:val="19"/>
                <w:szCs w:val="19"/>
                <w:color w:val="auto"/>
              </w:rPr>
            </w:pPr>
          </w:p>
        </w:tc>
        <w:tc>
          <w:tcPr>
            <w:tcW w:w="1820" w:type="dxa"/>
            <w:vAlign w:val="bottom"/>
            <w:gridSpan w:val="4"/>
          </w:tcPr>
          <w:p>
            <w:pPr>
              <w:jc w:val="right"/>
              <w:ind w:right="294"/>
              <w:spacing w:after="0"/>
              <w:rPr>
                <w:sz w:val="20"/>
                <w:szCs w:val="20"/>
                <w:color w:val="auto"/>
              </w:rPr>
            </w:pPr>
            <w:r>
              <w:rPr>
                <w:rFonts w:ascii="Arial" w:cs="Arial" w:eastAsia="Arial" w:hAnsi="Arial"/>
                <w:sz w:val="17"/>
                <w:szCs w:val="17"/>
                <w:color w:val="auto"/>
              </w:rPr>
              <w:t>Net Amount Gain</w:t>
            </w:r>
          </w:p>
        </w:tc>
        <w:tc>
          <w:tcPr>
            <w:tcW w:w="8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gridSpan w:val="4"/>
          </w:tcPr>
          <w:p>
            <w:pPr>
              <w:jc w:val="center"/>
              <w:ind w:right="14"/>
              <w:spacing w:after="0" w:line="194" w:lineRule="exact"/>
              <w:rPr>
                <w:sz w:val="20"/>
                <w:szCs w:val="20"/>
                <w:color w:val="auto"/>
              </w:rPr>
            </w:pPr>
            <w:r>
              <w:rPr>
                <w:rFonts w:ascii="Arial" w:cs="Arial" w:eastAsia="Arial" w:hAnsi="Arial"/>
                <w:sz w:val="17"/>
                <w:szCs w:val="17"/>
                <w:color w:val="auto"/>
                <w:w w:val="90"/>
              </w:rPr>
              <w:t>Three Months Ended June</w:t>
            </w: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center"/>
              <w:ind w:left="714"/>
              <w:spacing w:after="0"/>
              <w:rPr>
                <w:sz w:val="20"/>
                <w:szCs w:val="20"/>
                <w:color w:val="auto"/>
              </w:rPr>
            </w:pPr>
            <w:r>
              <w:rPr>
                <w:rFonts w:ascii="Arial" w:cs="Arial" w:eastAsia="Arial" w:hAnsi="Arial"/>
                <w:sz w:val="17"/>
                <w:szCs w:val="17"/>
                <w:color w:val="auto"/>
                <w:w w:val="94"/>
              </w:rPr>
              <w:t>30</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color w:val="auto"/>
                <w:w w:val="93"/>
              </w:rPr>
              <w:t>Six Months Ended June 30</w:t>
            </w:r>
          </w:p>
        </w:tc>
        <w:tc>
          <w:tcPr>
            <w:tcW w:w="8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1960" w:type="dxa"/>
            <w:vAlign w:val="bottom"/>
            <w:tcBorders>
              <w:bottom w:val="single" w:sz="8" w:color="auto"/>
            </w:tcBorders>
          </w:tcPr>
          <w:p>
            <w:pPr>
              <w:ind w:left="820"/>
              <w:spacing w:after="0"/>
              <w:rPr>
                <w:sz w:val="20"/>
                <w:szCs w:val="20"/>
                <w:color w:val="auto"/>
              </w:rPr>
            </w:pPr>
            <w:r>
              <w:rPr>
                <w:rFonts w:ascii="Arial" w:cs="Arial" w:eastAsia="Arial" w:hAnsi="Arial"/>
                <w:sz w:val="17"/>
                <w:szCs w:val="17"/>
                <w:color w:val="auto"/>
              </w:rPr>
              <w:t>Derivative</w:t>
            </w:r>
          </w:p>
        </w:tc>
        <w:tc>
          <w:tcPr>
            <w:tcW w:w="2780" w:type="dxa"/>
            <w:vAlign w:val="bottom"/>
            <w:tcBorders>
              <w:bottom w:val="single" w:sz="8" w:color="auto"/>
            </w:tcBorders>
          </w:tcPr>
          <w:p>
            <w:pPr>
              <w:ind w:left="1120"/>
              <w:spacing w:after="0"/>
              <w:rPr>
                <w:sz w:val="20"/>
                <w:szCs w:val="20"/>
                <w:color w:val="auto"/>
              </w:rPr>
            </w:pPr>
            <w:r>
              <w:rPr>
                <w:rFonts w:ascii="Arial" w:cs="Arial" w:eastAsia="Arial" w:hAnsi="Arial"/>
                <w:sz w:val="17"/>
                <w:szCs w:val="17"/>
                <w:color w:val="auto"/>
              </w:rPr>
              <w:t>Classification</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2017</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2017</w:t>
            </w:r>
          </w:p>
        </w:tc>
        <w:tc>
          <w:tcPr>
            <w:tcW w:w="80" w:type="dxa"/>
            <w:vAlign w:val="bottom"/>
          </w:tcPr>
          <w:p>
            <w:pPr>
              <w:spacing w:after="0"/>
              <w:rPr>
                <w:sz w:val="18"/>
                <w:szCs w:val="18"/>
                <w:color w:val="auto"/>
              </w:rPr>
            </w:pPr>
          </w:p>
        </w:tc>
      </w:tr>
      <w:tr>
        <w:trPr>
          <w:trHeight w:val="247"/>
        </w:trPr>
        <w:tc>
          <w:tcPr>
            <w:tcW w:w="20" w:type="dxa"/>
            <w:vAlign w:val="bottom"/>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Loan commitments</w:t>
            </w:r>
          </w:p>
        </w:tc>
        <w:tc>
          <w:tcPr>
            <w:tcW w:w="27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7"/>
                <w:szCs w:val="17"/>
                <w:color w:val="auto"/>
              </w:rPr>
              <w:t>Mortgage fee income</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2,169</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(1,011,879</w:t>
            </w:r>
          </w:p>
        </w:tc>
        <w:tc>
          <w:tcPr>
            <w:tcW w:w="18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443,127</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1,155,714</w:t>
            </w:r>
          </w:p>
        </w:tc>
        <w:tc>
          <w:tcPr>
            <w:tcW w:w="80" w:type="dxa"/>
            <w:vAlign w:val="bottom"/>
            <w:tcBorders>
              <w:bottom w:val="single" w:sz="8" w:color="CCEEFF"/>
            </w:tcBorders>
            <w:shd w:val="clear" w:color="auto" w:fill="CCEEFF"/>
          </w:tcPr>
          <w:p>
            <w:pPr>
              <w:spacing w:after="0"/>
              <w:rPr>
                <w:sz w:val="21"/>
                <w:szCs w:val="21"/>
                <w:color w:val="auto"/>
              </w:rPr>
            </w:pPr>
          </w:p>
        </w:tc>
      </w:tr>
      <w:tr>
        <w:trPr>
          <w:trHeight w:val="198"/>
        </w:trPr>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2780" w:type="dxa"/>
            <w:vAlign w:val="bottom"/>
            <w:shd w:val="clear" w:color="auto" w:fill="CCEEFF"/>
          </w:tcPr>
          <w:p>
            <w:pPr>
              <w:ind w:left="400"/>
              <w:spacing w:after="0" w:line="194" w:lineRule="exact"/>
              <w:rPr>
                <w:sz w:val="20"/>
                <w:szCs w:val="20"/>
                <w:color w:val="auto"/>
              </w:rPr>
            </w:pPr>
            <w:r>
              <w:rPr>
                <w:rFonts w:ascii="Arial" w:cs="Arial" w:eastAsia="Arial" w:hAnsi="Arial"/>
                <w:sz w:val="17"/>
                <w:szCs w:val="17"/>
                <w:color w:val="auto"/>
                <w:w w:val="98"/>
              </w:rPr>
              <w:t>Gains on investments and other</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9"/>
        </w:trPr>
        <w:tc>
          <w:tcPr>
            <w:tcW w:w="20" w:type="dxa"/>
            <w:vAlign w:val="bottom"/>
          </w:tcPr>
          <w:p>
            <w:pPr>
              <w:spacing w:after="0"/>
              <w:rPr>
                <w:sz w:val="20"/>
                <w:szCs w:val="20"/>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7"/>
                <w:szCs w:val="17"/>
                <w:color w:val="auto"/>
              </w:rPr>
              <w:t>Call and put options</w:t>
            </w:r>
          </w:p>
        </w:tc>
        <w:tc>
          <w:tcPr>
            <w:tcW w:w="27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assets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151,130</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54,266</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230,301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188,828</w:t>
            </w:r>
          </w:p>
        </w:tc>
        <w:tc>
          <w:tcPr>
            <w:tcW w:w="8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left="700" w:hanging="697"/>
        <w:spacing w:after="0"/>
        <w:tabs>
          <w:tab w:leader="none" w:pos="700"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Reinsurance, Commitments and Contingencies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Reinsurance</w:t>
      </w:r>
    </w:p>
    <w:p>
      <w:pPr>
        <w:spacing w:after="0" w:line="276"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The Company follows the procedure of reinsuring risks in excess of a specified limit, which ranges from $25,000 to $100,000. The Company is liable for these amounts in the event such reinsurers are unable to pay their portion of the claims. The Company has also assumed insurance from other companies.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Mortgage Loan Loss Settlements</w:t>
      </w:r>
    </w:p>
    <w:p>
      <w:pPr>
        <w:spacing w:after="0" w:line="2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Future loan losses can be extremely difficult to estimate. However, management believes that the Company's reserve methodology and its current practice of property preservation allow it to estimate its potential losses on loans sold. The estimated liability for indemnification losses is included in other liabilities and accrued expenses and, as of June 30, 2018 and December 31, 2017, the balances were $3,180,000 and $2,572,000,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Mortgage Loan Loss Litigation</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Lehman Brothers Holdings Litigation – Delaware and New York</w:t>
      </w:r>
    </w:p>
    <w:p>
      <w:pPr>
        <w:spacing w:after="0" w:line="27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January 2014, Lehman Brothers Holdings, Inc. ("Lehman Holdings") entered into a settlement with the Federal National Mortgage Association (Fannie Mae) concerning the mortgage loan claims that Fannie Mae had asserted against Lehman Holdings, which were based on alleged breaches of certain representations and warranties by Lehman Holdings in the mortgage loans it had sold to Fannie Mae. Lehman Holdings had acquired these loans from Aurora Bank, FSB, formerly known as Lehman Brothers Bank, FSB, which in turn purchased the loans from certain residential mortgage loan originators, including SecurityNational Mortgage. A settlement based on similar circumstances was entered into between Lehman Holdings and the Federal Home Loan Mortgage Corporation (Freddie Mac) in February 2014.</w:t>
      </w:r>
    </w:p>
    <w:p>
      <w:pPr>
        <w:spacing w:after="0" w:line="23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Lehman Holdings filed a motion in May 2014 with the U.S. Bankruptcy Court of the Southern District of New York to require the mortgage loan originators, including SecurityNational Mortgage, to engage in non-binding mediations of the alleged indemnification claims against the mortgage loan originators relative to the Fannie Mae and Freddie Mac settlements with Lehman Holdings. The mediation was not successful in resolving any issues between SecurityNational Mortgage and Lehman Holdings.</w:t>
      </w:r>
    </w:p>
    <w:p>
      <w:pPr>
        <w:sectPr>
          <w:pgSz w:w="11900" w:h="16838" w:orient="portrait"/>
          <w:cols w:equalWidth="0" w:num="1">
            <w:col w:w="11420"/>
          </w:cols>
          <w:pgMar w:left="240" w:top="120" w:right="239"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54610</wp:posOffset>
            </wp:positionV>
            <wp:extent cx="725233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21"/>
          <w:szCs w:val="21"/>
          <w:color w:val="auto"/>
        </w:rPr>
        <w:t>SECURITY NATIONAL FINANCIAL CORPORATION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June 30, 2018 (Unaudited)</w:t>
      </w:r>
    </w:p>
    <w:p>
      <w:pPr>
        <w:spacing w:after="0" w:line="257" w:lineRule="exact"/>
        <w:rPr>
          <w:sz w:val="20"/>
          <w:szCs w:val="20"/>
          <w:color w:val="auto"/>
        </w:rPr>
      </w:pPr>
    </w:p>
    <w:p>
      <w:pPr>
        <w:ind w:left="660" w:hanging="657"/>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Reinsurance, Commitments and Contingencies</w:t>
      </w:r>
      <w:r>
        <w:rPr>
          <w:rFonts w:ascii="Arial" w:cs="Arial" w:eastAsia="Arial" w:hAnsi="Arial"/>
          <w:sz w:val="17"/>
          <w:szCs w:val="17"/>
          <w:color w:val="auto"/>
        </w:rPr>
        <w:t xml:space="preserve"> (Continued)</w:t>
      </w: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January 26, 2016, SecurityNational Mortgage filed a declaratory judgment action against Lehman Holdings in the Superior Court for the State of Delaware. In the Delaware action, SecurityNational Mortgage asserted its right to obtain a declaration of rights in that there are allegedly millions of dollars in dispute with Lehman Holdings pertaining to approximately 136 loans. SecurityNational Mortgage sought a declaratory judgment as to its rights as it contends that it has no liability to Lehman Holdings as a result of Lehman Holdings' settlements with Fannie Mae and Freddie Mac. Lehman Holdings filed a motion in the Delaware court seeking to stay or dismiss the declaratory judgment action. On August 24, 2016, the Court ruled that it would exercise its discretion to decline jurisdiction over the action and granted Lehman Holdings' motion to dismiss.</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February 3, 2016, Lehman Holdings filed an adversary proceeding against approximately 150 mortgage loan originators, including SecurityNational Mortgage, in the U.S. Bankruptcy Court of the Southern District of New York seeking a declaration of rights similar in nature to the declaratory judgment that SecurityNational Mortgage sought in its Delaware lawsuit, and for damages relating to the alleged obligations of the defendants under the indemnification provisions of the alleged agreements, in amounts to be determined at trial, including interest, attorneys' fees and costs incurred by Lehman Holdings in enforcing the obligations of the defendants. No response was required to be filed relative to the Complaint or the Amended Complaint dated March 7, 2016. A Case Management Order was entered on November 1, 2016.</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On December 27, 2016, pursuant to the Case Management Order, Lehman Holdings filed a Second Amended Complaint against SecurityNational Mortgage, which eliminates the declaratory judgment claim but retains a similar claim for damages as in the Complaint. The case is presently in a motion period. Many of the defendants, including SecurityNational Mortgage, filed a joint motion in the case asserting that the Bankruptcy Court does not have subject matter jurisdiction concerning the matter and that venue is improper. Lehman Holdings' response memorandum was filed on May 31, 2017 and a reply memorandum of the defendants filing the motion was filed on July 14, 2017. A hearing on the motion was held on June 12, 2018. The Court took the motion under advisement and has not yet ruled on it. No Answer to the Second Amended Complaint is required to be filed by SecurityNational Mortgage pending further order of the Court. SecurityNational Mortgage denies that it has any liability to Lehman Holdings and intends to vigorously protect and defend its position.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Contingencies and Commitments</w:t>
      </w:r>
    </w:p>
    <w:p>
      <w:pPr>
        <w:spacing w:after="0" w:line="27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has entered into commitments to fund construction and land development loans and has also provided financing for land acquisition and development. As of June 30, 2018, the Company's commitments were approximately $94,866,000 for these loans, of which $64,961,000 had been funded. The Company will advance funds once the work has been completed and an independent inspection is made. The maximum loan commitment ranges between 50% and 80% of appraised value. The Company receives fees and interest for these loans and the interest rate is generally fixed 5.50% to 8.00% per annum. Maturities range between six and eighteen months.</w:t>
      </w:r>
    </w:p>
    <w:p>
      <w:pPr>
        <w:spacing w:after="0" w:line="229"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The Company belongs to a captive insurance group for certain casualty insurance, worker compensation and liability programs. Insurance reserves are maintained relative to these programs. The level of exposure from catastrophic events is limited by the purchase of stop-loss and aggregate liability reinsurance coverage. When estimating the insurance liabilities and related reserves, the captive insurance management considers a number of factors, which include historical claims experience, demographic factors, severity factors and valuations provided by independent third-party actuaries. If actual claims or adverse development of loss reserves occurs and exceed these estimates, additional reserves may be required. The estimation process contains uncertainty since captive insurance management must use judgment to estimate the ultimate cost that will be incurred to settle reported claims and unreported claims for incidents incurred but not reported as of the balance sheet date.</w:t>
      </w:r>
    </w:p>
    <w:p>
      <w:pPr>
        <w:spacing w:after="0" w:line="20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Company is a defendant in various other legal actions arising from the normal conduct of business. Management believes that none of the actions will have a material effect on the Company's financial position or results of operations. Based on management's assessment and legal counsel's representations concerning the likelihood of unfavorable outcomes, no amounts have been accrued for the above claims in the consolidated financial statements.</w:t>
      </w:r>
    </w:p>
    <w:p>
      <w:pPr>
        <w:spacing w:after="0" w:line="207"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June 30, 2018 (Unaudited)</w:t>
      </w:r>
    </w:p>
    <w:p>
      <w:pPr>
        <w:spacing w:after="0" w:line="205" w:lineRule="exact"/>
        <w:rPr>
          <w:sz w:val="20"/>
          <w:szCs w:val="20"/>
          <w:color w:val="auto"/>
        </w:rPr>
      </w:pPr>
    </w:p>
    <w:p>
      <w:pPr>
        <w:ind w:left="620" w:hanging="61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Mortgage Servicing Rights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The Company initially records these MSRs at fair value as discussed in Note 8.</w:t>
      </w:r>
    </w:p>
    <w:p>
      <w:pPr>
        <w:spacing w:after="0" w:line="2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After being initially recorded at fair value, MSRs backed by mortgage loans are accounted for using the amortization method. Amortization expense is included in other expenses on the consolidated statements of earnings. MSR amortization is determined by amortizing the MSR balance in proportion to, and over the period of the estimated future net servicing income of the underlying financial assets.</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periodically assesses MSRs for impairment. Impairment occurs when the current fair value of the MSR falls below the asset's carrying value (carrying value is the amortized cost reduced by any related valuation allowance). If MSRs are impaired, the impairment is recognized in current-period earnings and the carrying value of the MSRs is adjusted through a valuation allowance.</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Management periodically reviews the various loan strata to determine whether the value of the MSRs in a given stratum is impaired and likely to recover. When management deems recovery of the value to be unlikely in the foreseeable future, a write-down of the cost of the MSRs for that stratum to its estimated recoverable value is charged to the valuation allowance.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960" w:type="dxa"/>
            <w:vAlign w:val="bottom"/>
            <w:gridSpan w:val="2"/>
          </w:tcPr>
          <w:p>
            <w:pPr>
              <w:spacing w:after="0"/>
              <w:rPr>
                <w:sz w:val="20"/>
                <w:szCs w:val="20"/>
                <w:color w:val="auto"/>
              </w:rPr>
            </w:pPr>
            <w:r>
              <w:rPr>
                <w:rFonts w:ascii="Arial" w:cs="Arial" w:eastAsia="Arial" w:hAnsi="Arial"/>
                <w:sz w:val="17"/>
                <w:szCs w:val="17"/>
                <w:color w:val="auto"/>
              </w:rPr>
              <w:t>The following is a summary of the MSR activity for the periods presented.</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116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7"/>
                <w:szCs w:val="17"/>
                <w:color w:val="auto"/>
              </w:rPr>
              <w:t>As of</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7"/>
                <w:szCs w:val="17"/>
                <w:color w:val="auto"/>
                <w:w w:val="99"/>
              </w:rPr>
              <w:t>As of June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w w:val="89"/>
              </w:rPr>
              <w:t>December</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294"/>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294"/>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6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2017</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960" w:type="dxa"/>
            <w:vAlign w:val="bottom"/>
            <w:gridSpan w:val="2"/>
          </w:tcPr>
          <w:p>
            <w:pPr>
              <w:ind w:left="1140"/>
              <w:spacing w:after="0"/>
              <w:rPr>
                <w:sz w:val="20"/>
                <w:szCs w:val="20"/>
                <w:color w:val="auto"/>
              </w:rPr>
            </w:pPr>
            <w:r>
              <w:rPr>
                <w:rFonts w:ascii="Arial" w:cs="Arial" w:eastAsia="Arial" w:hAnsi="Arial"/>
                <w:sz w:val="17"/>
                <w:szCs w:val="17"/>
                <w:color w:val="auto"/>
              </w:rPr>
              <w:t>Amortized cost: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Balance before valuation allowance at beginning of year</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21,376,937</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18,872,362</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Arial" w:cs="Arial" w:eastAsia="Arial" w:hAnsi="Arial"/>
                <w:sz w:val="17"/>
                <w:szCs w:val="17"/>
                <w:color w:val="auto"/>
              </w:rPr>
              <w:t>MSR additions resulting from loan sales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1,364,733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6,085,352</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Amortization (1)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(1,623,733)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6"/>
              </w:rPr>
              <w:t>(3,580,777)</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7"/>
                <w:szCs w:val="17"/>
                <w:color w:val="auto"/>
                <w:w w:val="97"/>
              </w:rPr>
              <w:t>Application of valuation allowance to write down MSRs with other than temporary impairment</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before valuation allowance at end of period</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21,117,937</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21,376,937</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60" w:type="dxa"/>
            <w:vAlign w:val="bottom"/>
            <w:vMerge w:val="restart"/>
          </w:tcPr>
          <w:p>
            <w:pPr>
              <w:spacing w:after="0"/>
              <w:rPr>
                <w:sz w:val="17"/>
                <w:szCs w:val="17"/>
                <w:color w:val="auto"/>
              </w:rPr>
            </w:pPr>
          </w:p>
        </w:tc>
        <w:tc>
          <w:tcPr>
            <w:tcW w:w="6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60" w:type="dxa"/>
            <w:vAlign w:val="bottom"/>
            <w:vMerge w:val="continue"/>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Valuation allowance for impairment of MSRs: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Arial" w:cs="Arial" w:eastAsia="Arial" w:hAnsi="Arial"/>
                <w:sz w:val="17"/>
                <w:szCs w:val="17"/>
                <w:color w:val="auto"/>
              </w:rPr>
              <w:t>Balance at beginning of year</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Additions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7"/>
                <w:szCs w:val="17"/>
                <w:color w:val="auto"/>
                <w:w w:val="97"/>
              </w:rPr>
              <w:t>Application of valuation allowance to write down MSRs with other than temporary impairment</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end of period</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60" w:type="dxa"/>
            <w:vAlign w:val="bottom"/>
            <w:vMerge w:val="restart"/>
          </w:tcPr>
          <w:p>
            <w:pPr>
              <w:spacing w:after="0"/>
              <w:rPr>
                <w:sz w:val="17"/>
                <w:szCs w:val="17"/>
                <w:color w:val="auto"/>
              </w:rPr>
            </w:pPr>
          </w:p>
        </w:tc>
        <w:tc>
          <w:tcPr>
            <w:tcW w:w="680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160" w:type="dxa"/>
            <w:vAlign w:val="bottom"/>
            <w:vMerge w:val="continue"/>
          </w:tcPr>
          <w:p>
            <w:pPr>
              <w:spacing w:after="0"/>
              <w:rPr>
                <w:sz w:val="21"/>
                <w:szCs w:val="21"/>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Mortgage servicing rights, net</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21,117,937</w:t>
            </w:r>
          </w:p>
        </w:tc>
        <w:tc>
          <w:tcPr>
            <w:tcW w:w="1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21,376,937</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160" w:type="dxa"/>
            <w:vAlign w:val="bottom"/>
            <w:vMerge w:val="restart"/>
          </w:tcPr>
          <w:p>
            <w:pPr>
              <w:spacing w:after="0"/>
              <w:rPr>
                <w:sz w:val="17"/>
                <w:szCs w:val="17"/>
                <w:color w:val="auto"/>
              </w:rPr>
            </w:pPr>
          </w:p>
        </w:tc>
        <w:tc>
          <w:tcPr>
            <w:tcW w:w="68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160" w:type="dxa"/>
            <w:vAlign w:val="bottom"/>
            <w:vMerge w:val="continue"/>
          </w:tcPr>
          <w:p>
            <w:pPr>
              <w:spacing w:after="0"/>
              <w:rPr>
                <w:sz w:val="19"/>
                <w:szCs w:val="19"/>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Estimated fair value of MSRs at end of period</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31,037,960</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27,427,174</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7960" w:type="dxa"/>
            <w:vAlign w:val="bottom"/>
            <w:gridSpan w:val="2"/>
          </w:tcPr>
          <w:p>
            <w:pPr>
              <w:ind w:left="1140"/>
              <w:spacing w:after="0"/>
              <w:rPr>
                <w:sz w:val="20"/>
                <w:szCs w:val="20"/>
                <w:color w:val="auto"/>
              </w:rPr>
            </w:pPr>
            <w:r>
              <w:rPr>
                <w:rFonts w:ascii="Arial" w:cs="Arial" w:eastAsia="Arial" w:hAnsi="Arial"/>
                <w:sz w:val="17"/>
                <w:szCs w:val="17"/>
                <w:color w:val="auto"/>
              </w:rPr>
              <w:t>(1) Included in other expenses on the condensed consolidated statements of earnings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1"/>
        </w:trPr>
        <w:tc>
          <w:tcPr>
            <w:tcW w:w="7960" w:type="dxa"/>
            <w:vAlign w:val="bottom"/>
            <w:gridSpan w:val="2"/>
          </w:tcPr>
          <w:p>
            <w:pPr>
              <w:jc w:val="right"/>
              <w:ind w:right="2094"/>
              <w:spacing w:after="0"/>
              <w:rPr>
                <w:sz w:val="20"/>
                <w:szCs w:val="20"/>
                <w:color w:val="auto"/>
              </w:rPr>
            </w:pPr>
            <w:r>
              <w:rPr>
                <w:rFonts w:ascii="Arial" w:cs="Arial" w:eastAsia="Arial" w:hAnsi="Arial"/>
                <w:sz w:val="14"/>
                <w:szCs w:val="14"/>
                <w:color w:val="auto"/>
              </w:rPr>
              <w:t>43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160" w:type="dxa"/>
            <w:vAlign w:val="bottom"/>
            <w:tcBorders>
              <w:bottom w:val="single" w:sz="8" w:color="auto"/>
            </w:tcBorders>
          </w:tcPr>
          <w:p>
            <w:pPr>
              <w:spacing w:after="0"/>
              <w:rPr>
                <w:sz w:val="3"/>
                <w:szCs w:val="3"/>
                <w:color w:val="auto"/>
              </w:rPr>
            </w:pPr>
          </w:p>
        </w:tc>
        <w:tc>
          <w:tcPr>
            <w:tcW w:w="68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20" w:type="dxa"/>
            <w:vAlign w:val="bottom"/>
            <w:gridSpan w:val="2"/>
          </w:tcPr>
          <w:p>
            <w:pPr>
              <w:jc w:val="center"/>
              <w:ind w:left="1012"/>
              <w:spacing w:after="0"/>
              <w:rPr>
                <w:sz w:val="20"/>
                <w:szCs w:val="20"/>
                <w:color w:val="auto"/>
              </w:rPr>
            </w:pPr>
            <w:r>
              <w:rPr>
                <w:rFonts w:ascii="Arial" w:cs="Arial" w:eastAsia="Arial" w:hAnsi="Arial"/>
                <w:sz w:val="21"/>
                <w:szCs w:val="21"/>
                <w:color w:val="auto"/>
                <w:w w:val="96"/>
              </w:rPr>
              <w:t>SECURITY NATIONAL FINANCIAL CORPORATION AND SUBSIDIARIES</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7"/>
        </w:trPr>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660" w:type="dxa"/>
            <w:vAlign w:val="bottom"/>
          </w:tcPr>
          <w:p>
            <w:pPr>
              <w:jc w:val="center"/>
              <w:ind w:right="194"/>
              <w:spacing w:after="0"/>
              <w:rPr>
                <w:sz w:val="20"/>
                <w:szCs w:val="20"/>
                <w:color w:val="auto"/>
              </w:rPr>
            </w:pPr>
            <w:r>
              <w:rPr>
                <w:rFonts w:ascii="Arial" w:cs="Arial" w:eastAsia="Arial" w:hAnsi="Arial"/>
                <w:sz w:val="17"/>
                <w:szCs w:val="17"/>
                <w:color w:val="auto"/>
                <w:w w:val="90"/>
              </w:rPr>
              <w:t>Notes to Condensed Consolidated Financial Statements</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9"/>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60" w:type="dxa"/>
            <w:vAlign w:val="bottom"/>
          </w:tcPr>
          <w:p>
            <w:pPr>
              <w:jc w:val="center"/>
              <w:ind w:right="174"/>
              <w:spacing w:after="0"/>
              <w:rPr>
                <w:sz w:val="20"/>
                <w:szCs w:val="20"/>
                <w:color w:val="auto"/>
              </w:rPr>
            </w:pPr>
            <w:r>
              <w:rPr>
                <w:rFonts w:ascii="Arial" w:cs="Arial" w:eastAsia="Arial" w:hAnsi="Arial"/>
                <w:sz w:val="17"/>
                <w:szCs w:val="17"/>
                <w:color w:val="auto"/>
                <w:w w:val="91"/>
              </w:rPr>
              <w:t>June 30, 2018 (Unaudited)</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26"/>
        </w:trPr>
        <w:tc>
          <w:tcPr>
            <w:tcW w:w="660" w:type="dxa"/>
            <w:vAlign w:val="bottom"/>
          </w:tcPr>
          <w:p>
            <w:pPr>
              <w:spacing w:after="0"/>
              <w:rPr>
                <w:sz w:val="20"/>
                <w:szCs w:val="20"/>
                <w:color w:val="auto"/>
              </w:rPr>
            </w:pPr>
            <w:r>
              <w:rPr>
                <w:rFonts w:ascii="Arial" w:cs="Arial" w:eastAsia="Arial" w:hAnsi="Arial"/>
                <w:sz w:val="17"/>
                <w:szCs w:val="17"/>
                <w:color w:val="auto"/>
              </w:rPr>
              <w:t>12)</w:t>
            </w:r>
          </w:p>
        </w:tc>
        <w:tc>
          <w:tcPr>
            <w:tcW w:w="8520" w:type="dxa"/>
            <w:vAlign w:val="bottom"/>
            <w:gridSpan w:val="3"/>
          </w:tcPr>
          <w:p>
            <w:pPr>
              <w:spacing w:after="0"/>
              <w:rPr>
                <w:sz w:val="20"/>
                <w:szCs w:val="20"/>
                <w:color w:val="auto"/>
              </w:rPr>
            </w:pPr>
            <w:r>
              <w:rPr>
                <w:rFonts w:ascii="Arial" w:cs="Arial" w:eastAsia="Arial" w:hAnsi="Arial"/>
                <w:sz w:val="17"/>
                <w:szCs w:val="17"/>
                <w:color w:val="auto"/>
              </w:rPr>
              <w:t>Mortgage Servicing Rights (Continued)</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860" w:type="dxa"/>
            <w:vAlign w:val="bottom"/>
            <w:gridSpan w:val="2"/>
            <w:shd w:val="clear" w:color="auto" w:fill="000000"/>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4"/>
        </w:trPr>
        <w:tc>
          <w:tcPr>
            <w:tcW w:w="9180" w:type="dxa"/>
            <w:vAlign w:val="bottom"/>
            <w:gridSpan w:val="4"/>
          </w:tcPr>
          <w:p>
            <w:pPr>
              <w:spacing w:after="0"/>
              <w:rPr>
                <w:sz w:val="20"/>
                <w:szCs w:val="20"/>
                <w:color w:val="auto"/>
              </w:rPr>
            </w:pPr>
            <w:r>
              <w:rPr>
                <w:rFonts w:ascii="Arial" w:cs="Arial" w:eastAsia="Arial" w:hAnsi="Arial"/>
                <w:sz w:val="17"/>
                <w:szCs w:val="17"/>
                <w:color w:val="auto"/>
                <w:w w:val="97"/>
              </w:rPr>
              <w:t>The following table summarizes the Company's estimate of future amortization of its existing MSRs carried at amortized cost:</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2"/>
        </w:trPr>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2"/>
              </w:rPr>
              <w:t>Estimated</w:t>
            </w:r>
          </w:p>
        </w:tc>
        <w:tc>
          <w:tcPr>
            <w:tcW w:w="80" w:type="dxa"/>
            <w:vAlign w:val="bottom"/>
          </w:tcPr>
          <w:p>
            <w:pPr>
              <w:spacing w:after="0"/>
              <w:rPr>
                <w:sz w:val="24"/>
                <w:szCs w:val="24"/>
                <w:color w:val="auto"/>
              </w:rPr>
            </w:pPr>
          </w:p>
        </w:tc>
      </w:tr>
      <w:tr>
        <w:trPr>
          <w:trHeight w:val="207"/>
        </w:trPr>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5"/>
              </w:rPr>
              <w:t>MSR</w:t>
            </w:r>
          </w:p>
        </w:tc>
        <w:tc>
          <w:tcPr>
            <w:tcW w:w="80" w:type="dxa"/>
            <w:vAlign w:val="bottom"/>
          </w:tcPr>
          <w:p>
            <w:pPr>
              <w:spacing w:after="0"/>
              <w:rPr>
                <w:sz w:val="17"/>
                <w:szCs w:val="17"/>
                <w:color w:val="auto"/>
              </w:rPr>
            </w:pPr>
          </w:p>
        </w:tc>
      </w:tr>
      <w:tr>
        <w:trPr>
          <w:trHeight w:val="225"/>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1020" w:type="dxa"/>
            <w:vAlign w:val="bottom"/>
            <w:gridSpan w:val="2"/>
          </w:tcPr>
          <w:p>
            <w:pPr>
              <w:jc w:val="center"/>
              <w:ind w:left="14"/>
              <w:spacing w:after="0"/>
              <w:rPr>
                <w:sz w:val="20"/>
                <w:szCs w:val="20"/>
                <w:color w:val="auto"/>
              </w:rPr>
            </w:pPr>
            <w:r>
              <w:rPr>
                <w:rFonts w:ascii="Arial" w:cs="Arial" w:eastAsia="Arial" w:hAnsi="Arial"/>
                <w:sz w:val="17"/>
                <w:szCs w:val="17"/>
                <w:color w:val="auto"/>
                <w:w w:val="97"/>
              </w:rPr>
              <w:t>Amortization</w:t>
            </w:r>
          </w:p>
        </w:tc>
        <w:tc>
          <w:tcPr>
            <w:tcW w:w="80" w:type="dxa"/>
            <w:vAlign w:val="bottom"/>
          </w:tcPr>
          <w:p>
            <w:pPr>
              <w:spacing w:after="0"/>
              <w:rPr>
                <w:sz w:val="19"/>
                <w:szCs w:val="19"/>
                <w:color w:val="auto"/>
              </w:rPr>
            </w:pPr>
          </w:p>
        </w:tc>
      </w:tr>
      <w:tr>
        <w:trPr>
          <w:trHeight w:val="207"/>
        </w:trPr>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7"/>
                <w:szCs w:val="17"/>
                <w:color w:val="auto"/>
              </w:rPr>
              <w:t>2018</w:t>
            </w:r>
          </w:p>
        </w:tc>
        <w:tc>
          <w:tcPr>
            <w:tcW w:w="6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4,008,666</w:t>
            </w:r>
          </w:p>
        </w:tc>
        <w:tc>
          <w:tcPr>
            <w:tcW w:w="80" w:type="dxa"/>
            <w:vAlign w:val="bottom"/>
            <w:shd w:val="clear" w:color="auto" w:fill="CCEEFF"/>
          </w:tcPr>
          <w:p>
            <w:pPr>
              <w:spacing w:after="0"/>
              <w:rPr>
                <w:sz w:val="17"/>
                <w:szCs w:val="17"/>
                <w:color w:val="auto"/>
              </w:rPr>
            </w:pPr>
          </w:p>
        </w:tc>
      </w:tr>
      <w:tr>
        <w:trPr>
          <w:trHeight w:val="207"/>
        </w:trPr>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Arial" w:cs="Arial" w:eastAsia="Arial" w:hAnsi="Arial"/>
                <w:sz w:val="17"/>
                <w:szCs w:val="17"/>
                <w:color w:val="auto"/>
              </w:rPr>
              <w:t>2019</w:t>
            </w:r>
          </w:p>
        </w:tc>
        <w:tc>
          <w:tcPr>
            <w:tcW w:w="66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4,008,666</w:t>
            </w:r>
          </w:p>
        </w:tc>
        <w:tc>
          <w:tcPr>
            <w:tcW w:w="80" w:type="dxa"/>
            <w:vAlign w:val="bottom"/>
          </w:tcPr>
          <w:p>
            <w:pPr>
              <w:spacing w:after="0"/>
              <w:rPr>
                <w:sz w:val="17"/>
                <w:szCs w:val="17"/>
                <w:color w:val="auto"/>
              </w:rPr>
            </w:pPr>
          </w:p>
        </w:tc>
      </w:tr>
      <w:tr>
        <w:trPr>
          <w:trHeight w:val="207"/>
        </w:trPr>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66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4,008,666</w:t>
            </w:r>
          </w:p>
        </w:tc>
        <w:tc>
          <w:tcPr>
            <w:tcW w:w="80" w:type="dxa"/>
            <w:vAlign w:val="bottom"/>
            <w:shd w:val="clear" w:color="auto" w:fill="CCEEFF"/>
          </w:tcPr>
          <w:p>
            <w:pPr>
              <w:spacing w:after="0"/>
              <w:rPr>
                <w:sz w:val="17"/>
                <w:szCs w:val="17"/>
                <w:color w:val="auto"/>
              </w:rPr>
            </w:pPr>
          </w:p>
        </w:tc>
      </w:tr>
      <w:tr>
        <w:trPr>
          <w:trHeight w:val="207"/>
        </w:trPr>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Arial" w:cs="Arial" w:eastAsia="Arial" w:hAnsi="Arial"/>
                <w:sz w:val="17"/>
                <w:szCs w:val="17"/>
                <w:color w:val="auto"/>
              </w:rPr>
              <w:t>2021</w:t>
            </w:r>
          </w:p>
        </w:tc>
        <w:tc>
          <w:tcPr>
            <w:tcW w:w="66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4,008,522</w:t>
            </w:r>
          </w:p>
        </w:tc>
        <w:tc>
          <w:tcPr>
            <w:tcW w:w="80" w:type="dxa"/>
            <w:vAlign w:val="bottom"/>
          </w:tcPr>
          <w:p>
            <w:pPr>
              <w:spacing w:after="0"/>
              <w:rPr>
                <w:sz w:val="17"/>
                <w:szCs w:val="17"/>
                <w:color w:val="auto"/>
              </w:rPr>
            </w:pPr>
          </w:p>
        </w:tc>
      </w:tr>
      <w:tr>
        <w:trPr>
          <w:trHeight w:val="207"/>
        </w:trPr>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66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3,202,881</w:t>
            </w:r>
          </w:p>
        </w:tc>
        <w:tc>
          <w:tcPr>
            <w:tcW w:w="80" w:type="dxa"/>
            <w:vAlign w:val="bottom"/>
            <w:shd w:val="clear" w:color="auto" w:fill="CCEEFF"/>
          </w:tcPr>
          <w:p>
            <w:pPr>
              <w:spacing w:after="0"/>
              <w:rPr>
                <w:sz w:val="17"/>
                <w:szCs w:val="17"/>
                <w:color w:val="auto"/>
              </w:rPr>
            </w:pPr>
          </w:p>
        </w:tc>
      </w:tr>
      <w:tr>
        <w:trPr>
          <w:trHeight w:val="213"/>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7"/>
                <w:szCs w:val="17"/>
                <w:color w:val="auto"/>
              </w:rPr>
              <w:t>Thereafter</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1,880,536</w:t>
            </w:r>
          </w:p>
        </w:tc>
        <w:tc>
          <w:tcPr>
            <w:tcW w:w="80" w:type="dxa"/>
            <w:vAlign w:val="bottom"/>
          </w:tcPr>
          <w:p>
            <w:pPr>
              <w:spacing w:after="0"/>
              <w:rPr>
                <w:sz w:val="18"/>
                <w:szCs w:val="18"/>
                <w:color w:val="auto"/>
              </w:rPr>
            </w:pPr>
          </w:p>
        </w:tc>
      </w:tr>
      <w:tr>
        <w:trPr>
          <w:trHeight w:val="247"/>
        </w:trPr>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$ 21,117,937</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30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Company collected the following contractual servicing fee income and late fee income as reported in other revenues on the condensed consolidated statement of earnings:</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gridSpan w:val="4"/>
          </w:tcPr>
          <w:p>
            <w:pPr>
              <w:jc w:val="right"/>
              <w:ind w:right="194"/>
              <w:spacing w:after="0"/>
              <w:rPr>
                <w:sz w:val="20"/>
                <w:szCs w:val="20"/>
                <w:color w:val="auto"/>
              </w:rPr>
            </w:pPr>
            <w:r>
              <w:rPr>
                <w:rFonts w:ascii="Arial" w:cs="Arial" w:eastAsia="Arial" w:hAnsi="Arial"/>
                <w:sz w:val="17"/>
                <w:szCs w:val="17"/>
                <w:color w:val="auto"/>
                <w:w w:val="98"/>
              </w:rPr>
              <w:t>Three Months Ended</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gridSpan w:val="4"/>
          </w:tcPr>
          <w:p>
            <w:pPr>
              <w:jc w:val="right"/>
              <w:ind w:right="274"/>
              <w:spacing w:after="0"/>
              <w:rPr>
                <w:sz w:val="20"/>
                <w:szCs w:val="20"/>
                <w:color w:val="auto"/>
              </w:rPr>
            </w:pPr>
            <w:r>
              <w:rPr>
                <w:rFonts w:ascii="Arial" w:cs="Arial" w:eastAsia="Arial" w:hAnsi="Arial"/>
                <w:sz w:val="17"/>
                <w:szCs w:val="17"/>
                <w:color w:val="auto"/>
              </w:rPr>
              <w:t>Six Months Ended</w:t>
            </w:r>
          </w:p>
        </w:tc>
        <w:tc>
          <w:tcPr>
            <w:tcW w:w="8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June 30</w:t>
            </w:r>
          </w:p>
        </w:tc>
        <w:tc>
          <w:tcPr>
            <w:tcW w:w="7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June 30</w:t>
            </w: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2017</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2017</w:t>
            </w:r>
          </w:p>
        </w:tc>
        <w:tc>
          <w:tcPr>
            <w:tcW w:w="80" w:type="dxa"/>
            <w:vAlign w:val="bottom"/>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Contractual servicing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1,887,576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1,674,721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3,764,459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3,510,594</w:t>
            </w:r>
          </w:p>
        </w:tc>
        <w:tc>
          <w:tcPr>
            <w:tcW w:w="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Late fees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116,350</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80,599</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228,098</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166,937</w:t>
            </w:r>
          </w:p>
        </w:tc>
        <w:tc>
          <w:tcPr>
            <w:tcW w:w="80" w:type="dxa"/>
            <w:vAlign w:val="bottom"/>
          </w:tcPr>
          <w:p>
            <w:pPr>
              <w:spacing w:after="0"/>
              <w:rPr>
                <w:sz w:val="18"/>
                <w:szCs w:val="18"/>
                <w:color w:val="auto"/>
              </w:rPr>
            </w:pPr>
          </w:p>
        </w:tc>
      </w:tr>
      <w:tr>
        <w:trPr>
          <w:trHeight w:val="247"/>
        </w:trPr>
        <w:tc>
          <w:tcPr>
            <w:tcW w:w="20" w:type="dxa"/>
            <w:vAlign w:val="bottom"/>
          </w:tcPr>
          <w:p>
            <w:pPr>
              <w:spacing w:after="0"/>
              <w:rPr>
                <w:sz w:val="21"/>
                <w:szCs w:val="21"/>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2,003,926</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1,755,320</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3,992,557</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3,677,531</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unpaid principal balances ("UPB") of the servicing portfolio for the periods presented:</w:t>
      </w:r>
    </w:p>
    <w:p>
      <w:pPr>
        <w:spacing w:after="0" w:line="270"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97"/>
              </w:rPr>
              <w:t>As of</w:t>
            </w:r>
          </w:p>
        </w:tc>
        <w:tc>
          <w:tcPr>
            <w:tcW w:w="1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7"/>
              </w:rPr>
              <w:t>As of</w:t>
            </w:r>
          </w:p>
        </w:tc>
        <w:tc>
          <w:tcPr>
            <w:tcW w:w="8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5"/>
              </w:rPr>
              <w:t>June 30</w:t>
            </w:r>
          </w:p>
        </w:tc>
        <w:tc>
          <w:tcPr>
            <w:tcW w:w="1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0"/>
              </w:rPr>
              <w:t>December 31</w:t>
            </w:r>
          </w:p>
        </w:tc>
        <w:tc>
          <w:tcPr>
            <w:tcW w:w="8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3920" w:type="dxa"/>
            <w:vAlign w:val="bottom"/>
            <w:gridSpan w:val="2"/>
          </w:tcPr>
          <w:p>
            <w:pPr>
              <w:jc w:val="right"/>
              <w:ind w:right="294"/>
              <w:spacing w:after="0"/>
              <w:rPr>
                <w:sz w:val="20"/>
                <w:szCs w:val="20"/>
                <w:color w:val="auto"/>
              </w:rPr>
            </w:pPr>
            <w:r>
              <w:rPr>
                <w:rFonts w:ascii="Arial" w:cs="Arial" w:eastAsia="Arial" w:hAnsi="Arial"/>
                <w:sz w:val="17"/>
                <w:szCs w:val="17"/>
                <w:color w:val="auto"/>
              </w:rPr>
              <w:t>2018</w:t>
            </w:r>
          </w:p>
        </w:tc>
        <w:tc>
          <w:tcPr>
            <w:tcW w:w="1260" w:type="dxa"/>
            <w:vAlign w:val="bottom"/>
            <w:gridSpan w:val="2"/>
          </w:tcPr>
          <w:p>
            <w:pPr>
              <w:jc w:val="center"/>
              <w:ind w:left="114"/>
              <w:spacing w:after="0"/>
              <w:rPr>
                <w:sz w:val="20"/>
                <w:szCs w:val="20"/>
                <w:color w:val="auto"/>
              </w:rPr>
            </w:pPr>
            <w:r>
              <w:rPr>
                <w:rFonts w:ascii="Arial" w:cs="Arial" w:eastAsia="Arial" w:hAnsi="Arial"/>
                <w:sz w:val="17"/>
                <w:szCs w:val="17"/>
                <w:color w:val="auto"/>
                <w:w w:val="89"/>
              </w:rPr>
              <w:t>2017</w:t>
            </w:r>
          </w:p>
        </w:tc>
        <w:tc>
          <w:tcPr>
            <w:tcW w:w="8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Servicing UPB</w:t>
            </w:r>
          </w:p>
        </w:tc>
        <w:tc>
          <w:tcPr>
            <w:tcW w:w="282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$2,974,279,299</w:t>
            </w:r>
          </w:p>
        </w:tc>
        <w:tc>
          <w:tcPr>
            <w:tcW w:w="18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$2,924,868,843</w:t>
            </w:r>
          </w:p>
        </w:tc>
        <w:tc>
          <w:tcPr>
            <w:tcW w:w="8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key assumptions were used in determining MSR value: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Prepayment</w:t>
            </w:r>
          </w:p>
        </w:tc>
        <w:tc>
          <w:tcPr>
            <w:tcW w:w="920" w:type="dxa"/>
            <w:vAlign w:val="bottom"/>
          </w:tcPr>
          <w:p>
            <w:pPr>
              <w:jc w:val="right"/>
              <w:ind w:right="94"/>
              <w:spacing w:after="0"/>
              <w:rPr>
                <w:sz w:val="20"/>
                <w:szCs w:val="20"/>
                <w:color w:val="auto"/>
              </w:rPr>
            </w:pPr>
            <w:r>
              <w:rPr>
                <w:rFonts w:ascii="Arial" w:cs="Arial" w:eastAsia="Arial" w:hAnsi="Arial"/>
                <w:sz w:val="17"/>
                <w:szCs w:val="17"/>
                <w:color w:val="auto"/>
              </w:rPr>
              <w:t>Average</w:t>
            </w:r>
          </w:p>
        </w:tc>
        <w:tc>
          <w:tcPr>
            <w:tcW w:w="180" w:type="dxa"/>
            <w:vAlign w:val="bottom"/>
          </w:tcPr>
          <w:p>
            <w:pPr>
              <w:spacing w:after="0"/>
              <w:rPr>
                <w:sz w:val="17"/>
                <w:szCs w:val="17"/>
                <w:color w:val="auto"/>
              </w:rPr>
            </w:pPr>
          </w:p>
        </w:tc>
        <w:tc>
          <w:tcPr>
            <w:tcW w:w="900" w:type="dxa"/>
            <w:vAlign w:val="bottom"/>
          </w:tcPr>
          <w:p>
            <w:pPr>
              <w:jc w:val="right"/>
              <w:ind w:right="74"/>
              <w:spacing w:after="0"/>
              <w:rPr>
                <w:sz w:val="20"/>
                <w:szCs w:val="20"/>
                <w:color w:val="auto"/>
              </w:rPr>
            </w:pPr>
            <w:r>
              <w:rPr>
                <w:rFonts w:ascii="Arial" w:cs="Arial" w:eastAsia="Arial" w:hAnsi="Arial"/>
                <w:sz w:val="17"/>
                <w:szCs w:val="17"/>
                <w:color w:val="auto"/>
              </w:rPr>
              <w:t>Discount</w:t>
            </w:r>
          </w:p>
        </w:tc>
        <w:tc>
          <w:tcPr>
            <w:tcW w:w="80" w:type="dxa"/>
            <w:vAlign w:val="bottom"/>
          </w:tcPr>
          <w:p>
            <w:pPr>
              <w:spacing w:after="0"/>
              <w:rPr>
                <w:sz w:val="17"/>
                <w:szCs w:val="17"/>
                <w:color w:val="auto"/>
              </w:rPr>
            </w:pPr>
          </w:p>
        </w:tc>
      </w:tr>
      <w:tr>
        <w:trPr>
          <w:trHeight w:val="225"/>
        </w:trPr>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3"/>
              </w:rPr>
              <w:t>Speeds</w:t>
            </w:r>
          </w:p>
        </w:tc>
        <w:tc>
          <w:tcPr>
            <w:tcW w:w="2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Life (Years)</w:t>
            </w:r>
          </w:p>
        </w:tc>
        <w:tc>
          <w:tcPr>
            <w:tcW w:w="180" w:type="dxa"/>
            <w:vAlign w:val="bottom"/>
          </w:tcPr>
          <w:p>
            <w:pPr>
              <w:spacing w:after="0"/>
              <w:rPr>
                <w:sz w:val="19"/>
                <w:szCs w:val="19"/>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Rate</w:t>
            </w:r>
          </w:p>
        </w:tc>
        <w:tc>
          <w:tcPr>
            <w:tcW w:w="80" w:type="dxa"/>
            <w:vAlign w:val="bottom"/>
          </w:tcPr>
          <w:p>
            <w:pPr>
              <w:spacing w:after="0"/>
              <w:rPr>
                <w:sz w:val="19"/>
                <w:szCs w:val="19"/>
                <w:color w:val="auto"/>
              </w:rPr>
            </w:pPr>
          </w:p>
        </w:tc>
      </w:tr>
      <w:tr>
        <w:trPr>
          <w:trHeight w:val="207"/>
        </w:trPr>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June 30, 2018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4.09%</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9.51</w:t>
            </w:r>
          </w:p>
        </w:tc>
        <w:tc>
          <w:tcPr>
            <w:tcW w:w="80" w:type="dxa"/>
            <w:vAlign w:val="bottom"/>
            <w:shd w:val="clear" w:color="auto" w:fill="CCEEFF"/>
          </w:tcPr>
          <w:p>
            <w:pPr>
              <w:spacing w:after="0"/>
              <w:rPr>
                <w:sz w:val="17"/>
                <w:szCs w:val="17"/>
                <w:color w:val="auto"/>
              </w:rPr>
            </w:pPr>
          </w:p>
        </w:tc>
      </w:tr>
      <w:tr>
        <w:trPr>
          <w:trHeight w:val="219"/>
        </w:trPr>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7"/>
                <w:szCs w:val="17"/>
                <w:color w:val="auto"/>
              </w:rPr>
              <w:t>December 31, 2017</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3.67%</w:t>
            </w:r>
          </w:p>
        </w:tc>
        <w:tc>
          <w:tcPr>
            <w:tcW w:w="920" w:type="dxa"/>
            <w:vAlign w:val="bottom"/>
          </w:tcPr>
          <w:p>
            <w:pPr>
              <w:jc w:val="right"/>
              <w:spacing w:after="0"/>
              <w:rPr>
                <w:sz w:val="20"/>
                <w:szCs w:val="20"/>
                <w:color w:val="auto"/>
              </w:rPr>
            </w:pPr>
            <w:r>
              <w:rPr>
                <w:rFonts w:ascii="Arial" w:cs="Arial" w:eastAsia="Arial" w:hAnsi="Arial"/>
                <w:sz w:val="17"/>
                <w:szCs w:val="17"/>
                <w:color w:val="auto"/>
              </w:rPr>
              <w:t>6.34</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10.01</w:t>
            </w:r>
          </w:p>
        </w:tc>
        <w:tc>
          <w:tcPr>
            <w:tcW w:w="80" w:type="dxa"/>
            <w:vAlign w:val="bottom"/>
          </w:tcPr>
          <w:p>
            <w:pPr>
              <w:spacing w:after="0"/>
              <w:rPr>
                <w:sz w:val="19"/>
                <w:szCs w:val="19"/>
                <w:color w:val="auto"/>
              </w:rPr>
            </w:pPr>
          </w:p>
        </w:tc>
      </w:tr>
      <w:tr>
        <w:trPr>
          <w:trHeight w:val="452"/>
        </w:trPr>
        <w:tc>
          <w:tcPr>
            <w:tcW w:w="800" w:type="dxa"/>
            <w:vAlign w:val="bottom"/>
          </w:tcPr>
          <w:p>
            <w:pPr>
              <w:jc w:val="right"/>
              <w:ind w:right="417"/>
              <w:spacing w:after="0"/>
              <w:rPr>
                <w:sz w:val="20"/>
                <w:szCs w:val="20"/>
                <w:color w:val="auto"/>
              </w:rPr>
            </w:pPr>
            <w:r>
              <w:rPr>
                <w:rFonts w:ascii="Arial" w:cs="Arial" w:eastAsia="Arial" w:hAnsi="Arial"/>
                <w:sz w:val="21"/>
                <w:szCs w:val="21"/>
                <w:color w:val="auto"/>
                <w:w w:val="85"/>
              </w:rPr>
              <w:t>13)</w:t>
            </w: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88"/>
              </w:rPr>
              <w:t>Income Taxes</w:t>
            </w:r>
          </w:p>
        </w:tc>
        <w:tc>
          <w:tcPr>
            <w:tcW w:w="5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8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Company's overall effective tax rate for the three months ended June 30, 2018 and 2017 was 22.2% and 37.8%, respectively, which resulted in a provision for income taxes of $924,000 and $1,508,000, respectively. The Company's overall effective tax rate for the six months ended June 30, 2018 and 2017 was 20.5% and 36.9%, respectively, which resulted in a provision for income taxes of $5,185,000 and $2,546,000, respectively. The Company's effective tax rates differ from the U.S. federal statutory rate of 21% in 2018 and 35% in 2017 largely due to its provision for state income taxes. The effective tax rate in the current period decreased when compared to the prior year period largely due to the Tax Cuts and Jobs Act reduction of the federal statutory rate from 35% to 21%.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June 30, 2018 (Unaudited)</w:t>
      </w:r>
    </w:p>
    <w:p>
      <w:pPr>
        <w:spacing w:after="0" w:line="257" w:lineRule="exact"/>
        <w:rPr>
          <w:sz w:val="20"/>
          <w:szCs w:val="20"/>
          <w:color w:val="auto"/>
        </w:rPr>
      </w:pPr>
    </w:p>
    <w:p>
      <w:pPr>
        <w:ind w:left="660" w:hanging="657"/>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Revenues from Contracts with Customers</w:t>
      </w:r>
    </w:p>
    <w:p>
      <w:pPr>
        <w:spacing w:after="0" w:line="27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See Note 2 regarding the adoption of ASU No. 2014-09. The Company's cemetery and mortuary revenues are the only revenues recognized from contracts with customers, thus they are the only revenues subject to ASU No. 2014-09.</w:t>
      </w:r>
    </w:p>
    <w:p>
      <w:pPr>
        <w:spacing w:after="0" w:line="21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Pre-need contract sales of funeral services and caskets - revenue and costs associated with the sales of pre-need funeral services and caskets are deferred until the services are performed or the caskets are delivered.</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Sales of cemetery interment rights (cemetery burial property) - revenue and costs associated with the sale of cemetery interment rights are recognized in accordance with the retail land sales provisions based on GAAP. Under GAAP, recognition of revenue and associated costs from constructed cemetery property must be deferred until 10% of the sales price has been collected.</w:t>
      </w:r>
    </w:p>
    <w:p>
      <w:pPr>
        <w:spacing w:after="0" w:line="22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Pre-need contract sales of cemetery merchandise (primarily markers and vaults) - revenue and costs associated with the sale of pre-need cemetery merchandise is deferred until the merchandise is delivered.</w:t>
      </w:r>
    </w:p>
    <w:p>
      <w:pPr>
        <w:spacing w:after="0" w:line="21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Pre-need contract sales of cemetery services (primarily merchandise delivery and installation fees) - revenue and costs associated with the sales of pre-need cemetery services are deferred until the services are performed.</w:t>
      </w:r>
    </w:p>
    <w:p>
      <w:pPr>
        <w:spacing w:after="0" w:line="211"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Prearranged funeral and pre-need cemetery customer acquisition costs - costs incurred related to obtaining new pre-need contract cemetery and prearranged funeral services are accounted for under the guidance of the provisions based on GAAP. Obtaining costs, which include only costs that vary with and are primarily related to the acquisition of new pre-need cemetery and prearranged funeral services, are deferred until the merchandise is delivered or services are performed.</w:t>
      </w:r>
    </w:p>
    <w:p>
      <w:pPr>
        <w:spacing w:after="0" w:line="189" w:lineRule="exact"/>
        <w:rPr>
          <w:sz w:val="20"/>
          <w:szCs w:val="20"/>
          <w:color w:val="auto"/>
        </w:rPr>
      </w:pPr>
    </w:p>
    <w:p>
      <w:pPr>
        <w:jc w:val="both"/>
        <w:spacing w:after="0" w:line="213" w:lineRule="exact"/>
        <w:rPr>
          <w:sz w:val="20"/>
          <w:szCs w:val="20"/>
          <w:color w:val="auto"/>
        </w:rPr>
      </w:pPr>
      <w:r>
        <w:rPr>
          <w:rFonts w:ascii="Arial" w:cs="Arial" w:eastAsia="Arial" w:hAnsi="Arial"/>
          <w:sz w:val="17"/>
          <w:szCs w:val="17"/>
          <w:color w:val="auto"/>
        </w:rPr>
        <w:t>Revenues and costs for at</w:t>
      </w:r>
      <w:r>
        <w:rPr>
          <w:rFonts w:ascii="MS PGothic" w:cs="MS PGothic" w:eastAsia="MS PGothic" w:hAnsi="MS PGothic"/>
          <w:sz w:val="17"/>
          <w:szCs w:val="17"/>
          <w:color w:val="auto"/>
        </w:rPr>
        <w:t>‑</w:t>
      </w:r>
      <w:r>
        <w:rPr>
          <w:rFonts w:ascii="Arial" w:cs="Arial" w:eastAsia="Arial" w:hAnsi="Arial"/>
          <w:sz w:val="17"/>
          <w:szCs w:val="17"/>
          <w:color w:val="auto"/>
        </w:rPr>
        <w:t>need sales are recorded when a valid contract exists, the services are performed, collection is reasonably assured and there are no significant obligations remaining.</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disaggregates revenue for the Company's cemetery and mortuary contracts.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center"/>
              <w:ind w:right="54"/>
              <w:spacing w:after="0"/>
              <w:rPr>
                <w:sz w:val="20"/>
                <w:szCs w:val="20"/>
                <w:color w:val="auto"/>
              </w:rPr>
            </w:pPr>
            <w:r>
              <w:rPr>
                <w:rFonts w:ascii="Arial" w:cs="Arial" w:eastAsia="Arial" w:hAnsi="Arial"/>
                <w:sz w:val="17"/>
                <w:szCs w:val="17"/>
                <w:color w:val="auto"/>
                <w:w w:val="89"/>
              </w:rPr>
              <w:t>Three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center"/>
              <w:ind w:right="54"/>
              <w:spacing w:after="0"/>
              <w:rPr>
                <w:sz w:val="20"/>
                <w:szCs w:val="20"/>
                <w:color w:val="auto"/>
              </w:rPr>
            </w:pPr>
            <w:r>
              <w:rPr>
                <w:rFonts w:ascii="Arial" w:cs="Arial" w:eastAsia="Arial" w:hAnsi="Arial"/>
                <w:sz w:val="17"/>
                <w:szCs w:val="17"/>
                <w:color w:val="auto"/>
                <w:w w:val="93"/>
              </w:rPr>
              <w:t>Months</w:t>
            </w:r>
          </w:p>
        </w:tc>
        <w:tc>
          <w:tcPr>
            <w:tcW w:w="1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w w:val="97"/>
              </w:rPr>
              <w:t>Six Months</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920" w:type="dxa"/>
            <w:vAlign w:val="bottom"/>
            <w:gridSpan w:val="2"/>
          </w:tcPr>
          <w:p>
            <w:pPr>
              <w:jc w:val="center"/>
              <w:spacing w:after="0"/>
              <w:rPr>
                <w:sz w:val="20"/>
                <w:szCs w:val="20"/>
                <w:color w:val="auto"/>
              </w:rPr>
            </w:pPr>
            <w:r>
              <w:rPr>
                <w:rFonts w:ascii="Arial" w:cs="Arial" w:eastAsia="Arial" w:hAnsi="Arial"/>
                <w:sz w:val="17"/>
                <w:szCs w:val="17"/>
                <w:color w:val="auto"/>
                <w:w w:val="88"/>
              </w:rPr>
              <w:t>Ended June</w:t>
            </w:r>
          </w:p>
        </w:tc>
        <w:tc>
          <w:tcPr>
            <w:tcW w:w="1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w w:val="90"/>
              </w:rPr>
              <w:t>Ended June</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30</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30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140" w:type="dxa"/>
            <w:vAlign w:val="bottom"/>
          </w:tcPr>
          <w:p>
            <w:pPr>
              <w:spacing w:after="0"/>
              <w:rPr>
                <w:sz w:val="14"/>
                <w:szCs w:val="14"/>
                <w:color w:val="auto"/>
              </w:rPr>
            </w:pPr>
          </w:p>
        </w:tc>
        <w:tc>
          <w:tcPr>
            <w:tcW w:w="1880" w:type="dxa"/>
            <w:vAlign w:val="bottom"/>
            <w:tcBorders>
              <w:bottom w:val="single" w:sz="8" w:color="auto"/>
            </w:tcBorders>
            <w:gridSpan w:val="2"/>
          </w:tcPr>
          <w:p>
            <w:pPr>
              <w:spacing w:after="0" w:line="168" w:lineRule="exact"/>
              <w:rPr>
                <w:sz w:val="20"/>
                <w:szCs w:val="20"/>
                <w:color w:val="auto"/>
              </w:rPr>
            </w:pPr>
            <w:r>
              <w:rPr>
                <w:rFonts w:ascii="Arial" w:cs="Arial" w:eastAsia="Arial" w:hAnsi="Arial"/>
                <w:sz w:val="17"/>
                <w:szCs w:val="17"/>
                <w:b w:val="1"/>
                <w:bCs w:val="1"/>
                <w:color w:val="auto"/>
                <w:w w:val="89"/>
              </w:rPr>
              <w:t>Major goods/service lines</w:t>
            </w:r>
          </w:p>
        </w:tc>
        <w:tc>
          <w:tcPr>
            <w:tcW w:w="1660" w:type="dxa"/>
            <w:vAlign w:val="bottom"/>
            <w:gridSpan w:val="2"/>
          </w:tcPr>
          <w:p>
            <w:pPr>
              <w:spacing w:after="0"/>
              <w:rPr>
                <w:sz w:val="14"/>
                <w:szCs w:val="14"/>
                <w:color w:val="auto"/>
              </w:rPr>
            </w:pPr>
          </w:p>
        </w:tc>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At-need</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2,463,070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5,200,695</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Arial" w:cs="Arial" w:eastAsia="Arial" w:hAnsi="Arial"/>
                <w:sz w:val="17"/>
                <w:szCs w:val="17"/>
                <w:color w:val="auto"/>
              </w:rPr>
              <w:t>Pre-need</w:t>
            </w:r>
          </w:p>
        </w:tc>
        <w:tc>
          <w:tcPr>
            <w:tcW w:w="3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1,088,039</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1,583,143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3,551,109</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6,783,838</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1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3520" w:type="dxa"/>
            <w:vAlign w:val="bottom"/>
            <w:gridSpan w:val="3"/>
            <w:shd w:val="clear" w:color="auto" w:fill="CCEEFF"/>
          </w:tcPr>
          <w:p>
            <w:pPr>
              <w:spacing w:after="0" w:line="168" w:lineRule="exact"/>
              <w:rPr>
                <w:sz w:val="20"/>
                <w:szCs w:val="20"/>
                <w:color w:val="auto"/>
              </w:rPr>
            </w:pPr>
            <w:r>
              <w:rPr>
                <w:rFonts w:ascii="Arial" w:cs="Arial" w:eastAsia="Arial" w:hAnsi="Arial"/>
                <w:sz w:val="17"/>
                <w:szCs w:val="17"/>
                <w:b w:val="1"/>
                <w:bCs w:val="1"/>
                <w:color w:val="auto"/>
              </w:rPr>
              <w:t>Timing of Revenue Recognition</w:t>
            </w:r>
          </w:p>
        </w:tc>
        <w:tc>
          <w:tcPr>
            <w:tcW w:w="3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186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3520" w:type="dxa"/>
            <w:vAlign w:val="bottom"/>
            <w:gridSpan w:val="3"/>
          </w:tcPr>
          <w:p>
            <w:pPr>
              <w:spacing w:after="0"/>
              <w:rPr>
                <w:sz w:val="20"/>
                <w:szCs w:val="20"/>
                <w:color w:val="auto"/>
              </w:rPr>
            </w:pPr>
            <w:r>
              <w:rPr>
                <w:rFonts w:ascii="Arial" w:cs="Arial" w:eastAsia="Arial" w:hAnsi="Arial"/>
                <w:sz w:val="17"/>
                <w:szCs w:val="17"/>
                <w:color w:val="auto"/>
              </w:rPr>
              <w:t>Goods transferred at a point in time</w:t>
            </w:r>
          </w:p>
        </w:tc>
        <w:tc>
          <w:tcPr>
            <w:tcW w:w="36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97"/>
              </w:rPr>
              <w:t>2,413,657</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4,486,138</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Services transferred at a point in time</w:t>
            </w:r>
          </w:p>
        </w:tc>
        <w:tc>
          <w:tcPr>
            <w:tcW w:w="35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1,137,452</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2,297,700</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97"/>
              </w:rPr>
              <w:t>3,551,109</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6,783,838</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520" w:type="dxa"/>
            <w:vAlign w:val="bottom"/>
            <w:vMerge w:val="restart"/>
          </w:tcPr>
          <w:p>
            <w:pPr>
              <w:jc w:val="right"/>
              <w:ind w:right="2338"/>
              <w:spacing w:after="0"/>
              <w:rPr>
                <w:sz w:val="20"/>
                <w:szCs w:val="20"/>
                <w:color w:val="auto"/>
              </w:rPr>
            </w:pPr>
            <w:r>
              <w:rPr>
                <w:rFonts w:ascii="Arial" w:cs="Arial" w:eastAsia="Arial" w:hAnsi="Arial"/>
                <w:sz w:val="14"/>
                <w:szCs w:val="14"/>
                <w:color w:val="auto"/>
              </w:rPr>
              <w:t>45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21"/>
          <w:szCs w:val="21"/>
          <w:color w:val="auto"/>
        </w:rPr>
        <w:t>SECURITY NATIONAL FINANCIAL CORPORATION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June 30, 2018 (Unaudited)</w:t>
      </w:r>
    </w:p>
    <w:p>
      <w:pPr>
        <w:spacing w:after="0" w:line="257" w:lineRule="exact"/>
        <w:rPr>
          <w:sz w:val="20"/>
          <w:szCs w:val="20"/>
          <w:color w:val="auto"/>
        </w:rPr>
      </w:pPr>
    </w:p>
    <w:p>
      <w:pPr>
        <w:ind w:left="660" w:hanging="657"/>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Revenues from Contracts with Customers</w:t>
      </w:r>
      <w:r>
        <w:rPr>
          <w:rFonts w:ascii="Arial" w:cs="Arial" w:eastAsia="Arial" w:hAnsi="Arial"/>
          <w:sz w:val="17"/>
          <w:szCs w:val="17"/>
          <w:color w:val="auto"/>
        </w:rPr>
        <w:t xml:space="preserve"> (Continued)</w:t>
      </w:r>
    </w:p>
    <w:p>
      <w:pPr>
        <w:spacing w:after="0" w:line="270"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The following table reconciles revenues from cemetery and mortuary contracts to Note 7 – Business Segment Information for the Cemetery/Mortuary Segment for the three and six months ended June 30, 2018:</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89"/>
              </w:rPr>
              <w:t>Three</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3"/>
              </w:rPr>
              <w:t>Months</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w w:val="97"/>
              </w:rPr>
              <w:t>Six Months</w:t>
            </w:r>
          </w:p>
        </w:tc>
        <w:tc>
          <w:tcPr>
            <w:tcW w:w="8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89"/>
              </w:rPr>
              <w:t>Ended</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w w:val="90"/>
              </w:rPr>
              <w:t>Ended June</w:t>
            </w:r>
          </w:p>
        </w:tc>
        <w:tc>
          <w:tcPr>
            <w:tcW w:w="8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89"/>
              </w:rPr>
              <w:t>June 30</w:t>
            </w:r>
          </w:p>
        </w:tc>
        <w:tc>
          <w:tcPr>
            <w:tcW w:w="1080" w:type="dxa"/>
            <w:vAlign w:val="bottom"/>
            <w:gridSpan w:val="2"/>
          </w:tcPr>
          <w:p>
            <w:pPr>
              <w:jc w:val="right"/>
              <w:ind w:right="294"/>
              <w:spacing w:after="0"/>
              <w:rPr>
                <w:sz w:val="20"/>
                <w:szCs w:val="20"/>
                <w:color w:val="auto"/>
              </w:rPr>
            </w:pPr>
            <w:r>
              <w:rPr>
                <w:rFonts w:ascii="Arial" w:cs="Arial" w:eastAsia="Arial" w:hAnsi="Arial"/>
                <w:sz w:val="17"/>
                <w:szCs w:val="17"/>
                <w:color w:val="auto"/>
              </w:rPr>
              <w:t>30</w:t>
            </w:r>
          </w:p>
        </w:tc>
        <w:tc>
          <w:tcPr>
            <w:tcW w:w="8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89"/>
              </w:rPr>
              <w:t>2018</w:t>
            </w:r>
          </w:p>
        </w:tc>
        <w:tc>
          <w:tcPr>
            <w:tcW w:w="1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Net mortuary and cemetery sales</w:t>
            </w:r>
          </w:p>
        </w:tc>
        <w:tc>
          <w:tcPr>
            <w:tcW w:w="2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  3,551,109</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  6,783,838</w:t>
            </w:r>
          </w:p>
        </w:tc>
        <w:tc>
          <w:tcPr>
            <w:tcW w:w="8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Gains on investments and other assets</w:t>
            </w:r>
          </w:p>
        </w:tc>
        <w:tc>
          <w:tcPr>
            <w:tcW w:w="3140" w:type="dxa"/>
            <w:vAlign w:val="bottom"/>
            <w:gridSpan w:val="2"/>
          </w:tcPr>
          <w:p>
            <w:pPr>
              <w:jc w:val="right"/>
              <w:spacing w:after="0"/>
              <w:rPr>
                <w:sz w:val="20"/>
                <w:szCs w:val="20"/>
                <w:color w:val="auto"/>
              </w:rPr>
            </w:pPr>
            <w:r>
              <w:rPr>
                <w:rFonts w:ascii="Arial" w:cs="Arial" w:eastAsia="Arial" w:hAnsi="Arial"/>
                <w:sz w:val="17"/>
                <w:szCs w:val="17"/>
                <w:color w:val="auto"/>
              </w:rPr>
              <w:t>1,676,165</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2,085,253</w:t>
            </w:r>
          </w:p>
        </w:tc>
        <w:tc>
          <w:tcPr>
            <w:tcW w:w="8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Net investment income</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36,129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99,601</w:t>
            </w:r>
          </w:p>
        </w:tc>
        <w:tc>
          <w:tcPr>
            <w:tcW w:w="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Other revenues</w:t>
            </w:r>
          </w:p>
        </w:tc>
        <w:tc>
          <w:tcPr>
            <w:tcW w:w="3140" w:type="dxa"/>
            <w:vAlign w:val="bottom"/>
            <w:gridSpan w:val="2"/>
          </w:tcPr>
          <w:p>
            <w:pPr>
              <w:jc w:val="right"/>
              <w:spacing w:after="0"/>
              <w:rPr>
                <w:sz w:val="20"/>
                <w:szCs w:val="20"/>
                <w:color w:val="auto"/>
              </w:rPr>
            </w:pPr>
            <w:r>
              <w:rPr>
                <w:rFonts w:ascii="Arial" w:cs="Arial" w:eastAsia="Arial" w:hAnsi="Arial"/>
                <w:sz w:val="17"/>
                <w:szCs w:val="17"/>
                <w:color w:val="auto"/>
              </w:rPr>
              <w:t>17,602</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82,722</w:t>
            </w:r>
          </w:p>
        </w:tc>
        <w:tc>
          <w:tcPr>
            <w:tcW w:w="80" w:type="dxa"/>
            <w:vAlign w:val="bottom"/>
          </w:tcPr>
          <w:p>
            <w:pPr>
              <w:spacing w:after="0"/>
              <w:rPr>
                <w:sz w:val="18"/>
                <w:szCs w:val="18"/>
                <w:color w:val="auto"/>
              </w:rPr>
            </w:pPr>
          </w:p>
        </w:tc>
      </w:tr>
      <w:tr>
        <w:trPr>
          <w:trHeight w:val="247"/>
        </w:trPr>
        <w:tc>
          <w:tcPr>
            <w:tcW w:w="2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Revenues from external customers</w:t>
            </w:r>
          </w:p>
        </w:tc>
        <w:tc>
          <w:tcPr>
            <w:tcW w:w="2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5,281,005</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9,051,414</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The opening and closing balances of the Company's receivables, contract assets and contract liabilities are as follows:</w:t>
      </w:r>
    </w:p>
    <w:p>
      <w:pPr>
        <w:spacing w:after="0" w:line="270"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180" w:type="dxa"/>
            <w:vAlign w:val="bottom"/>
            <w:tcBorders>
              <w:bottom w:val="single" w:sz="8" w:color="auto"/>
            </w:tcBorders>
            <w:gridSpan w:val="5"/>
          </w:tcPr>
          <w:p>
            <w:pPr>
              <w:jc w:val="center"/>
              <w:ind w:left="834"/>
              <w:spacing w:after="0"/>
              <w:rPr>
                <w:sz w:val="20"/>
                <w:szCs w:val="20"/>
                <w:color w:val="auto"/>
              </w:rPr>
            </w:pPr>
            <w:r>
              <w:rPr>
                <w:rFonts w:ascii="Arial" w:cs="Arial" w:eastAsia="Arial" w:hAnsi="Arial"/>
                <w:sz w:val="17"/>
                <w:szCs w:val="17"/>
                <w:color w:val="auto"/>
                <w:w w:val="90"/>
              </w:rPr>
              <w:t>Contract Balances</w:t>
            </w: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920" w:type="dxa"/>
            <w:vAlign w:val="bottom"/>
          </w:tcPr>
          <w:p>
            <w:pPr>
              <w:jc w:val="right"/>
              <w:spacing w:after="0" w:line="194" w:lineRule="exact"/>
              <w:rPr>
                <w:sz w:val="20"/>
                <w:szCs w:val="20"/>
                <w:color w:val="auto"/>
              </w:rPr>
            </w:pPr>
            <w:r>
              <w:rPr>
                <w:rFonts w:ascii="Arial" w:cs="Arial" w:eastAsia="Arial" w:hAnsi="Arial"/>
                <w:sz w:val="17"/>
                <w:szCs w:val="17"/>
                <w:color w:val="auto"/>
                <w:w w:val="92"/>
              </w:rPr>
              <w:t>Receivables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300"/>
              <w:spacing w:after="0" w:line="194" w:lineRule="exact"/>
              <w:rPr>
                <w:sz w:val="20"/>
                <w:szCs w:val="20"/>
                <w:color w:val="auto"/>
              </w:rPr>
            </w:pPr>
            <w:r>
              <w:rPr>
                <w:rFonts w:ascii="Arial" w:cs="Arial" w:eastAsia="Arial" w:hAnsi="Arial"/>
                <w:sz w:val="17"/>
                <w:szCs w:val="17"/>
                <w:color w:val="auto"/>
                <w:w w:val="90"/>
              </w:rPr>
              <w:t>Contract</w:t>
            </w:r>
          </w:p>
        </w:tc>
        <w:tc>
          <w:tcPr>
            <w:tcW w:w="20" w:type="dxa"/>
            <w:vAlign w:val="bottom"/>
          </w:tcPr>
          <w:p>
            <w:pPr>
              <w:spacing w:after="0"/>
              <w:rPr>
                <w:sz w:val="16"/>
                <w:szCs w:val="16"/>
                <w:color w:val="auto"/>
              </w:rPr>
            </w:pPr>
          </w:p>
        </w:tc>
        <w:tc>
          <w:tcPr>
            <w:tcW w:w="900" w:type="dxa"/>
            <w:vAlign w:val="bottom"/>
          </w:tcPr>
          <w:p>
            <w:pPr>
              <w:jc w:val="center"/>
              <w:spacing w:after="0" w:line="194" w:lineRule="exact"/>
              <w:rPr>
                <w:sz w:val="20"/>
                <w:szCs w:val="20"/>
                <w:color w:val="auto"/>
              </w:rPr>
            </w:pPr>
            <w:r>
              <w:rPr>
                <w:rFonts w:ascii="Arial" w:cs="Arial" w:eastAsia="Arial" w:hAnsi="Arial"/>
                <w:sz w:val="17"/>
                <w:szCs w:val="17"/>
                <w:color w:val="auto"/>
                <w:w w:val="93"/>
              </w:rPr>
              <w:t>Contract</w:t>
            </w:r>
          </w:p>
        </w:tc>
        <w:tc>
          <w:tcPr>
            <w:tcW w:w="80" w:type="dxa"/>
            <w:vAlign w:val="bottom"/>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3200" w:type="dxa"/>
            <w:vAlign w:val="bottom"/>
            <w:gridSpan w:val="2"/>
          </w:tcPr>
          <w:p>
            <w:pPr>
              <w:jc w:val="right"/>
              <w:ind w:right="274"/>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7"/>
                <w:szCs w:val="17"/>
                <w:color w:val="auto"/>
                <w:w w:val="91"/>
              </w:rPr>
              <w:t>Asset (2)</w:t>
            </w:r>
          </w:p>
        </w:tc>
        <w:tc>
          <w:tcPr>
            <w:tcW w:w="20" w:type="dxa"/>
            <w:vAlign w:val="bottom"/>
          </w:tcPr>
          <w:p>
            <w:pPr>
              <w:spacing w:after="0"/>
              <w:rPr>
                <w:sz w:val="19"/>
                <w:szCs w:val="19"/>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7"/>
                <w:szCs w:val="17"/>
                <w:color w:val="auto"/>
              </w:rPr>
              <w:t>Liability (2)</w:t>
            </w:r>
          </w:p>
        </w:tc>
      </w:tr>
      <w:tr>
        <w:trPr>
          <w:trHeight w:val="207"/>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Opening (1/1/2018)</w:t>
            </w:r>
          </w:p>
        </w:tc>
        <w:tc>
          <w:tcPr>
            <w:tcW w:w="228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  2,742,765</w:t>
            </w: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856,479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$ 13,729,547</w:t>
            </w:r>
          </w:p>
        </w:tc>
        <w:tc>
          <w:tcPr>
            <w:tcW w:w="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Closing (6/30/2018)</w:t>
            </w:r>
          </w:p>
        </w:tc>
        <w:tc>
          <w:tcPr>
            <w:tcW w:w="3200" w:type="dxa"/>
            <w:vAlign w:val="bottom"/>
            <w:gridSpan w:val="2"/>
          </w:tcPr>
          <w:p>
            <w:pPr>
              <w:jc w:val="right"/>
              <w:spacing w:after="0"/>
              <w:rPr>
                <w:sz w:val="20"/>
                <w:szCs w:val="20"/>
                <w:color w:val="auto"/>
              </w:rPr>
            </w:pPr>
            <w:r>
              <w:rPr>
                <w:rFonts w:ascii="Arial" w:cs="Arial" w:eastAsia="Arial" w:hAnsi="Arial"/>
                <w:sz w:val="17"/>
                <w:szCs w:val="17"/>
                <w:color w:val="auto"/>
              </w:rPr>
              <w:t>2,909,679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678,148</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13,015,719</w:t>
            </w:r>
          </w:p>
        </w:tc>
        <w:tc>
          <w:tcPr>
            <w:tcW w:w="80" w:type="dxa"/>
            <w:vAlign w:val="bottom"/>
          </w:tcPr>
          <w:p>
            <w:pPr>
              <w:spacing w:after="0"/>
              <w:rPr>
                <w:sz w:val="18"/>
                <w:szCs w:val="18"/>
                <w:color w:val="auto"/>
              </w:rPr>
            </w:pPr>
          </w:p>
        </w:tc>
      </w:tr>
      <w:tr>
        <w:trPr>
          <w:trHeight w:val="247"/>
        </w:trPr>
        <w:tc>
          <w:tcPr>
            <w:tcW w:w="2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Increase/(decrease)</w:t>
            </w:r>
          </w:p>
        </w:tc>
        <w:tc>
          <w:tcPr>
            <w:tcW w:w="2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166,914</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(178,331)</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(713,828)</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4" w:lineRule="exact"/>
        <w:rPr>
          <w:sz w:val="20"/>
          <w:szCs w:val="20"/>
          <w:color w:val="auto"/>
        </w:rPr>
      </w:pPr>
    </w:p>
    <w:p>
      <w:pPr>
        <w:ind w:left="1400" w:hanging="253"/>
        <w:spacing w:after="0"/>
        <w:tabs>
          <w:tab w:leader="none" w:pos="14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Included in Receivables, net on the condensed consolidated balance sheets</w:t>
      </w:r>
    </w:p>
    <w:p>
      <w:pPr>
        <w:spacing w:after="0" w:line="23" w:lineRule="exact"/>
        <w:rPr>
          <w:rFonts w:ascii="Arial" w:cs="Arial" w:eastAsia="Arial" w:hAnsi="Arial"/>
          <w:sz w:val="17"/>
          <w:szCs w:val="17"/>
          <w:color w:val="auto"/>
        </w:rPr>
      </w:pPr>
    </w:p>
    <w:p>
      <w:pPr>
        <w:ind w:left="1140" w:right="1760" w:firstLine="7"/>
        <w:spacing w:after="0" w:line="267" w:lineRule="auto"/>
        <w:tabs>
          <w:tab w:leader="none" w:pos="1384"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contract asset and liability are netted together in Deferred pre-need cemetery and mortuary contract revenues on the condensed consolidated balance sheets.</w:t>
      </w:r>
    </w:p>
    <w:p>
      <w:pPr>
        <w:spacing w:after="0" w:line="200" w:lineRule="exact"/>
        <w:rPr>
          <w:sz w:val="20"/>
          <w:szCs w:val="20"/>
          <w:color w:val="auto"/>
        </w:rPr>
      </w:pPr>
    </w:p>
    <w:p>
      <w:pPr>
        <w:spacing w:after="0" w:line="283"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The amount of revenue recognized for the three and six months ended June 30, 2018 that was included in the opening contract liability balance was $630,209 and $1,354,980.</w:t>
      </w:r>
    </w:p>
    <w:p>
      <w:pPr>
        <w:spacing w:after="0" w:line="211"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The difference between the opening and closing balances of the Company's contract assets and contract liabilities primarily results from the timing difference between the Company's performance and the customer's payment.</w:t>
      </w:r>
    </w:p>
    <w:p>
      <w:pPr>
        <w:spacing w:after="0" w:line="211" w:lineRule="exact"/>
        <w:rPr>
          <w:sz w:val="20"/>
          <w:szCs w:val="20"/>
          <w:color w:val="auto"/>
        </w:rPr>
      </w:pPr>
    </w:p>
    <w:p>
      <w:pPr>
        <w:ind w:left="660" w:hanging="657"/>
        <w:spacing w:after="0"/>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Acquisitions</w:t>
      </w:r>
    </w:p>
    <w:p>
      <w:pPr>
        <w:spacing w:after="0" w:line="2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June 1, 2018, the Company completed a stock purchase transaction with Beta Capital Corp. ("Beta Capital") and Ronald D. Maxson ("Maxson"), the sole owner of all the outstanding shares of common stock of Beta Capital, to purchase all of the outstanding shares of common stock of Beta Capital. Beta Capital is engaged in the operation of a factoring business with the principal purpose of providing funding for funeral homes and mortuaries.</w:t>
      </w:r>
    </w:p>
    <w:p>
      <w:pPr>
        <w:spacing w:after="0" w:line="22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Under the terms of the transaction, as set forth in the Stock Purchase Agreement dated June 1, 2018, by and among the Company, Beta Capital and Maxson, the Company paid Maxson the purchase consideration at the closing of the transaction equal to the sum of (i) $890,000 in cash plus (ii) the accounts receivable value of $2,515,783, representing the total amount of the Company's outstanding receivables as of the closing date of June 1, 2018, for a total closing payment of $3,405,783. From the $3,405,783 closing payment, a holdback amount equal to $175,000 was deposited into an interest bearing escrow account to be held for a period of eighteen months from the closing date to pay off any uncollected accounts receivable and other liabilities of Beta Capital as of the closing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21"/>
          <w:szCs w:val="21"/>
          <w:color w:val="auto"/>
        </w:rPr>
        <w:t>SECURITY NATIONAL FINANCIAL CORPORATION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June 30, 2018 (Unaudited)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 w:type="dxa"/>
            <w:vAlign w:val="bottom"/>
          </w:tcPr>
          <w:p>
            <w:pPr>
              <w:spacing w:after="0"/>
              <w:rPr>
                <w:sz w:val="20"/>
                <w:szCs w:val="20"/>
                <w:color w:val="auto"/>
              </w:rPr>
            </w:pPr>
            <w:r>
              <w:rPr>
                <w:rFonts w:ascii="Arial" w:cs="Arial" w:eastAsia="Arial" w:hAnsi="Arial"/>
                <w:sz w:val="17"/>
                <w:szCs w:val="17"/>
                <w:color w:val="auto"/>
              </w:rPr>
              <w:t>15)</w:t>
            </w:r>
          </w:p>
        </w:tc>
        <w:tc>
          <w:tcPr>
            <w:tcW w:w="8620" w:type="dxa"/>
            <w:vAlign w:val="bottom"/>
            <w:gridSpan w:val="3"/>
          </w:tcPr>
          <w:p>
            <w:pPr>
              <w:spacing w:after="0"/>
              <w:rPr>
                <w:sz w:val="20"/>
                <w:szCs w:val="20"/>
                <w:color w:val="auto"/>
              </w:rPr>
            </w:pPr>
            <w:r>
              <w:rPr>
                <w:rFonts w:ascii="Arial" w:cs="Arial" w:eastAsia="Arial" w:hAnsi="Arial"/>
                <w:sz w:val="17"/>
                <w:szCs w:val="17"/>
                <w:color w:val="auto"/>
              </w:rPr>
              <w:t>Acquisitions (Continued)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9280" w:type="dxa"/>
            <w:vAlign w:val="bottom"/>
            <w:gridSpan w:val="4"/>
          </w:tcPr>
          <w:p>
            <w:pPr>
              <w:spacing w:after="0"/>
              <w:rPr>
                <w:sz w:val="20"/>
                <w:szCs w:val="20"/>
                <w:color w:val="auto"/>
              </w:rPr>
            </w:pPr>
            <w:r>
              <w:rPr>
                <w:rFonts w:ascii="Arial" w:cs="Arial" w:eastAsia="Arial" w:hAnsi="Arial"/>
                <w:sz w:val="17"/>
                <w:szCs w:val="17"/>
                <w:color w:val="auto"/>
              </w:rPr>
              <w:t>The estimated fair values of the assets acquired the date of acquisition were as follows: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60" w:type="dxa"/>
            <w:vAlign w:val="bottom"/>
          </w:tcPr>
          <w:p>
            <w:pPr>
              <w:spacing w:after="0"/>
              <w:rPr>
                <w:sz w:val="22"/>
                <w:szCs w:val="22"/>
                <w:color w:val="auto"/>
              </w:rPr>
            </w:pPr>
          </w:p>
        </w:tc>
        <w:tc>
          <w:tcPr>
            <w:tcW w:w="500" w:type="dxa"/>
            <w:vAlign w:val="bottom"/>
            <w:vMerge w:val="restart"/>
          </w:tcPr>
          <w:p>
            <w:pPr>
              <w:spacing w:after="0"/>
              <w:rPr>
                <w:sz w:val="22"/>
                <w:szCs w:val="22"/>
                <w:color w:val="auto"/>
              </w:rPr>
            </w:pPr>
          </w:p>
        </w:tc>
        <w:tc>
          <w:tcPr>
            <w:tcW w:w="380" w:type="dxa"/>
            <w:vAlign w:val="bottom"/>
          </w:tcPr>
          <w:p>
            <w:pPr>
              <w:spacing w:after="0"/>
              <w:rPr>
                <w:sz w:val="22"/>
                <w:szCs w:val="22"/>
                <w:color w:val="auto"/>
              </w:rPr>
            </w:pPr>
          </w:p>
        </w:tc>
        <w:tc>
          <w:tcPr>
            <w:tcW w:w="7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66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investments - insurance assignments</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2,515,783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120" w:type="dxa"/>
            <w:vAlign w:val="bottom"/>
            <w:gridSpan w:val="2"/>
          </w:tcPr>
          <w:p>
            <w:pPr>
              <w:spacing w:after="0"/>
              <w:rPr>
                <w:sz w:val="20"/>
                <w:szCs w:val="20"/>
                <w:color w:val="auto"/>
              </w:rPr>
            </w:pPr>
            <w:r>
              <w:rPr>
                <w:rFonts w:ascii="Arial" w:cs="Arial" w:eastAsia="Arial" w:hAnsi="Arial"/>
                <w:sz w:val="17"/>
                <w:szCs w:val="17"/>
                <w:color w:val="auto"/>
              </w:rPr>
              <w:t>Other - intangible asset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890,000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assets acquired</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3,405,783</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120" w:type="dxa"/>
            <w:vAlign w:val="bottom"/>
            <w:gridSpan w:val="2"/>
          </w:tcPr>
          <w:p>
            <w:pPr>
              <w:spacing w:after="0"/>
              <w:rPr>
                <w:sz w:val="20"/>
                <w:szCs w:val="20"/>
                <w:color w:val="auto"/>
              </w:rPr>
            </w:pPr>
            <w:r>
              <w:rPr>
                <w:rFonts w:ascii="Arial" w:cs="Arial" w:eastAsia="Arial" w:hAnsi="Arial"/>
                <w:sz w:val="17"/>
                <w:szCs w:val="17"/>
                <w:color w:val="auto"/>
              </w:rPr>
              <w:t>Fair value of net assets acquired/consideration paid</w:t>
            </w: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3,405,783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The Company determined that the estimated fair value of the customer list intangible asset acquired was equal to the consideration paid less the insurance assignments value.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Company's operations over the last several years generally reflect three trends or events which the Company expects to continue: (i) increased attention to "niche" insurance products, such as the Company's funeral plan policies and traditional whole life products; (ii) emphasis on cemetery and mortuary business; and (iii) capitalizing on an improving housing market by originating mortgage loans.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Insurance Operations</w:t>
      </w:r>
    </w:p>
    <w:p>
      <w:pPr>
        <w:spacing w:after="0" w:line="27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Company's life insurance business includes funeral plans and interest-sensitive life insurance, as well as other traditional life, accident and health insurance products. The Company places specific marketing emphasis on funeral plans through pre-need planning.</w:t>
      </w: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 funeral plan is a small face value life insurance policy that generally has face coverage of up to $25,000. The Company believes that funeral plans represent a marketing niche that is less competitive because most insurance companies do not offer similar coverage. The purpose of the funeral plan policy is to pay the costs and expenses incurred at the time of a person's death. On a per thousand-dollar cost of insurance basis, these policies can be more expensive to the policyholder than many types of non-burial insurance due to their low face amount, requiring the fixed cost of the policy administration to be distributed over a smaller policy size, and the simplified underwriting practices that result in higher mortality costs.</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following table shows the condensed financial results of the insurance operations for three and six months ended June 30, 2018 and 2017. See Note 7 to the condensed consolidated financial statements.</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gridSpan w:val="7"/>
          </w:tcPr>
          <w:p>
            <w:pPr>
              <w:jc w:val="center"/>
              <w:ind w:right="480"/>
              <w:spacing w:after="0"/>
              <w:rPr>
                <w:sz w:val="20"/>
                <w:szCs w:val="20"/>
                <w:color w:val="auto"/>
              </w:rPr>
            </w:pPr>
            <w:r>
              <w:rPr>
                <w:rFonts w:ascii="Arial" w:cs="Arial" w:eastAsia="Arial" w:hAnsi="Arial"/>
                <w:sz w:val="17"/>
                <w:szCs w:val="17"/>
                <w:color w:val="auto"/>
                <w:w w:val="89"/>
              </w:rPr>
              <w:t>Three months ended June 30</w:t>
            </w:r>
          </w:p>
        </w:tc>
        <w:tc>
          <w:tcPr>
            <w:tcW w:w="160" w:type="dxa"/>
            <w:vAlign w:val="bottom"/>
          </w:tcPr>
          <w:p>
            <w:pPr>
              <w:spacing w:after="0"/>
              <w:rPr>
                <w:sz w:val="17"/>
                <w:szCs w:val="17"/>
                <w:color w:val="auto"/>
              </w:rPr>
            </w:pPr>
          </w:p>
        </w:tc>
        <w:tc>
          <w:tcPr>
            <w:tcW w:w="3080" w:type="dxa"/>
            <w:vAlign w:val="bottom"/>
            <w:gridSpan w:val="7"/>
          </w:tcPr>
          <w:p>
            <w:pPr>
              <w:jc w:val="center"/>
              <w:ind w:right="380"/>
              <w:spacing w:after="0"/>
              <w:rPr>
                <w:sz w:val="20"/>
                <w:szCs w:val="20"/>
                <w:color w:val="auto"/>
              </w:rPr>
            </w:pPr>
            <w:r>
              <w:rPr>
                <w:rFonts w:ascii="Arial" w:cs="Arial" w:eastAsia="Arial" w:hAnsi="Arial"/>
                <w:sz w:val="17"/>
                <w:szCs w:val="17"/>
                <w:color w:val="auto"/>
                <w:w w:val="90"/>
              </w:rPr>
              <w:t>Six months ended June 30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80" w:type="dxa"/>
            <w:vAlign w:val="bottom"/>
            <w:gridSpan w:val="7"/>
          </w:tcPr>
          <w:p>
            <w:pPr>
              <w:jc w:val="center"/>
              <w:ind w:right="500"/>
              <w:spacing w:after="0"/>
              <w:rPr>
                <w:sz w:val="20"/>
                <w:szCs w:val="20"/>
                <w:color w:val="auto"/>
              </w:rPr>
            </w:pPr>
            <w:r>
              <w:rPr>
                <w:rFonts w:ascii="Arial" w:cs="Arial" w:eastAsia="Arial" w:hAnsi="Arial"/>
                <w:sz w:val="17"/>
                <w:szCs w:val="17"/>
                <w:color w:val="auto"/>
                <w:w w:val="92"/>
              </w:rPr>
              <w:t>(in thousands of dollars)</w:t>
            </w:r>
          </w:p>
        </w:tc>
        <w:tc>
          <w:tcPr>
            <w:tcW w:w="160" w:type="dxa"/>
            <w:vAlign w:val="bottom"/>
          </w:tcPr>
          <w:p>
            <w:pPr>
              <w:spacing w:after="0"/>
              <w:rPr>
                <w:sz w:val="19"/>
                <w:szCs w:val="19"/>
                <w:color w:val="auto"/>
              </w:rPr>
            </w:pPr>
          </w:p>
        </w:tc>
        <w:tc>
          <w:tcPr>
            <w:tcW w:w="3080" w:type="dxa"/>
            <w:vAlign w:val="bottom"/>
            <w:gridSpan w:val="7"/>
          </w:tcPr>
          <w:p>
            <w:pPr>
              <w:jc w:val="center"/>
              <w:ind w:right="380"/>
              <w:spacing w:after="0"/>
              <w:rPr>
                <w:sz w:val="20"/>
                <w:szCs w:val="20"/>
                <w:color w:val="auto"/>
              </w:rPr>
            </w:pPr>
            <w:r>
              <w:rPr>
                <w:rFonts w:ascii="Arial" w:cs="Arial" w:eastAsia="Arial" w:hAnsi="Arial"/>
                <w:sz w:val="17"/>
                <w:szCs w:val="17"/>
                <w:color w:val="auto"/>
                <w:w w:val="91"/>
              </w:rPr>
              <w:t>(in thousands of dollars)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w w:val="94"/>
              </w:rPr>
              <w:t>% Increase</w:t>
            </w:r>
          </w:p>
        </w:tc>
        <w:tc>
          <w:tcPr>
            <w:tcW w:w="3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w w:val="94"/>
              </w:rPr>
              <w:t>% Increase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center"/>
              <w:ind w:right="114"/>
              <w:spacing w:after="0"/>
              <w:rPr>
                <w:sz w:val="20"/>
                <w:szCs w:val="20"/>
                <w:color w:val="auto"/>
              </w:rPr>
            </w:pPr>
            <w:r>
              <w:rPr>
                <w:rFonts w:ascii="Arial" w:cs="Arial" w:eastAsia="Arial" w:hAnsi="Arial"/>
                <w:sz w:val="17"/>
                <w:szCs w:val="17"/>
                <w:color w:val="auto"/>
                <w:w w:val="89"/>
              </w:rPr>
              <w:t>2017</w:t>
            </w:r>
          </w:p>
        </w:tc>
        <w:tc>
          <w:tcPr>
            <w:tcW w:w="20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7"/>
                <w:szCs w:val="17"/>
                <w:color w:val="auto"/>
                <w:w w:val="97"/>
              </w:rPr>
              <w:t>(Decrease)</w:t>
            </w:r>
          </w:p>
        </w:tc>
        <w:tc>
          <w:tcPr>
            <w:tcW w:w="160" w:type="dxa"/>
            <w:vAlign w:val="bottom"/>
          </w:tcPr>
          <w:p>
            <w:pPr>
              <w:spacing w:after="0"/>
              <w:rPr>
                <w:sz w:val="19"/>
                <w:szCs w:val="19"/>
                <w:color w:val="auto"/>
              </w:rPr>
            </w:pP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center"/>
              <w:ind w:right="94"/>
              <w:spacing w:after="0"/>
              <w:rPr>
                <w:sz w:val="20"/>
                <w:szCs w:val="20"/>
                <w:color w:val="auto"/>
              </w:rPr>
            </w:pPr>
            <w:r>
              <w:rPr>
                <w:rFonts w:ascii="Arial" w:cs="Arial" w:eastAsia="Arial" w:hAnsi="Arial"/>
                <w:sz w:val="17"/>
                <w:szCs w:val="17"/>
                <w:color w:val="auto"/>
                <w:w w:val="89"/>
              </w:rPr>
              <w:t>2017</w:t>
            </w:r>
          </w:p>
        </w:tc>
        <w:tc>
          <w:tcPr>
            <w:tcW w:w="18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w w:val="97"/>
              </w:rPr>
              <w:t>(Decrease)</w:t>
            </w:r>
          </w:p>
        </w:tc>
        <w:tc>
          <w:tcPr>
            <w:tcW w:w="0" w:type="dxa"/>
            <w:vAlign w:val="bottom"/>
          </w:tcPr>
          <w:p>
            <w:pPr>
              <w:spacing w:after="0"/>
              <w:rPr>
                <w:sz w:val="1"/>
                <w:szCs w:val="1"/>
                <w:color w:val="auto"/>
              </w:rPr>
            </w:pPr>
          </w:p>
        </w:tc>
      </w:tr>
      <w:tr>
        <w:trPr>
          <w:trHeight w:val="207"/>
        </w:trPr>
        <w:tc>
          <w:tcPr>
            <w:tcW w:w="2540" w:type="dxa"/>
            <w:vAlign w:val="bottom"/>
            <w:gridSpan w:val="2"/>
          </w:tcPr>
          <w:p>
            <w:pPr>
              <w:spacing w:after="0"/>
              <w:rPr>
                <w:sz w:val="20"/>
                <w:szCs w:val="20"/>
                <w:color w:val="auto"/>
              </w:rPr>
            </w:pPr>
            <w:r>
              <w:rPr>
                <w:rFonts w:ascii="Arial" w:cs="Arial" w:eastAsia="Arial" w:hAnsi="Arial"/>
                <w:sz w:val="17"/>
                <w:szCs w:val="17"/>
                <w:color w:val="auto"/>
                <w:w w:val="95"/>
              </w:rPr>
              <w:t>Revenues from external customers</w:t>
            </w: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Insurance premiums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19,192</w:t>
            </w: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17,498</w:t>
            </w:r>
          </w:p>
        </w:tc>
        <w:tc>
          <w:tcPr>
            <w:tcW w:w="14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38,002</w:t>
            </w: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34,855</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Pr>
          <w:p>
            <w:pPr>
              <w:ind w:left="160"/>
              <w:spacing w:after="0"/>
              <w:rPr>
                <w:sz w:val="20"/>
                <w:szCs w:val="20"/>
                <w:color w:val="auto"/>
              </w:rPr>
            </w:pPr>
            <w:r>
              <w:rPr>
                <w:rFonts w:ascii="Arial" w:cs="Arial" w:eastAsia="Arial" w:hAnsi="Arial"/>
                <w:sz w:val="17"/>
                <w:szCs w:val="17"/>
                <w:color w:val="auto"/>
              </w:rPr>
              <w:t>Net investment income</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9,416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7,812</w:t>
            </w:r>
          </w:p>
        </w:tc>
        <w:tc>
          <w:tcPr>
            <w:tcW w:w="1400" w:type="dxa"/>
            <w:vAlign w:val="bottom"/>
            <w:gridSpan w:val="3"/>
          </w:tcPr>
          <w:p>
            <w:pPr>
              <w:jc w:val="right"/>
              <w:ind w:right="160"/>
              <w:spacing w:after="0"/>
              <w:rPr>
                <w:sz w:val="20"/>
                <w:szCs w:val="20"/>
                <w:color w:val="auto"/>
              </w:rPr>
            </w:pPr>
            <w:r>
              <w:rPr>
                <w:rFonts w:ascii="Arial" w:cs="Arial" w:eastAsia="Arial" w:hAnsi="Arial"/>
                <w:sz w:val="17"/>
                <w:szCs w:val="17"/>
                <w:color w:val="auto"/>
              </w:rPr>
              <w:t>21%</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19,199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15,403</w:t>
            </w:r>
          </w:p>
        </w:tc>
        <w:tc>
          <w:tcPr>
            <w:tcW w:w="1280" w:type="dxa"/>
            <w:vAlign w:val="bottom"/>
            <w:gridSpan w:val="3"/>
          </w:tcPr>
          <w:p>
            <w:pPr>
              <w:jc w:val="right"/>
              <w:ind w:right="6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52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w w:val="97"/>
              </w:rPr>
              <w:t>Gains on investments and other</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w:t>
            </w:r>
          </w:p>
        </w:tc>
        <w:tc>
          <w:tcPr>
            <w:tcW w:w="14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63%</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22,320</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1,470</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1418%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Pr>
          <w:p>
            <w:pPr>
              <w:ind w:left="160"/>
              <w:spacing w:after="0"/>
              <w:rPr>
                <w:sz w:val="20"/>
                <w:szCs w:val="20"/>
                <w:color w:val="auto"/>
              </w:rPr>
            </w:pPr>
            <w:r>
              <w:rPr>
                <w:rFonts w:ascii="Arial" w:cs="Arial" w:eastAsia="Arial" w:hAnsi="Arial"/>
                <w:sz w:val="17"/>
                <w:szCs w:val="17"/>
                <w:color w:val="auto"/>
              </w:rPr>
              <w:t>Other</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304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278</w:t>
            </w:r>
          </w:p>
        </w:tc>
        <w:tc>
          <w:tcPr>
            <w:tcW w:w="2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716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306</w:t>
            </w:r>
          </w:p>
        </w:tc>
        <w:tc>
          <w:tcPr>
            <w:tcW w:w="1280" w:type="dxa"/>
            <w:vAlign w:val="bottom"/>
            <w:gridSpan w:val="3"/>
          </w:tcPr>
          <w:p>
            <w:pPr>
              <w:jc w:val="right"/>
              <w:ind w:right="60"/>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25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29,372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25,870</w:t>
            </w:r>
          </w:p>
        </w:tc>
        <w:tc>
          <w:tcPr>
            <w:tcW w:w="20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80,237</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52,034</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7"/>
                <w:szCs w:val="17"/>
                <w:color w:val="auto"/>
              </w:rPr>
              <w:t>Intersegment revenue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988</w:t>
            </w:r>
          </w:p>
        </w:tc>
        <w:tc>
          <w:tcPr>
            <w:tcW w:w="360" w:type="dxa"/>
            <w:vAlign w:val="bottom"/>
            <w:gridSpan w:val="2"/>
          </w:tcPr>
          <w:p>
            <w:pPr>
              <w:jc w:val="right"/>
              <w:ind w:right="25"/>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1,589</w:t>
            </w:r>
          </w:p>
        </w:tc>
        <w:tc>
          <w:tcPr>
            <w:tcW w:w="1400" w:type="dxa"/>
            <w:vAlign w:val="bottom"/>
            <w:gridSpan w:val="3"/>
          </w:tcPr>
          <w:p>
            <w:pPr>
              <w:jc w:val="right"/>
              <w:ind w:right="120"/>
              <w:spacing w:after="0"/>
              <w:rPr>
                <w:sz w:val="20"/>
                <w:szCs w:val="20"/>
                <w:color w:val="auto"/>
              </w:rPr>
            </w:pPr>
            <w:r>
              <w:rPr>
                <w:rFonts w:ascii="Arial" w:cs="Arial" w:eastAsia="Arial" w:hAnsi="Arial"/>
                <w:sz w:val="17"/>
                <w:szCs w:val="17"/>
                <w:color w:val="auto"/>
              </w:rPr>
              <w:t>(38%)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1,807</w:t>
            </w:r>
          </w:p>
        </w:tc>
        <w:tc>
          <w:tcPr>
            <w:tcW w:w="360" w:type="dxa"/>
            <w:vAlign w:val="bottom"/>
            <w:gridSpan w:val="2"/>
          </w:tcPr>
          <w:p>
            <w:pPr>
              <w:jc w:val="right"/>
              <w:ind w:right="25"/>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3,050</w:t>
            </w:r>
          </w:p>
        </w:tc>
        <w:tc>
          <w:tcPr>
            <w:tcW w:w="1280" w:type="dxa"/>
            <w:vAlign w:val="bottom"/>
            <w:gridSpan w:val="3"/>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0"/>
        </w:trPr>
        <w:tc>
          <w:tcPr>
            <w:tcW w:w="254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7"/>
                <w:szCs w:val="17"/>
                <w:color w:val="auto"/>
              </w:rPr>
              <w:t>Earnings before income taxes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2,799</w:t>
            </w:r>
          </w:p>
        </w:tc>
        <w:tc>
          <w:tcPr>
            <w:tcW w:w="2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26,649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Intersegment revenues are primarily interest income from the warehouse line provided to SecurityNational Mortgage Company ("SecurityNational Mortgage"). Profitability in the three and six months ended June 30, 2018 has increased due to the realized of $22,252,000 gain on the sale of Dry Creek at East Village Apartments, increases in investment income and increases in insurance premiums. These increases were partially offset by increases in benefits and expenses.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Cemetery and Mortuary Operations</w:t>
      </w:r>
    </w:p>
    <w:p>
      <w:pPr>
        <w:spacing w:after="0" w:line="27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sells mortuary services and products through its eight mortuaries in Utah. The Company also sells cemetery products and services through its five cemeteries in Utah and one cemetery in San Diego County, California. At-need product sales and services are recognized as revenue when the services are performed or when the products are delivered. Pre-need cemetery product sales are deferred until the merchandise is delivered and services performed. Recognition of revenue for cemetery land sales occurs when 10% of the purchase price is received.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48" w:name="page49"/>
    <w:bookmarkEnd w:id="48"/>
    <w:p>
      <w:pPr>
        <w:jc w:val="both"/>
        <w:spacing w:after="0" w:line="279" w:lineRule="auto"/>
        <w:rPr>
          <w:sz w:val="20"/>
          <w:szCs w:val="20"/>
          <w:color w:val="auto"/>
        </w:rPr>
      </w:pPr>
      <w:r>
        <w:rPr>
          <w:rFonts w:ascii="Arial" w:cs="Arial" w:eastAsia="Arial" w:hAnsi="Arial"/>
          <w:sz w:val="21"/>
          <w:szCs w:val="21"/>
          <w:color w:val="auto"/>
        </w:rPr>
        <w:t>The following table shows the condensed financial results of the cemetery and mortuary operations for the three and six months ended June 30, 2018 and 2017. See Note 7 to the condensed consolidated financial statements.</w:t>
      </w:r>
    </w:p>
    <w:p>
      <w:pPr>
        <w:spacing w:after="0" w:line="200" w:lineRule="exact"/>
        <w:rPr>
          <w:sz w:val="20"/>
          <w:szCs w:val="20"/>
          <w:color w:val="auto"/>
        </w:rPr>
      </w:pP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gridSpan w:val="8"/>
          </w:tcPr>
          <w:p>
            <w:pPr>
              <w:jc w:val="center"/>
              <w:ind w:right="480"/>
              <w:spacing w:after="0"/>
              <w:rPr>
                <w:sz w:val="20"/>
                <w:szCs w:val="20"/>
                <w:color w:val="auto"/>
              </w:rPr>
            </w:pPr>
            <w:r>
              <w:rPr>
                <w:rFonts w:ascii="Arial" w:cs="Arial" w:eastAsia="Arial" w:hAnsi="Arial"/>
                <w:sz w:val="17"/>
                <w:szCs w:val="17"/>
                <w:color w:val="auto"/>
                <w:w w:val="89"/>
              </w:rPr>
              <w:t>Three months ended June 30</w:t>
            </w:r>
          </w:p>
        </w:tc>
        <w:tc>
          <w:tcPr>
            <w:tcW w:w="160" w:type="dxa"/>
            <w:vAlign w:val="bottom"/>
          </w:tcPr>
          <w:p>
            <w:pPr>
              <w:spacing w:after="0"/>
              <w:rPr>
                <w:sz w:val="17"/>
                <w:szCs w:val="17"/>
                <w:color w:val="auto"/>
              </w:rPr>
            </w:pPr>
          </w:p>
        </w:tc>
        <w:tc>
          <w:tcPr>
            <w:tcW w:w="3040" w:type="dxa"/>
            <w:vAlign w:val="bottom"/>
            <w:gridSpan w:val="7"/>
          </w:tcPr>
          <w:p>
            <w:pPr>
              <w:jc w:val="center"/>
              <w:ind w:right="320"/>
              <w:spacing w:after="0"/>
              <w:rPr>
                <w:sz w:val="20"/>
                <w:szCs w:val="20"/>
                <w:color w:val="auto"/>
              </w:rPr>
            </w:pPr>
            <w:r>
              <w:rPr>
                <w:rFonts w:ascii="Arial" w:cs="Arial" w:eastAsia="Arial" w:hAnsi="Arial"/>
                <w:sz w:val="17"/>
                <w:szCs w:val="17"/>
                <w:color w:val="auto"/>
                <w:w w:val="89"/>
              </w:rPr>
              <w:t>Six months ended June 30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80" w:type="dxa"/>
            <w:vAlign w:val="bottom"/>
            <w:gridSpan w:val="8"/>
          </w:tcPr>
          <w:p>
            <w:pPr>
              <w:jc w:val="center"/>
              <w:ind w:right="500"/>
              <w:spacing w:after="0"/>
              <w:rPr>
                <w:sz w:val="20"/>
                <w:szCs w:val="20"/>
                <w:color w:val="auto"/>
              </w:rPr>
            </w:pPr>
            <w:r>
              <w:rPr>
                <w:rFonts w:ascii="Arial" w:cs="Arial" w:eastAsia="Arial" w:hAnsi="Arial"/>
                <w:sz w:val="17"/>
                <w:szCs w:val="17"/>
                <w:color w:val="auto"/>
                <w:w w:val="92"/>
              </w:rPr>
              <w:t>(in thousands of dollars)</w:t>
            </w:r>
          </w:p>
        </w:tc>
        <w:tc>
          <w:tcPr>
            <w:tcW w:w="160" w:type="dxa"/>
            <w:vAlign w:val="bottom"/>
          </w:tcPr>
          <w:p>
            <w:pPr>
              <w:spacing w:after="0"/>
              <w:rPr>
                <w:sz w:val="19"/>
                <w:szCs w:val="19"/>
                <w:color w:val="auto"/>
              </w:rPr>
            </w:pPr>
          </w:p>
        </w:tc>
        <w:tc>
          <w:tcPr>
            <w:tcW w:w="3040" w:type="dxa"/>
            <w:vAlign w:val="bottom"/>
            <w:gridSpan w:val="7"/>
          </w:tcPr>
          <w:p>
            <w:pPr>
              <w:jc w:val="center"/>
              <w:ind w:right="320"/>
              <w:spacing w:after="0"/>
              <w:rPr>
                <w:sz w:val="20"/>
                <w:szCs w:val="20"/>
                <w:color w:val="auto"/>
              </w:rPr>
            </w:pPr>
            <w:r>
              <w:rPr>
                <w:rFonts w:ascii="Arial" w:cs="Arial" w:eastAsia="Arial" w:hAnsi="Arial"/>
                <w:sz w:val="17"/>
                <w:szCs w:val="17"/>
                <w:color w:val="auto"/>
                <w:w w:val="92"/>
              </w:rPr>
              <w:t>(in thousands of dollars)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w w:val="96"/>
              </w:rPr>
              <w:t>% Increase</w:t>
            </w:r>
          </w:p>
        </w:tc>
        <w:tc>
          <w:tcPr>
            <w:tcW w:w="3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w w:val="96"/>
              </w:rPr>
              <w:t>% Increase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center"/>
              <w:ind w:right="114"/>
              <w:spacing w:after="0"/>
              <w:rPr>
                <w:sz w:val="20"/>
                <w:szCs w:val="20"/>
                <w:color w:val="auto"/>
              </w:rPr>
            </w:pPr>
            <w:r>
              <w:rPr>
                <w:rFonts w:ascii="Arial" w:cs="Arial" w:eastAsia="Arial" w:hAnsi="Arial"/>
                <w:sz w:val="17"/>
                <w:szCs w:val="17"/>
                <w:color w:val="auto"/>
                <w:w w:val="89"/>
              </w:rPr>
              <w:t>2017</w:t>
            </w:r>
          </w:p>
        </w:tc>
        <w:tc>
          <w:tcPr>
            <w:tcW w:w="18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7"/>
                <w:szCs w:val="17"/>
                <w:color w:val="auto"/>
                <w:w w:val="97"/>
              </w:rPr>
              <w:t>(Decrease)</w:t>
            </w:r>
          </w:p>
        </w:tc>
        <w:tc>
          <w:tcPr>
            <w:tcW w:w="160" w:type="dxa"/>
            <w:vAlign w:val="bottom"/>
          </w:tcPr>
          <w:p>
            <w:pPr>
              <w:spacing w:after="0"/>
              <w:rPr>
                <w:sz w:val="19"/>
                <w:szCs w:val="19"/>
                <w:color w:val="auto"/>
              </w:rPr>
            </w:pP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center"/>
              <w:ind w:right="94"/>
              <w:spacing w:after="0"/>
              <w:rPr>
                <w:sz w:val="20"/>
                <w:szCs w:val="20"/>
                <w:color w:val="auto"/>
              </w:rPr>
            </w:pPr>
            <w:r>
              <w:rPr>
                <w:rFonts w:ascii="Arial" w:cs="Arial" w:eastAsia="Arial" w:hAnsi="Arial"/>
                <w:sz w:val="17"/>
                <w:szCs w:val="17"/>
                <w:color w:val="auto"/>
                <w:w w:val="89"/>
              </w:rPr>
              <w:t>2017</w:t>
            </w: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w w:val="95"/>
              </w:rPr>
              <w:t>(Decrease)</w:t>
            </w:r>
          </w:p>
        </w:tc>
        <w:tc>
          <w:tcPr>
            <w:tcW w:w="0" w:type="dxa"/>
            <w:vAlign w:val="bottom"/>
          </w:tcPr>
          <w:p>
            <w:pPr>
              <w:spacing w:after="0"/>
              <w:rPr>
                <w:sz w:val="1"/>
                <w:szCs w:val="1"/>
                <w:color w:val="auto"/>
              </w:rPr>
            </w:pPr>
          </w:p>
        </w:tc>
      </w:tr>
      <w:tr>
        <w:trPr>
          <w:trHeight w:val="207"/>
        </w:trPr>
        <w:tc>
          <w:tcPr>
            <w:tcW w:w="2580" w:type="dxa"/>
            <w:vAlign w:val="bottom"/>
            <w:gridSpan w:val="2"/>
          </w:tcPr>
          <w:p>
            <w:pPr>
              <w:spacing w:after="0"/>
              <w:rPr>
                <w:sz w:val="20"/>
                <w:szCs w:val="20"/>
                <w:color w:val="auto"/>
              </w:rPr>
            </w:pPr>
            <w:r>
              <w:rPr>
                <w:rFonts w:ascii="Arial" w:cs="Arial" w:eastAsia="Arial" w:hAnsi="Arial"/>
                <w:sz w:val="17"/>
                <w:szCs w:val="17"/>
                <w:color w:val="auto"/>
                <w:w w:val="97"/>
              </w:rPr>
              <w:t>Revenues from external customers</w:t>
            </w: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Mortuary 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1,274</w:t>
            </w: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1,182</w:t>
            </w:r>
          </w:p>
        </w:tc>
        <w:tc>
          <w:tcPr>
            <w:tcW w:w="18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2,665</w:t>
            </w: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2,588</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60" w:type="dxa"/>
            <w:vAlign w:val="bottom"/>
          </w:tcPr>
          <w:p>
            <w:pPr>
              <w:ind w:left="160"/>
              <w:spacing w:after="0"/>
              <w:rPr>
                <w:sz w:val="20"/>
                <w:szCs w:val="20"/>
                <w:color w:val="auto"/>
              </w:rPr>
            </w:pPr>
            <w:r>
              <w:rPr>
                <w:rFonts w:ascii="Arial" w:cs="Arial" w:eastAsia="Arial" w:hAnsi="Arial"/>
                <w:sz w:val="17"/>
                <w:szCs w:val="17"/>
                <w:color w:val="auto"/>
              </w:rPr>
              <w:t>Cemetery revenues</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2,860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2,213</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29%</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4,811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4,344</w:t>
            </w:r>
          </w:p>
        </w:tc>
        <w:tc>
          <w:tcPr>
            <w:tcW w:w="1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56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w w:val="99"/>
              </w:rPr>
              <w:t>Gains on investments and other</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(88)</w:t>
            </w: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(1505%)</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1,645</w:t>
            </w:r>
          </w:p>
        </w:tc>
        <w:tc>
          <w:tcPr>
            <w:tcW w:w="1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10181%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60" w:type="dxa"/>
            <w:vAlign w:val="bottom"/>
          </w:tcPr>
          <w:p>
            <w:pPr>
              <w:ind w:left="160"/>
              <w:spacing w:after="0"/>
              <w:rPr>
                <w:sz w:val="20"/>
                <w:szCs w:val="20"/>
                <w:color w:val="auto"/>
              </w:rPr>
            </w:pPr>
            <w:r>
              <w:rPr>
                <w:rFonts w:ascii="Arial" w:cs="Arial" w:eastAsia="Arial" w:hAnsi="Arial"/>
                <w:sz w:val="17"/>
                <w:szCs w:val="17"/>
                <w:color w:val="auto"/>
              </w:rPr>
              <w:t>Other</w:t>
            </w:r>
          </w:p>
        </w:tc>
        <w:tc>
          <w:tcPr>
            <w:tcW w:w="18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(89)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(9000%)</w:t>
            </w:r>
          </w:p>
        </w:tc>
        <w:tc>
          <w:tcPr>
            <w:tcW w:w="1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(70)</w:t>
            </w:r>
          </w:p>
        </w:tc>
        <w:tc>
          <w:tcPr>
            <w:tcW w:w="1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(40)</w:t>
            </w: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2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3,308</w:t>
            </w:r>
          </w:p>
        </w:tc>
        <w:tc>
          <w:tcPr>
            <w:tcW w:w="18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9,051</w:t>
            </w:r>
          </w:p>
        </w:tc>
        <w:tc>
          <w:tcPr>
            <w:tcW w:w="1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6,908</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2560" w:type="dxa"/>
            <w:vAlign w:val="bottom"/>
          </w:tcPr>
          <w:p>
            <w:pPr>
              <w:spacing w:after="0"/>
              <w:rPr>
                <w:sz w:val="20"/>
                <w:szCs w:val="20"/>
                <w:color w:val="auto"/>
              </w:rPr>
            </w:pPr>
            <w:r>
              <w:rPr>
                <w:rFonts w:ascii="Arial" w:cs="Arial" w:eastAsia="Arial" w:hAnsi="Arial"/>
                <w:sz w:val="17"/>
                <w:szCs w:val="17"/>
                <w:color w:val="auto"/>
              </w:rPr>
              <w:t>Earnings before income taxes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2,071</w:t>
            </w:r>
          </w:p>
        </w:tc>
        <w:tc>
          <w:tcPr>
            <w:tcW w:w="100" w:type="dxa"/>
            <w:vAlign w:val="bottom"/>
          </w:tcPr>
          <w:p>
            <w:pPr>
              <w:spacing w:after="0"/>
              <w:rPr>
                <w:sz w:val="17"/>
                <w:szCs w:val="17"/>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325</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537%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2,932</w:t>
            </w:r>
          </w:p>
        </w:tc>
        <w:tc>
          <w:tcPr>
            <w:tcW w:w="18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1,084</w:t>
            </w:r>
          </w:p>
        </w:tc>
        <w:tc>
          <w:tcPr>
            <w:tcW w:w="1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Included in other revenue is rental income from residential and commercial properties purchased from Security National Life. Memorial Estates purchased these properties from financing provided by Security National Life. The rental income is offset by property insurance, taxes and maintenance expenses. Memorial Estates has recorded depreciation on these properties of $155,000 and $163,000 for the three months ended June 30, 2018 and 2017, respectively, and $309,000 and $333,000 for the six months ended June 30, 2018 and 2017, respectively. Profitability in the three and six months ended June 30, 2018 has increased due to a realized gain on the sale of assets of Deseret Mortuary and an increase in cemetery revenues.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Mortgage Operations</w:t>
      </w:r>
    </w:p>
    <w:p>
      <w:pPr>
        <w:spacing w:after="0" w:line="27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Company's wholly owned subsidiaries, SecurityNational Mortgage and EverLEND Mortgage Company (formerly known as Green Street Mortgage Services, Inc.), are mortgage lenders incorporated under the laws of the State of Utah and approved and regulated by the Federal Housing Administration (FHA), a department of the U.S. Department of Housing and Urban Development (HUD), which originate mortgage loans that qualify for government insurance in the event of default by the borrower, in addition to various conventional mortgage loan products. SecurityNational Mortgage and EverLEND Mortgage originate and refinance mortgage loans on a retail basis. Mortgage loans originated or refinanced by the Company's mortgage subsidiaries are funded through loan purchase agreements with Security National Life and unaffiliated financial institutions.</w:t>
      </w:r>
    </w:p>
    <w:p>
      <w:pPr>
        <w:spacing w:after="0" w:line="23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Company's mortgage subsidiaries receive fees from borrowers that are involved in mortgage loan originations and refinancings, and secondary fees earned from third party investors that purchase the mortgage loans originated by the mortgage subsidiaries. Mortgage loans originated by the mortgage subsidiaries are generally sold with mortgage servicing rights released to third-party investors or retained by SecurityNational Mortgage. SecurityNational Mortgage currently retains the mortgage servicing rights on approximately 30% of its loan origination volume. These mortgage loans are serviced by either SecurityNational Mortgage or an approved third-party sub-servicer.</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the six months ended June 30, 2018 and 2017, SecurityNational Mortgage originated 5,183 loans ($1,072,863,000 total volume) and 6,551 loans ($1,271,565,000 total volume), respectively. For the six months ended June 30, 2018 and 2017, EverLEND Mortgage originated 80 loans ($22,510,000 total volume) and six loans ($1,202,000 total volume),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jc w:val="both"/>
        <w:spacing w:after="0" w:line="279" w:lineRule="auto"/>
        <w:rPr>
          <w:sz w:val="20"/>
          <w:szCs w:val="20"/>
          <w:color w:val="auto"/>
        </w:rPr>
      </w:pPr>
      <w:r>
        <w:rPr>
          <w:rFonts w:ascii="Arial" w:cs="Arial" w:eastAsia="Arial" w:hAnsi="Arial"/>
          <w:sz w:val="21"/>
          <w:szCs w:val="21"/>
          <w:color w:val="auto"/>
        </w:rPr>
        <w:t>The following table shows the condensed financial results of the mortgage operations for the three and six months ended June 30, 2018 and 2017. See Note 7 to the condensed consolidated financial statements.</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gridSpan w:val="8"/>
          </w:tcPr>
          <w:p>
            <w:pPr>
              <w:jc w:val="center"/>
              <w:ind w:right="480"/>
              <w:spacing w:after="0"/>
              <w:rPr>
                <w:sz w:val="20"/>
                <w:szCs w:val="20"/>
                <w:color w:val="auto"/>
              </w:rPr>
            </w:pPr>
            <w:r>
              <w:rPr>
                <w:rFonts w:ascii="Arial" w:cs="Arial" w:eastAsia="Arial" w:hAnsi="Arial"/>
                <w:sz w:val="17"/>
                <w:szCs w:val="17"/>
                <w:color w:val="auto"/>
                <w:w w:val="89"/>
              </w:rPr>
              <w:t>Three months ended June 30</w:t>
            </w:r>
          </w:p>
        </w:tc>
        <w:tc>
          <w:tcPr>
            <w:tcW w:w="160" w:type="dxa"/>
            <w:vAlign w:val="bottom"/>
          </w:tcPr>
          <w:p>
            <w:pPr>
              <w:spacing w:after="0"/>
              <w:rPr>
                <w:sz w:val="17"/>
                <w:szCs w:val="17"/>
                <w:color w:val="auto"/>
              </w:rPr>
            </w:pPr>
          </w:p>
        </w:tc>
        <w:tc>
          <w:tcPr>
            <w:tcW w:w="3080" w:type="dxa"/>
            <w:vAlign w:val="bottom"/>
            <w:gridSpan w:val="7"/>
          </w:tcPr>
          <w:p>
            <w:pPr>
              <w:jc w:val="center"/>
              <w:ind w:right="380"/>
              <w:spacing w:after="0"/>
              <w:rPr>
                <w:sz w:val="20"/>
                <w:szCs w:val="20"/>
                <w:color w:val="auto"/>
              </w:rPr>
            </w:pPr>
            <w:r>
              <w:rPr>
                <w:rFonts w:ascii="Arial" w:cs="Arial" w:eastAsia="Arial" w:hAnsi="Arial"/>
                <w:sz w:val="17"/>
                <w:szCs w:val="17"/>
                <w:color w:val="auto"/>
                <w:w w:val="90"/>
              </w:rPr>
              <w:t>Six months ended June 30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80" w:type="dxa"/>
            <w:vAlign w:val="bottom"/>
            <w:gridSpan w:val="8"/>
          </w:tcPr>
          <w:p>
            <w:pPr>
              <w:jc w:val="center"/>
              <w:ind w:right="500"/>
              <w:spacing w:after="0"/>
              <w:rPr>
                <w:sz w:val="20"/>
                <w:szCs w:val="20"/>
                <w:color w:val="auto"/>
              </w:rPr>
            </w:pPr>
            <w:r>
              <w:rPr>
                <w:rFonts w:ascii="Arial" w:cs="Arial" w:eastAsia="Arial" w:hAnsi="Arial"/>
                <w:sz w:val="17"/>
                <w:szCs w:val="17"/>
                <w:color w:val="auto"/>
                <w:w w:val="92"/>
              </w:rPr>
              <w:t>(in thousands of dollars)</w:t>
            </w:r>
          </w:p>
        </w:tc>
        <w:tc>
          <w:tcPr>
            <w:tcW w:w="160" w:type="dxa"/>
            <w:vAlign w:val="bottom"/>
          </w:tcPr>
          <w:p>
            <w:pPr>
              <w:spacing w:after="0"/>
              <w:rPr>
                <w:sz w:val="19"/>
                <w:szCs w:val="19"/>
                <w:color w:val="auto"/>
              </w:rPr>
            </w:pPr>
          </w:p>
        </w:tc>
        <w:tc>
          <w:tcPr>
            <w:tcW w:w="3080" w:type="dxa"/>
            <w:vAlign w:val="bottom"/>
            <w:gridSpan w:val="7"/>
          </w:tcPr>
          <w:p>
            <w:pPr>
              <w:jc w:val="center"/>
              <w:ind w:right="380"/>
              <w:spacing w:after="0"/>
              <w:rPr>
                <w:sz w:val="20"/>
                <w:szCs w:val="20"/>
                <w:color w:val="auto"/>
              </w:rPr>
            </w:pPr>
            <w:r>
              <w:rPr>
                <w:rFonts w:ascii="Arial" w:cs="Arial" w:eastAsia="Arial" w:hAnsi="Arial"/>
                <w:sz w:val="17"/>
                <w:szCs w:val="17"/>
                <w:color w:val="auto"/>
                <w:w w:val="91"/>
              </w:rPr>
              <w:t>(in thousands of dollars)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w w:val="94"/>
              </w:rPr>
              <w:t>% Increase</w:t>
            </w:r>
          </w:p>
        </w:tc>
        <w:tc>
          <w:tcPr>
            <w:tcW w:w="3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w w:val="94"/>
              </w:rPr>
              <w:t>% Increase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center"/>
              <w:ind w:right="114"/>
              <w:spacing w:after="0"/>
              <w:rPr>
                <w:sz w:val="20"/>
                <w:szCs w:val="20"/>
                <w:color w:val="auto"/>
              </w:rPr>
            </w:pPr>
            <w:r>
              <w:rPr>
                <w:rFonts w:ascii="Arial" w:cs="Arial" w:eastAsia="Arial" w:hAnsi="Arial"/>
                <w:sz w:val="17"/>
                <w:szCs w:val="17"/>
                <w:color w:val="auto"/>
                <w:w w:val="89"/>
              </w:rPr>
              <w:t>2017</w:t>
            </w:r>
          </w:p>
        </w:tc>
        <w:tc>
          <w:tcPr>
            <w:tcW w:w="20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7"/>
                <w:szCs w:val="17"/>
                <w:color w:val="auto"/>
                <w:w w:val="97"/>
              </w:rPr>
              <w:t>(Decrease)</w:t>
            </w:r>
          </w:p>
        </w:tc>
        <w:tc>
          <w:tcPr>
            <w:tcW w:w="160" w:type="dxa"/>
            <w:vAlign w:val="bottom"/>
          </w:tcPr>
          <w:p>
            <w:pPr>
              <w:spacing w:after="0"/>
              <w:rPr>
                <w:sz w:val="19"/>
                <w:szCs w:val="19"/>
                <w:color w:val="auto"/>
              </w:rPr>
            </w:pP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center"/>
              <w:ind w:right="94"/>
              <w:spacing w:after="0"/>
              <w:rPr>
                <w:sz w:val="20"/>
                <w:szCs w:val="20"/>
                <w:color w:val="auto"/>
              </w:rPr>
            </w:pPr>
            <w:r>
              <w:rPr>
                <w:rFonts w:ascii="Arial" w:cs="Arial" w:eastAsia="Arial" w:hAnsi="Arial"/>
                <w:sz w:val="17"/>
                <w:szCs w:val="17"/>
                <w:color w:val="auto"/>
                <w:w w:val="89"/>
              </w:rPr>
              <w:t>2017</w:t>
            </w:r>
          </w:p>
        </w:tc>
        <w:tc>
          <w:tcPr>
            <w:tcW w:w="18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w w:val="95"/>
              </w:rPr>
              <w:t>(Decrease)</w:t>
            </w:r>
          </w:p>
        </w:tc>
        <w:tc>
          <w:tcPr>
            <w:tcW w:w="0" w:type="dxa"/>
            <w:vAlign w:val="bottom"/>
          </w:tcPr>
          <w:p>
            <w:pPr>
              <w:spacing w:after="0"/>
              <w:rPr>
                <w:sz w:val="1"/>
                <w:szCs w:val="1"/>
                <w:color w:val="auto"/>
              </w:rPr>
            </w:pPr>
          </w:p>
        </w:tc>
      </w:tr>
      <w:tr>
        <w:trPr>
          <w:trHeight w:val="207"/>
        </w:trPr>
        <w:tc>
          <w:tcPr>
            <w:tcW w:w="2540" w:type="dxa"/>
            <w:vAlign w:val="bottom"/>
            <w:gridSpan w:val="2"/>
          </w:tcPr>
          <w:p>
            <w:pPr>
              <w:spacing w:after="0"/>
              <w:rPr>
                <w:sz w:val="20"/>
                <w:szCs w:val="20"/>
                <w:color w:val="auto"/>
              </w:rPr>
            </w:pPr>
            <w:r>
              <w:rPr>
                <w:rFonts w:ascii="Arial" w:cs="Arial" w:eastAsia="Arial" w:hAnsi="Arial"/>
                <w:sz w:val="17"/>
                <w:szCs w:val="17"/>
                <w:color w:val="auto"/>
                <w:w w:val="95"/>
              </w:rPr>
              <w:t>Revenues from external customers</w:t>
            </w: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Income from loan originations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13,473</w:t>
            </w: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11,688</w:t>
            </w:r>
          </w:p>
        </w:tc>
        <w:tc>
          <w:tcPr>
            <w:tcW w:w="14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25,335</w:t>
            </w: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26,559</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Pr>
          <w:p>
            <w:pPr>
              <w:ind w:left="160"/>
              <w:spacing w:after="0"/>
              <w:rPr>
                <w:sz w:val="20"/>
                <w:szCs w:val="20"/>
                <w:color w:val="auto"/>
              </w:rPr>
            </w:pPr>
            <w:r>
              <w:rPr>
                <w:rFonts w:ascii="Arial" w:cs="Arial" w:eastAsia="Arial" w:hAnsi="Arial"/>
                <w:sz w:val="17"/>
                <w:szCs w:val="17"/>
                <w:color w:val="auto"/>
                <w:w w:val="98"/>
              </w:rPr>
              <w:t>Secondary gains from investors</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20,740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32,446</w:t>
            </w:r>
          </w:p>
        </w:tc>
        <w:tc>
          <w:tcPr>
            <w:tcW w:w="20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(36%)</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36,318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58,641</w:t>
            </w:r>
          </w:p>
        </w:tc>
        <w:tc>
          <w:tcPr>
            <w:tcW w:w="1280" w:type="dxa"/>
            <w:vAlign w:val="bottom"/>
            <w:gridSpan w:val="3"/>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34,213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44,134</w:t>
            </w:r>
          </w:p>
        </w:tc>
        <w:tc>
          <w:tcPr>
            <w:tcW w:w="20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61,653</w:t>
            </w:r>
          </w:p>
        </w:tc>
        <w:tc>
          <w:tcPr>
            <w:tcW w:w="1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85,200</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7"/>
                <w:szCs w:val="17"/>
                <w:color w:val="auto"/>
              </w:rPr>
              <w:t>Earnings before income taxes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(847)</w:t>
            </w:r>
          </w:p>
        </w:tc>
        <w:tc>
          <w:tcPr>
            <w:tcW w:w="260" w:type="dxa"/>
            <w:vAlign w:val="bottom"/>
            <w:gridSpan w:val="2"/>
          </w:tcPr>
          <w:p>
            <w:pPr>
              <w:jc w:val="right"/>
              <w:ind w:right="25"/>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870</w:t>
            </w:r>
          </w:p>
        </w:tc>
        <w:tc>
          <w:tcPr>
            <w:tcW w:w="1400" w:type="dxa"/>
            <w:vAlign w:val="bottom"/>
            <w:gridSpan w:val="3"/>
          </w:tcPr>
          <w:p>
            <w:pPr>
              <w:jc w:val="right"/>
              <w:ind w:right="120"/>
              <w:spacing w:after="0"/>
              <w:rPr>
                <w:sz w:val="20"/>
                <w:szCs w:val="20"/>
                <w:color w:val="auto"/>
              </w:rPr>
            </w:pPr>
            <w:r>
              <w:rPr>
                <w:rFonts w:ascii="Arial" w:cs="Arial" w:eastAsia="Arial" w:hAnsi="Arial"/>
                <w:sz w:val="17"/>
                <w:szCs w:val="17"/>
                <w:color w:val="auto"/>
              </w:rPr>
              <w:t>(197%)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(4,232)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1,525</w:t>
            </w:r>
          </w:p>
        </w:tc>
        <w:tc>
          <w:tcPr>
            <w:tcW w:w="1280" w:type="dxa"/>
            <w:vAlign w:val="bottom"/>
            <w:gridSpan w:val="3"/>
          </w:tcPr>
          <w:p>
            <w:pPr>
              <w:jc w:val="right"/>
              <w:spacing w:after="0"/>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decrease in earnings for the three and six months ended June 30, 2018 was due to a reduction in mortgage loan originations and refinancings, and subsequent sales into the secondary market.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Mortgage Loan Loss Settlements</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Future mortgage loan losses can be extremely difficult to estimate. However, management believes that the Company's reserve methodology and its current practice of property preservation allow it to estimate its potential losses on mortgage loans sold. The estimated liability for indemnification losses was included in other liabilities and accrued expenses and, as of June 30, 2018 and December 31, 2017, the balances were $3,180,000 and $2,572,000,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Mortgage Loan Loss Litigation</w:t>
      </w:r>
    </w:p>
    <w:p>
      <w:pPr>
        <w:spacing w:after="0" w:line="27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For a description of the litigation involving SecurityNational Mortgage and Lehman Brothers Holdings, see Part I, Item 1. Notes to Condensed Consolidated Financial Statements (unaudited) in Note 11.</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Consolidation</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June 30, 2018 Compared to Three months Ended June 30, 2017</w:t>
      </w:r>
    </w:p>
    <w:p>
      <w:pPr>
        <w:spacing w:after="0" w:line="27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Total revenues decreased by $4,448,000, or 6.1%, to $68,865,000 for the three months ended June 30, 2018, from $73,313,000 for the comparable period in 2017. Contributing to this decrease in total revenues was a $9,805,000 decrease in mortgage fee income. This decrease in total revenues was partially offset by a $1,692,000 increase in insurance premiums and other considerations, a $1,440,000 increase in gains on investments and other assets, a $1,420,000 increase in net investment income, a $271,000 increase in net mortuary and cemetery sales, a $268,000 increase in other revenues, and a $266,000 decrease in other than temporary impairments on investments.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Insurance premiums and other considerations increased by $1,692,000, or 9.7%, to $19,191,000 for the three months ended June 30, 2018, from $17,499,000 for the comparable period in 2017. This increase was primarily due to an increase in renewal premiums due to the growth of the Company in recent years, particularly in whole life products, which resulted in more premium paying business in force.</w:t>
      </w:r>
    </w:p>
    <w:p>
      <w:pPr>
        <w:spacing w:after="0" w:line="224"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Net investment income increased by $1,420,000, or 17.1%, to $9,742,000 for the three months ended June 30, 2018, from $8,322,000 for the comparable period in 2017. This increase was primarily attributable to a $2,462,000 increase in mortgage loan interest, a $411,000 increase in insurance assignment income, an $85,000 increase interest on cash and cash equivalents, and a $63,000 increase in income from other investments. This increase was partially offset by a $1,211,000 decrease in rental income from real estate held for investment, a $342,000 increase in investment expenses, and a $45,000 decrease in policy loan income.</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Net mortuary and cemetery sales increased by $271,000, or 8.3%, to $3,551,000 for the three months ended June 30, 2018, from $3,280,000 for the comparable period in 2017. This increase was primarily due to a $195,000 increase in cemetery preneed sales and an $88,000 increase in mortuary at-need sales. This increase was partially offset by a $12,000 decrease in cemetery at-need sales.</w:t>
      </w:r>
    </w:p>
    <w:p>
      <w:pPr>
        <w:spacing w:after="0" w:line="22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Gains on investments and other assets increased by $1,441,000, or 162.4%, to $2,328,000 in gains for the three months ended June 30, 2018, from $887,000 in gains for the comparable period in 2017. This increase in gains on investments and other assets was primarily attributable to a gain of $1,603,000 realized on the sale of assets of Deseret Mortuary and a $127,000 increase in gains on equity securities mostly attributable to increases in the fair value of these securities. Due to the adoption of Accounting Standards Update ("ASU") 2016-01, these changes in fair value are now recognized in earnings instead of other comprehensive income. See the discussion of the adoption of this ASU in Note 2 of the notes to condensed consolidated financial statements. This increase was partially offset by a $272,000 decrease in gains on other assets and a $17,000 decrease in gains on fixed maturity securities.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jc w:val="both"/>
        <w:spacing w:after="0" w:line="312" w:lineRule="auto"/>
        <w:rPr>
          <w:sz w:val="20"/>
          <w:szCs w:val="20"/>
          <w:color w:val="auto"/>
        </w:rPr>
      </w:pPr>
      <w:r>
        <w:rPr>
          <w:rFonts w:ascii="Arial" w:cs="Arial" w:eastAsia="Arial" w:hAnsi="Arial"/>
          <w:sz w:val="18"/>
          <w:szCs w:val="18"/>
          <w:color w:val="auto"/>
        </w:rPr>
        <w:t>Mortgage fee income decreased by $9,805,000, or 23.6%, to $31,709,000, for the three months ended June 30, 2018, from $41,514,000 for the comparable period in 2017. This decrease was primarily due to a decline in mortgage loan originations that was indicative of the mortgage loan industry as a whole. The decline in mortgage loan originations was primarily caused by a national shortage of available new housing for mortgage loan origination transactions, and the decline in mortgage loan refinancings, which were primarily caused by recent increases in interest rates on mortgage loans. Additionally, the decline in mortgage originations by SecurityNational Mortgage has resulted in a decline in fees earned from third-party investors that purchase mortgage loans from SecurityNational Mortgage.</w:t>
      </w:r>
    </w:p>
    <w:p>
      <w:pPr>
        <w:spacing w:after="0" w:line="19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Other revenues increased by $268,000, or 12.9%, to $2,344,000 for the three months ended June 30, 2018, from $2,076,000 for the comparable period in 2017. This increase was due to an increase in mortgage servicing fees.</w:t>
      </w:r>
    </w:p>
    <w:p>
      <w:pPr>
        <w:spacing w:after="0" w:line="21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Total benefits and expenses were $64,703,000, or 94.0% of total revenues, for the three months ended June 30, 2018, as compared to $69,318,000, or 94.6% of total revenues, for the comparable period in 2017.</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Death benefits, surrenders and other policy benefits, and future policy benefits increased by an aggregate of $1,607,000 or 11.0%, to $16,200,000 for the three months ended June 30, 2018, from $14,593,000 for the comparable period in 2017. This increase was primarily the result of a $808,000 increase in death benefits, a $783,000 increase in surrender and other policy benefits, and a $16,000 increase in future policy benefits.</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Amortization of deferred policy and pre-need acquisition costs and value of business acquired increased by $342,000, or 19.3%, to $2,111,000 for the three months ended June 30, 2018, from $1,769,000 for the comparable period in 2017. This increase was primarily due to an increase in the average outstanding balance of deferred policy and pre-need acquisition costs.</w:t>
      </w:r>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Selling, general and administrative expenses decreased by $6,877,000, or 13.5%, to $44,162,000 for the three months ended June 30, 2018, from $51,039,000 for the comparable period in 2017. This decrease was primarily the result of a $4,063,000 decrease in commissions due to the decline in mortgage loan originations, a $1,200,000 decrease in personnel expenses due to a reduction in mortgage loan originators, a $710,000 decrease in other expenses, a $292,000 decrease in advertising, a $283,000 decrease in rent and rent related expenses, a $240,000 decrease in costs related to funding mortgage loans, and a $89,000 decrease in depreciation on property and equipment.</w:t>
      </w:r>
    </w:p>
    <w:p>
      <w:pPr>
        <w:spacing w:after="0" w:line="229" w:lineRule="exact"/>
        <w:rPr>
          <w:sz w:val="20"/>
          <w:szCs w:val="20"/>
          <w:color w:val="auto"/>
        </w:rPr>
      </w:pPr>
    </w:p>
    <w:p>
      <w:pPr>
        <w:jc w:val="both"/>
        <w:spacing w:after="0" w:line="352" w:lineRule="auto"/>
        <w:rPr>
          <w:sz w:val="20"/>
          <w:szCs w:val="20"/>
          <w:color w:val="auto"/>
        </w:rPr>
      </w:pPr>
      <w:r>
        <w:rPr>
          <w:rFonts w:ascii="Arial" w:cs="Arial" w:eastAsia="Arial" w:hAnsi="Arial"/>
          <w:sz w:val="15"/>
          <w:szCs w:val="15"/>
          <w:color w:val="auto"/>
        </w:rPr>
        <w:t>Interest expense increased by $295,000, or 21.3%, to $1,680,000 for the three months ended June 30, 2018, from $1,385,000 for the comparable period in 2017. This increase was primarily due to an increase in interest expense on mortgage warehouse lines and interest expense on bank loans for real estate held for investment.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Six months ended June 30, 2018 Compared to Six months Ended June 30, 2017</w:t>
      </w:r>
    </w:p>
    <w:p>
      <w:pPr>
        <w:spacing w:after="0" w:line="27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Total revenues increased by $6,799,000, or 4.7%, to $150,941,000 for the six months ended June 30, 2018, from $144,142,000 for the comparable period in 2017. Contributing to this increase in total revenues was a $23,316,000 increase in gains on investments and other assets, a $3,146,000 increase in insurance premiums and other considerations, a $2,478,000 increase in net investment income, a $717,000 increase in other revenues, a $318,000 decrease in other than temporary impairments on investments, and a $144,000 increase in net mortuary and cemetery sales. This increase in total revenues was partially offset by a $23,320,000 decrease in mortgage fee income.</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Insurance premiums and other considerations increased by $3,146,000, or 9.0%, to $38,001,000 for the six months ended June 30, 2018, from $34,855,000 for the comparable period in 2017. This increase was primarily due to an increase in renewal premiums due to the growth of the Company in recent years, particularly in whole life products, which resulted in more premium paying business in force.</w:t>
      </w:r>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Net investment income increased by $2,478,000, or 14.3%, to $19,816,000 for the six months ended June 30, 2018, from $17,338,000 for the comparable period in 2017. This increase was primarily attributable to a $3,966,000 increase in mortgage loan interest, a $990,000 increase in insurance assignment income, a $120,000 increase interest on cash and cash equivalents, a $110,000 increase in income from other investments, and a $107,000 increase in fixed maturity securities income. This increase was partially offset by a $1,422,000 decrease in rental income from real estate held for investment, a $1,332,000 increase in investment expenses, and a $59,000 decrease in policy loan income.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jc w:val="both"/>
        <w:spacing w:after="0" w:line="308" w:lineRule="auto"/>
        <w:rPr>
          <w:sz w:val="20"/>
          <w:szCs w:val="20"/>
          <w:color w:val="auto"/>
        </w:rPr>
      </w:pPr>
      <w:r>
        <w:rPr>
          <w:rFonts w:ascii="Arial" w:cs="Arial" w:eastAsia="Arial" w:hAnsi="Arial"/>
          <w:sz w:val="19"/>
          <w:szCs w:val="19"/>
          <w:color w:val="auto"/>
        </w:rPr>
        <w:t>Net mortuary and cemetery sales increased by $144,000, or 2.2%, to $6,784,000 for the six months ended June 30, 2018, from $6,640,000 for the comparable period in 2017. This increase was primarily due to an increase of $88,000 in mortuary at-need sales and an increase of $87,000 in cemetery preneed sales. This increase was partially offset by a $31,000 decrease in cemetery at-need sales.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Gains on investments and other assets increased by $23,316,000, or 2,257.7%, to $24,349,000 in gains for the six months ended June 30, 2018, from $1,033,000 in gains for the comparable period in 2017. This increase in gains on investments and other assets was primarily attributable to a gain of $22,252,000 realized from the sale of Dry Creek at East Village Apartments, a gain of $1,603,000 realized on the sale of assets of Deseret Mortuary, and a $47,000 increase in gains on other assets due to the sale of various other residential real estate properties. This increase was partially offset by a $300,000 increase in losses on fixed maturity securities, and a $286,000 increase in losses on equity securities mostly attributable to decreases in the fair value of these securities. Due to the adoption of Accounting Standards Update ("ASU") 2016-01, these changes in fair value are now recognized in earnings instead of other comprehensive income. See the discussion of the adoption of this ASU in Note 2 of the notes to condensed consolidated financial statements.</w:t>
      </w:r>
    </w:p>
    <w:p>
      <w:pPr>
        <w:spacing w:after="0" w:line="219"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Mortgage fee income decreased by $23,320,000, or 29.0%, to $57,169,000, for the six months ended June 30, 2018, from $80,489,000 for the comparable period in 2017. This decrease was primarily due to a decline in mortgage loan originations that was indicative of the mortgage loan industry as a whole. The decline in mortgage loan originations was primarily caused by a national shortage of available new housing for mortgage loan origination transactions, and the decline in mortgage loan refinancings, which were primarily caused by recent increases in interest rates on mortgage loans. Additionally, the decline in mortgage originations by SecurityNational Mortgage has resulted in a decline in fees earned from third-party investors that purchase mortgage loans from SecurityNational Mortgage.</w:t>
      </w:r>
    </w:p>
    <w:p>
      <w:pPr>
        <w:spacing w:after="0" w:line="20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Other revenues increased by $717,000, or 17.5%, to $4,822,000 for the six months ended June 30, 2018, from $4,105,000 for the comparable period in 2017. This increase was due to an increase in mortgage servicing fees.</w:t>
      </w:r>
    </w:p>
    <w:p>
      <w:pPr>
        <w:spacing w:after="0" w:line="21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Total benefits and expenses were $125,592,000, or 83.2% of total revenues, for the six months ended June 30, 2018, as compared to $137,250,000, or 95.2% of total revenues, for the comparable period in 2017.</w:t>
      </w:r>
    </w:p>
    <w:p>
      <w:pPr>
        <w:spacing w:after="0" w:line="21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Death benefits, surrenders and other policy benefits, and future policy benefits increased by an aggregate of $2,390,000 or 8.0%, to $32,203,000 for the six months ended June 30, 2018, from $29,813,000 for the comparable period in 2017. This increase was primarily the result of a $1,622,000 increase in death benefits and a $800,000 increase in future policy benefits. This increase was partially offset by a $32,000 decrease in surrender and other policy benefits.</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Amortization of deferred policy and pre-need acquisition costs and value of business acquired increased by $1,188,000, or 29.5%, to $5,221,000 for the six months ended June 30, 2018, from $4,033,000 for the comparable period in 2017. This increase was primarily due to an increase in the average outstanding balance of deferred policy and pre-need acquisition costs.</w:t>
      </w:r>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Selling, general and administrative expenses decreased by $16,050,000, or 16.1%, to $83,660,000 for the six months ended June 30, 2018, from $99,710,000 for the comparable period in 2017. This decrease was primarily the result of a $9,136,000 decrease in commissions due to the decline in mortgage loan originations, a $3,223,000 decrease in personnel expenses due to a reduction in mortgage loan originators, a $1,246,000 decrease in other expenses, a $1,090,000 decrease in costs related to funding mortgage loans, a $573,000 decrease in advertising, a $544,000 decrease in rent and rent related expenses, and a $238,000 decrease in depreciation on property and equipment.</w:t>
      </w:r>
    </w:p>
    <w:p>
      <w:pPr>
        <w:spacing w:after="0" w:line="229" w:lineRule="exact"/>
        <w:rPr>
          <w:sz w:val="20"/>
          <w:szCs w:val="20"/>
          <w:color w:val="auto"/>
        </w:rPr>
      </w:pPr>
    </w:p>
    <w:p>
      <w:pPr>
        <w:jc w:val="both"/>
        <w:spacing w:after="0" w:line="352" w:lineRule="auto"/>
        <w:rPr>
          <w:sz w:val="20"/>
          <w:szCs w:val="20"/>
          <w:color w:val="auto"/>
        </w:rPr>
      </w:pPr>
      <w:r>
        <w:rPr>
          <w:rFonts w:ascii="Arial" w:cs="Arial" w:eastAsia="Arial" w:hAnsi="Arial"/>
          <w:sz w:val="15"/>
          <w:szCs w:val="15"/>
          <w:color w:val="auto"/>
        </w:rPr>
        <w:t>Interest expense increased by $802,000, or 30.4%, to $3,442,000 for the six months ended June 30, 2018, from $2,640,000 for the comparable period in 2017. This increase was primarily due to an increase in interest expense on mortgage warehouse lines and interest expense on bank loans for real estate held for investment.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7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Company's life insurance subsidiaries and cemetery and mortuary subsidiaries realize cash flow from premiums, contract payments and sales on personal services rendered for cemetery and mortuary business, from interest and dividends on invested assets, and from the proceeds from the maturity of held to maturity investments or sale of other investments. The mortgage subsidiaries realize cash flow from fees generated by originating and refinancing mortgage loans, and fees earned from mortgage loans held for sale that are sold to investors. The Company considers these sources of cash flow to be adequate to fund future policyholder and cemetery and mortuary liabilities, which generally are long-term and adequate to pay current policyholder claims, annuity payments, expenses related to the issuance of new policies, the maintenance of existing policies, and debt service, and to meet current operating expenses.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jc w:val="both"/>
        <w:spacing w:after="0" w:line="305" w:lineRule="auto"/>
        <w:rPr>
          <w:sz w:val="20"/>
          <w:szCs w:val="20"/>
          <w:color w:val="auto"/>
        </w:rPr>
      </w:pPr>
      <w:r>
        <w:rPr>
          <w:rFonts w:ascii="Arial" w:cs="Arial" w:eastAsia="Arial" w:hAnsi="Arial"/>
          <w:sz w:val="20"/>
          <w:szCs w:val="20"/>
          <w:color w:val="auto"/>
        </w:rPr>
        <w:t>During the six months ended June 30, 2018 and 2017, the Company's operations used cash of $27,787,000 and provided cash of $20,042,000, respectively. This decrease was due primarily to an increase in cash used to fund mortgage loans held for sale.</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Company's liability for future policy benefits is expected to be paid out over the long-term due to the Company's market niche of selling funeral plans. Funeral plans are small face value life insurance that will pay the costs and expenses incurred at the time of a person's death. A person generally will keep these policies in force and will not surrender them prior to a person's death. Because of the long-term nature of these liabilities, the Company is able to hold to maturity its bonds, real estate and mortgage loans, thus reducing the risk of having to liquidate these long-term investments as a result of any sudden changes in fair values.</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attempts to match the duration of invested assets with its policyholder and cemetery and mortuary liabilities. The Company may sell investments other than those held to maturity in the portfolio to help in this timing. The Company purchases short-term investments on a temporary basis to meet the expectations of short-term requirements of the Company's products. The Company's investment philosophy is intended to provide a rate of return that will persist during the expected duration of policyholder and cemetery and mortuary liabilities regardless of future interest rate movements.</w:t>
      </w:r>
    </w:p>
    <w:p>
      <w:pPr>
        <w:spacing w:after="0" w:line="211" w:lineRule="exact"/>
        <w:rPr>
          <w:sz w:val="20"/>
          <w:szCs w:val="20"/>
          <w:color w:val="auto"/>
        </w:rPr>
      </w:pPr>
    </w:p>
    <w:p>
      <w:pPr>
        <w:jc w:val="both"/>
        <w:spacing w:after="0" w:line="209" w:lineRule="exact"/>
        <w:rPr>
          <w:sz w:val="20"/>
          <w:szCs w:val="20"/>
          <w:color w:val="auto"/>
        </w:rPr>
      </w:pPr>
      <w:r>
        <w:rPr>
          <w:rFonts w:ascii="Arial" w:cs="Arial" w:eastAsia="Arial" w:hAnsi="Arial"/>
          <w:sz w:val="17"/>
          <w:szCs w:val="17"/>
          <w:color w:val="auto"/>
        </w:rPr>
        <w:t>The Company's investment policy is to invest predominantly in fixed maturity securities, real estate, mortgage loans, and warehousing of mortgage loans on a short-term basis before selling the loans to investors in accordance with the requirements and laws governing the life insurance subsidiaries. Bonds owned by the insurance subsidiaries amounted to $217,786,000 and $227,774,000 as of June 30, 2018 and December 31, 2017, respectively. This represents 36.9% and 35.1% of the total investments as of June 30, 2018 and December 31, 2017, respectively. Generally, all bonds owned by the life insurance subsidiaries are rated by the National Association of Insurance Commissioners. Under this rating system, there are six categories used for rating bonds. At June 30, 2018, 4.5% (or $9,765,000) and at December 31, 2017, 5.4% (or $12,293,000) of the Company's total bond investments were invested in bonds in rating categories three through six, which were considered non</w:t>
      </w:r>
      <w:r>
        <w:rPr>
          <w:rFonts w:ascii="MS PGothic" w:cs="MS PGothic" w:eastAsia="MS PGothic" w:hAnsi="MS PGothic"/>
          <w:sz w:val="17"/>
          <w:szCs w:val="17"/>
          <w:color w:val="auto"/>
        </w:rPr>
        <w:t>‑</w:t>
      </w:r>
      <w:r>
        <w:rPr>
          <w:rFonts w:ascii="Arial" w:cs="Arial" w:eastAsia="Arial" w:hAnsi="Arial"/>
          <w:sz w:val="17"/>
          <w:szCs w:val="17"/>
          <w:color w:val="auto"/>
        </w:rPr>
        <w:t>investment grade.</w:t>
      </w:r>
    </w:p>
    <w:p>
      <w:pPr>
        <w:spacing w:after="0" w:line="2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has classified its fixed income securities as held to maturity. Notwithstanding, business conditions may develop in the future which may indicate a need for a higher level of liquidity in the investment portfolio. In that event, the Company believes it could sell short-term investment grade securities before liquidating higher yielding longer-term securities.</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is subject to risk-based capital guidelines established by statutory regulators requiring minimum capital levels based on the perceived risk of assets, liabilities, disintermediation, and business risk. At June 30, 2018 and December 31, 2017, the life insurance subsidiaries were in compliance with the regulatory criteria.</w:t>
      </w:r>
    </w:p>
    <w:p>
      <w:pPr>
        <w:spacing w:after="0" w:line="224" w:lineRule="exact"/>
        <w:rPr>
          <w:sz w:val="20"/>
          <w:szCs w:val="20"/>
          <w:color w:val="auto"/>
        </w:rPr>
      </w:pPr>
    </w:p>
    <w:p>
      <w:pPr>
        <w:jc w:val="both"/>
        <w:spacing w:after="0" w:line="352" w:lineRule="auto"/>
        <w:rPr>
          <w:sz w:val="20"/>
          <w:szCs w:val="20"/>
          <w:color w:val="auto"/>
        </w:rPr>
      </w:pPr>
      <w:r>
        <w:rPr>
          <w:rFonts w:ascii="Arial" w:cs="Arial" w:eastAsia="Arial" w:hAnsi="Arial"/>
          <w:sz w:val="15"/>
          <w:szCs w:val="15"/>
          <w:color w:val="auto"/>
        </w:rPr>
        <w:t>The Company's total capitalization of stockholders' equity, bank and other loans payable was $378,856,000 as of June 30, 2018, as compared to $306,019,000 as of December 31, 2017. Stockholders' equity as a percent of total capitalization was 44.9% and 48.5% as of June 30, 2018 and December 31, 2017, respectively.</w:t>
      </w:r>
    </w:p>
    <w:p>
      <w:pPr>
        <w:spacing w:after="0" w:line="16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Lapse rates measure the amount of insurance terminated during a particular period. The Company's lapse rate for life insurance in 2017 was 10.6% as compared to a rate of 9.6% for 2016. The 2018 lapse rate to date has been approximately the same as 2017.</w:t>
      </w:r>
    </w:p>
    <w:p>
      <w:pPr>
        <w:spacing w:after="0" w:line="21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At June 30, 2018, the statutory capital and surplus of the Company's life insurance subsidiaries was $55,063,000. The life insurance subsidiaries cannot pay a dividend to its parent company without approval of state insurance regulatory authorities.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As a smaller reporting company, the Company is not required to provide information typically disclosed under this item.</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Disclosure Controls and Procedures</w:t>
      </w:r>
    </w:p>
    <w:p>
      <w:pPr>
        <w:spacing w:after="0" w:line="27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June 30, 2018, the Company carried out an evaluation under the supervision and with the participation of its Chief Executive Officer (CEO) and Chief Financial Officer (CFO), of the effectiveness of the Company's disclosure controls and procedures (as defined in Rules 13a-15(e) and 15d-15(e) under the Securities Exchange Act of 1934, as amended (the "Exchange Act"). The Company's disclosure controls and procedures are designed to ensure that information required to be disclosed in the Securities and Exchange Commission (SEC) reports that the Company files or submits under the Exchange Act is recorded, processed, summarized and reported within the time period specified by the SEC's rules and forms and that such information is accumulated and communicated to management, including the Company's CEO and CFO, as appropriate, to allow timely decisions regarding required disclosure. The executive officers have concluded that the Company's disclosure controls and procedures were effective as of June 30, 2018, and that the unaudited condensed consolidated financial statements included in this Quarterly Report on Form 10-Q fairly present, in all material respects, the Company's financial condition, results of operations and cash flows for the periods presented in conformity with United States Generally Accepted Accounting Principles (GAAP).</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Changes in Internal Control over Financial Reporting</w:t>
      </w:r>
    </w:p>
    <w:p>
      <w:pPr>
        <w:spacing w:after="0" w:line="27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There have been no changes in the Company's internal control over financial reporting during the most recently completed fiscal quarter that have materially affected, or are reasonably likely to materially affect, the Company's internal control over financial reporting.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 Other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r>
        <w:rPr>
          <w:rFonts w:ascii="Arial" w:cs="Arial" w:eastAsia="Arial" w:hAnsi="Arial"/>
          <w:sz w:val="17"/>
          <w:szCs w:val="17"/>
          <w:color w:val="auto"/>
        </w:rPr>
        <w:t>.</w:t>
      </w:r>
    </w:p>
    <w:p>
      <w:pPr>
        <w:spacing w:after="0" w:line="27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For a description of the litigation involving SecurityNational Mortgage and Lehman Brothers Holdings, see Part I, Item 1. Notes to Condensed Consolidated Financial Statements (unaudited) in Note 11.</w:t>
      </w:r>
    </w:p>
    <w:p>
      <w:pPr>
        <w:spacing w:after="0" w:line="21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As a smaller reporting company, the Company is not required to provide information typically disclosed under this item.</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 and Use of Proceeds from Registered Securities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color w:val="auto"/>
        </w:rPr>
        <w:t>Item 5.  Other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 of Dry Creek at East Village Apartments</w:t>
      </w:r>
    </w:p>
    <w:p>
      <w:pPr>
        <w:spacing w:after="0" w:line="27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March 29, 2018, the Company through its wholly owned subsidiary, Security National Life Insurance Company ("Security National Life"), completed the sale of the Dry Creek at East Village ("Dry Creek") apartments to a subsidiary of Dinapoli Capital Partners, LLC ("Dinapoli Capital") pursuant to the terms of the Purchase and Sale Agreement, dated February 14, 2018, between Security National Life and Dinapoli Capital. The purchase price paid for the Dry Creek apartments was $57,000,000. From the proceeds that Security National Life received from the sale of the apartment complex, $26,802,904 was used to pay off an existing loan at Zions First National Bank, N.A., which was secured by a security interest in the apartment complex. A brokerage commission of $285,000 and legal fees and related costs were also paid from the purchase proceeds. The Company's book basis in Dry Creek was approximately $34,400,000, and the Company has recognized the gain net of tax effects from the sale in the first quarter of 2018.</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Dry Creek apartments consist of 282 units, with a mixture of one, two, and three-bedroom units. The construction of Dry Creek was completed in December 2015. As of December 31, 2017, the apartments were 95% leased. Also, rental rates in the market had increased by 9.8% over pro forma rents, and effective (achieved) rates net of concessions increased. The Company had owned the land for the development since 1991, when the Company purchased the land, along with the cemetery and mortuary that are adjacent to the property. The Company continues to operate the cemetery and mortuary. The Company may use the net proceeds from the sale of the Dry Creek apartments to invest in residential and commercial real estate projects. This may include the possible use of a Section 1031 real property exchange transaction.</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 of Beta Capital Corp.</w:t>
      </w:r>
    </w:p>
    <w:p>
      <w:pPr>
        <w:spacing w:after="0" w:line="27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June 1, 2018, the Company completed a stock purchase transaction with Beta Capital Corp. ("Beta Capital") and Ronald D. Maxson ("Maxson"), the sole owner of all the outstanding shares of common stock of Beta Capital, to purchase all of the outstanding shares of common stock of Beta Capital. Beta Capital is engaged in the operation of a factoring business with the principal purpose of providing funding for funeral homes and mortuaries. For the year ended December 31, 2017, Beta Capital had revenues of $1,208,000 with a net pre-tax income of $204,000. As of December 31, 2017, the total assets of Beta Capital were $3,270,000 and total equity was $1,832,000.</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Under the terms of the transaction, as set forth in the Stock Purchase Agreement dated June 1, 2018 (the "Purchase Agreement"), by and among the Company, Beta Capital and Maxson, the Company paid Maxson the purchase consideration at the closing of the transaction equal to the sum of (i) $890,000 in cash plus (ii) the accounts receivable value of $2,515,783, representing the total amount of the Company's outstanding receivables as of the closing date of June 1, 2018, for a total closing payment of $3,405,783. From the $3,405,783 closing payment, a holdback amount equal to $175,000 was deposited into an interest bearing escrow account to be held for a period of eighteen months from the closing date to pay off any uncollected accounts receivable and other liabilities of Beta Capital as of the closing date.</w:t>
      </w:r>
    </w:p>
    <w:p>
      <w:pPr>
        <w:spacing w:after="0" w:line="23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addition to the escrow amount, prior to closing Maxson estimated the amount of outstanding, accrued or unpaid liabilities and indebtedness owed by Beta Capital as of the closing date, including but not limited to salaries, commissions, employment taxes, and accounts payable (the "Trailing Liabilities") and left a cash balance in the Company's checking account at closing in the amount of at least 200% of such estimate (the "Cash Amount"). Sixty days after closing, Beta Capital is required to provide Maxson with an accounting of all post-closing payments by Beta Capital of the Trailing Liabilities from the Cash Amount and transfer the remaining balance of the Cash Amount to Maxson. In the event the Cash Amount is insufficient to pay the entire amount of the Trailing Liabilities, Maxson is required to reimburse the Company until the Company has been reimbursed in full for the total amount of the Trailing Liabilities.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5" w:name="page56"/>
    <w:bookmarkEnd w:id="55"/>
    <w:p>
      <w:pPr>
        <w:ind w:right="40"/>
        <w:spacing w:after="0" w:line="275" w:lineRule="auto"/>
        <w:rPr>
          <w:sz w:val="20"/>
          <w:szCs w:val="20"/>
          <w:color w:val="auto"/>
        </w:rPr>
      </w:pPr>
      <w:r>
        <w:rPr>
          <w:rFonts w:ascii="Arial" w:cs="Arial" w:eastAsia="Arial" w:hAnsi="Arial"/>
          <w:sz w:val="20"/>
          <w:szCs w:val="20"/>
          <w:color w:val="auto"/>
        </w:rPr>
        <w:t>Moreover, during the 18-month period from the closing date, the Company shall cause Beta Capital to use commercially reasonable efforts to collect all outstanding accounts receivable as of the closing date. Within 15 days after expiration of the 18-month period following the closing date, the Company shall provide written notice to Maxson of the amounts of the outstanding accounts receivables that had not been collected in full by the Company during the 18-month period. Maxson shall then be required to reimburse the Company for such uncollected accounts receivable. These payments shall be made by Maxson to the Company from the escrow funds then held in the escrow account. The balance of funds, if any, in the escrow account after disbursement of the uncollected accounts receivable payment to the Company shall be paid to Maxson by the escrow agent.</w:t>
      </w:r>
    </w:p>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Also at closing, the Company and Beta Capital entered into a non-competition and confidentiality agreement with Maxson. Further at closing, the Company and Beta Capital entered into a lease agreement with Maxson for the use of the office space currently occupied by Beta Capital in Portsmouth, Virginia. The lease is for a period of two years payable in the amount of $3,000 per month.</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 Financial Statements Schedules and Reports on Form 8-K.</w:t>
      </w:r>
    </w:p>
    <w:p>
      <w:pPr>
        <w:spacing w:after="0" w:line="276"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(a)(1)</w:t>
      </w:r>
      <w:r>
        <w:rPr>
          <w:sz w:val="20"/>
          <w:szCs w:val="20"/>
          <w:color w:val="auto"/>
        </w:rPr>
        <w:tab/>
      </w:r>
      <w:r>
        <w:rPr>
          <w:rFonts w:ascii="Arial" w:cs="Arial" w:eastAsia="Arial" w:hAnsi="Arial"/>
          <w:sz w:val="17"/>
          <w:szCs w:val="17"/>
          <w:u w:val="single" w:color="auto"/>
          <w:color w:val="auto"/>
        </w:rPr>
        <w:t>Financial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See "Table of Contents – Part I – Financial Information" under page 2 above</w:t>
      </w:r>
    </w:p>
    <w:p>
      <w:pPr>
        <w:spacing w:after="0" w:line="270"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(a)(2)</w:t>
      </w:r>
      <w:r>
        <w:rPr>
          <w:sz w:val="20"/>
          <w:szCs w:val="20"/>
          <w:color w:val="auto"/>
        </w:rPr>
        <w:tab/>
      </w:r>
      <w:r>
        <w:rPr>
          <w:rFonts w:ascii="Arial" w:cs="Arial" w:eastAsia="Arial" w:hAnsi="Arial"/>
          <w:sz w:val="17"/>
          <w:szCs w:val="17"/>
          <w:u w:val="single" w:color="auto"/>
          <w:color w:val="auto"/>
        </w:rPr>
        <w:t>Financial Statement Schedules</w:t>
      </w:r>
    </w:p>
    <w:p>
      <w:pPr>
        <w:spacing w:after="0" w:line="27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70" w:lineRule="exact"/>
        <w:rPr>
          <w:sz w:val="20"/>
          <w:szCs w:val="20"/>
          <w:color w:val="auto"/>
        </w:rPr>
      </w:pPr>
    </w:p>
    <w:p>
      <w:pPr>
        <w:jc w:val="both"/>
        <w:spacing w:after="0" w:line="213" w:lineRule="exact"/>
        <w:rPr>
          <w:sz w:val="20"/>
          <w:szCs w:val="20"/>
          <w:color w:val="auto"/>
        </w:rPr>
      </w:pPr>
      <w:r>
        <w:rPr>
          <w:rFonts w:ascii="Arial" w:cs="Arial" w:eastAsia="Arial" w:hAnsi="Arial"/>
          <w:sz w:val="17"/>
          <w:szCs w:val="17"/>
          <w:color w:val="auto"/>
        </w:rPr>
        <w:t>All other schedules to the consolidated financial statements required by Article 7 of Regulation S</w:t>
      </w:r>
      <w:r>
        <w:rPr>
          <w:rFonts w:ascii="MS PGothic" w:cs="MS PGothic" w:eastAsia="MS PGothic" w:hAnsi="MS PGothic"/>
          <w:sz w:val="17"/>
          <w:szCs w:val="17"/>
          <w:color w:val="auto"/>
        </w:rPr>
        <w:t>‑</w:t>
      </w:r>
      <w:r>
        <w:rPr>
          <w:rFonts w:ascii="Arial" w:cs="Arial" w:eastAsia="Arial" w:hAnsi="Arial"/>
          <w:sz w:val="17"/>
          <w:szCs w:val="17"/>
          <w:color w:val="auto"/>
        </w:rPr>
        <w:t>X are not required under the related instructions or are inapplicable and therefore have been omitted.</w:t>
      </w:r>
    </w:p>
    <w:p>
      <w:pPr>
        <w:spacing w:after="0" w:line="247"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color w:val="auto"/>
        </w:rPr>
        <w:t>(a)(3)</w:t>
      </w:r>
      <w:r>
        <w:rPr>
          <w:sz w:val="20"/>
          <w:szCs w:val="20"/>
          <w:color w:val="auto"/>
        </w:rPr>
        <w:tab/>
      </w:r>
      <w:r>
        <w:rPr>
          <w:rFonts w:ascii="Arial" w:cs="Arial" w:eastAsia="Arial" w:hAnsi="Arial"/>
          <w:sz w:val="17"/>
          <w:szCs w:val="17"/>
          <w:u w:val="single" w:color="auto"/>
          <w:color w:val="auto"/>
        </w:rPr>
        <w:t>Exhibits</w:t>
      </w:r>
    </w:p>
    <w:p>
      <w:pPr>
        <w:spacing w:after="0" w:line="270"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The following Exhibits are filed herewith pursuant to Rule 601 of Regulation S</w:t>
      </w:r>
      <w:r>
        <w:rPr>
          <w:rFonts w:ascii="MS PGothic" w:cs="MS PGothic" w:eastAsia="MS PGothic" w:hAnsi="MS PGothic"/>
          <w:sz w:val="17"/>
          <w:szCs w:val="17"/>
          <w:color w:val="auto"/>
        </w:rPr>
        <w:t>‑</w:t>
      </w:r>
      <w:r>
        <w:rPr>
          <w:rFonts w:ascii="Arial" w:cs="Arial" w:eastAsia="Arial" w:hAnsi="Arial"/>
          <w:sz w:val="17"/>
          <w:szCs w:val="17"/>
          <w:color w:val="auto"/>
        </w:rPr>
        <w:t>K or are incorporated by reference to previous filings.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3.1</w:t>
            </w:r>
          </w:p>
        </w:tc>
        <w:tc>
          <w:tcPr>
            <w:tcW w:w="10080" w:type="dxa"/>
            <w:vAlign w:val="bottom"/>
            <w:gridSpan w:val="12"/>
            <w:shd w:val="clear" w:color="auto" w:fill="CCEEFF"/>
          </w:tcPr>
          <w:p>
            <w:pPr>
              <w:spacing w:after="0"/>
              <w:rPr>
                <w:rFonts w:ascii="Arial" w:cs="Arial" w:eastAsia="Arial" w:hAnsi="Arial"/>
                <w:sz w:val="17"/>
                <w:szCs w:val="17"/>
                <w:color w:val="0000EE"/>
              </w:rPr>
            </w:pPr>
            <w:hyperlink r:id="rId53">
              <w:r>
                <w:rPr>
                  <w:rFonts w:ascii="Arial" w:cs="Arial" w:eastAsia="Arial" w:hAnsi="Arial"/>
                  <w:sz w:val="17"/>
                  <w:szCs w:val="17"/>
                  <w:color w:val="0000EE"/>
                </w:rPr>
                <w:t>Articles of Amendment and Restatement to Articles of Incorporation (8)</w:t>
              </w:r>
            </w:hyperlink>
          </w:p>
        </w:tc>
      </w:tr>
      <w:tr>
        <w:trPr>
          <w:trHeight w:val="207"/>
        </w:trPr>
        <w:tc>
          <w:tcPr>
            <w:tcW w:w="1340" w:type="dxa"/>
            <w:vAlign w:val="bottom"/>
            <w:tcBorders>
              <w:top w:val="single" w:sz="8" w:color="CCEEFF"/>
            </w:tcBorders>
          </w:tcPr>
          <w:p>
            <w:pPr>
              <w:spacing w:after="0"/>
              <w:rPr>
                <w:sz w:val="17"/>
                <w:szCs w:val="17"/>
                <w:color w:val="auto"/>
              </w:rPr>
            </w:pPr>
          </w:p>
        </w:tc>
        <w:tc>
          <w:tcPr>
            <w:tcW w:w="1620" w:type="dxa"/>
            <w:vAlign w:val="bottom"/>
            <w:tcBorders>
              <w:top w:val="single" w:sz="8" w:color="0000EE"/>
            </w:tcBorders>
            <w:gridSpan w:val="2"/>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56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r>
      <w:tr>
        <w:trPr>
          <w:trHeight w:val="187"/>
        </w:trPr>
        <w:tc>
          <w:tcPr>
            <w:tcW w:w="1340" w:type="dxa"/>
            <w:vAlign w:val="bottom"/>
            <w:shd w:val="clear" w:color="auto" w:fill="CCEEFF"/>
          </w:tcPr>
          <w:p>
            <w:pPr>
              <w:spacing w:after="0" w:line="168" w:lineRule="exact"/>
              <w:rPr>
                <w:sz w:val="20"/>
                <w:szCs w:val="20"/>
                <w:color w:val="auto"/>
              </w:rPr>
            </w:pPr>
            <w:r>
              <w:rPr>
                <w:rFonts w:ascii="Arial" w:cs="Arial" w:eastAsia="Arial" w:hAnsi="Arial"/>
                <w:sz w:val="17"/>
                <w:szCs w:val="17"/>
                <w:color w:val="auto"/>
              </w:rPr>
              <w:t>3.2</w:t>
            </w:r>
          </w:p>
        </w:tc>
        <w:tc>
          <w:tcPr>
            <w:tcW w:w="10080" w:type="dxa"/>
            <w:vAlign w:val="bottom"/>
            <w:gridSpan w:val="12"/>
            <w:shd w:val="clear" w:color="auto" w:fill="CCEEFF"/>
          </w:tcPr>
          <w:p>
            <w:pPr>
              <w:spacing w:after="0" w:line="168" w:lineRule="exact"/>
              <w:rPr>
                <w:rFonts w:ascii="Arial" w:cs="Arial" w:eastAsia="Arial" w:hAnsi="Arial"/>
                <w:sz w:val="17"/>
                <w:szCs w:val="17"/>
                <w:color w:val="0000EE"/>
              </w:rPr>
            </w:pPr>
            <w:hyperlink r:id="rId54">
              <w:r>
                <w:rPr>
                  <w:rFonts w:ascii="Arial" w:cs="Arial" w:eastAsia="Arial" w:hAnsi="Arial"/>
                  <w:sz w:val="17"/>
                  <w:szCs w:val="17"/>
                  <w:color w:val="0000EE"/>
                </w:rPr>
                <w:t>Amended and Restated Bylaws (10)</w:t>
              </w:r>
            </w:hyperlink>
          </w:p>
        </w:tc>
      </w:tr>
      <w:tr>
        <w:trPr>
          <w:trHeight w:val="207"/>
        </w:trPr>
        <w:tc>
          <w:tcPr>
            <w:tcW w:w="1340" w:type="dxa"/>
            <w:vAlign w:val="bottom"/>
            <w:tcBorders>
              <w:top w:val="single" w:sz="8" w:color="CCEEFF"/>
            </w:tcBorders>
          </w:tcPr>
          <w:p>
            <w:pPr>
              <w:spacing w:after="0"/>
              <w:rPr>
                <w:sz w:val="17"/>
                <w:szCs w:val="17"/>
                <w:color w:val="auto"/>
              </w:rPr>
            </w:pPr>
          </w:p>
        </w:tc>
        <w:tc>
          <w:tcPr>
            <w:tcW w:w="1620" w:type="dxa"/>
            <w:vAlign w:val="bottom"/>
            <w:tcBorders>
              <w:top w:val="single" w:sz="8" w:color="0000EE"/>
            </w:tcBorders>
            <w:gridSpan w:val="2"/>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7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56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r>
      <w:tr>
        <w:trPr>
          <w:trHeight w:val="207"/>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4.1</w:t>
            </w:r>
          </w:p>
        </w:tc>
        <w:tc>
          <w:tcPr>
            <w:tcW w:w="10080" w:type="dxa"/>
            <w:vAlign w:val="bottom"/>
            <w:gridSpan w:val="12"/>
            <w:shd w:val="clear" w:color="auto" w:fill="CCEEFF"/>
          </w:tcPr>
          <w:p>
            <w:pPr>
              <w:spacing w:after="0"/>
              <w:rPr>
                <w:sz w:val="20"/>
                <w:szCs w:val="20"/>
                <w:color w:val="auto"/>
              </w:rPr>
            </w:pPr>
            <w:r>
              <w:rPr>
                <w:rFonts w:ascii="Arial" w:cs="Arial" w:eastAsia="Arial" w:hAnsi="Arial"/>
                <w:sz w:val="17"/>
                <w:szCs w:val="17"/>
                <w:color w:val="auto"/>
              </w:rPr>
              <w:t>Specimen Class A Stock Certificate (1)</w:t>
            </w:r>
          </w:p>
        </w:tc>
      </w:tr>
      <w:tr>
        <w:trPr>
          <w:trHeight w:val="207"/>
        </w:trPr>
        <w:tc>
          <w:tcPr>
            <w:tcW w:w="1340" w:type="dxa"/>
            <w:vAlign w:val="bottom"/>
          </w:tcPr>
          <w:p>
            <w:pPr>
              <w:spacing w:after="0"/>
              <w:rPr>
                <w:sz w:val="17"/>
                <w:szCs w:val="17"/>
                <w:color w:val="auto"/>
              </w:rPr>
            </w:pPr>
          </w:p>
        </w:tc>
        <w:tc>
          <w:tcPr>
            <w:tcW w:w="162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7"/>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4.2</w:t>
            </w:r>
          </w:p>
        </w:tc>
        <w:tc>
          <w:tcPr>
            <w:tcW w:w="10080" w:type="dxa"/>
            <w:vAlign w:val="bottom"/>
            <w:gridSpan w:val="12"/>
            <w:shd w:val="clear" w:color="auto" w:fill="CCEEFF"/>
          </w:tcPr>
          <w:p>
            <w:pPr>
              <w:spacing w:after="0"/>
              <w:rPr>
                <w:sz w:val="20"/>
                <w:szCs w:val="20"/>
                <w:color w:val="auto"/>
              </w:rPr>
            </w:pPr>
            <w:r>
              <w:rPr>
                <w:rFonts w:ascii="Arial" w:cs="Arial" w:eastAsia="Arial" w:hAnsi="Arial"/>
                <w:sz w:val="17"/>
                <w:szCs w:val="17"/>
                <w:color w:val="auto"/>
              </w:rPr>
              <w:t>Specimen Class C Stock Certificate (1)</w:t>
            </w:r>
          </w:p>
        </w:tc>
      </w:tr>
      <w:tr>
        <w:trPr>
          <w:trHeight w:val="207"/>
        </w:trPr>
        <w:tc>
          <w:tcPr>
            <w:tcW w:w="1340" w:type="dxa"/>
            <w:vAlign w:val="bottom"/>
          </w:tcPr>
          <w:p>
            <w:pPr>
              <w:spacing w:after="0"/>
              <w:rPr>
                <w:sz w:val="17"/>
                <w:szCs w:val="17"/>
                <w:color w:val="auto"/>
              </w:rPr>
            </w:pPr>
          </w:p>
        </w:tc>
        <w:tc>
          <w:tcPr>
            <w:tcW w:w="162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7"/>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4.3</w:t>
            </w:r>
          </w:p>
        </w:tc>
        <w:tc>
          <w:tcPr>
            <w:tcW w:w="10080" w:type="dxa"/>
            <w:vAlign w:val="bottom"/>
            <w:gridSpan w:val="12"/>
            <w:shd w:val="clear" w:color="auto" w:fill="CCEEFF"/>
          </w:tcPr>
          <w:p>
            <w:pPr>
              <w:spacing w:after="0"/>
              <w:rPr>
                <w:sz w:val="20"/>
                <w:szCs w:val="20"/>
                <w:color w:val="auto"/>
              </w:rPr>
            </w:pPr>
            <w:r>
              <w:rPr>
                <w:rFonts w:ascii="Arial" w:cs="Arial" w:eastAsia="Arial" w:hAnsi="Arial"/>
                <w:sz w:val="17"/>
                <w:szCs w:val="17"/>
                <w:color w:val="auto"/>
              </w:rPr>
              <w:t>Specimen Preferred Stock Certificate and Certificate of Designation of Preferred Stock (1)</w:t>
            </w:r>
          </w:p>
        </w:tc>
      </w:tr>
      <w:tr>
        <w:trPr>
          <w:trHeight w:val="207"/>
        </w:trPr>
        <w:tc>
          <w:tcPr>
            <w:tcW w:w="1340" w:type="dxa"/>
            <w:vAlign w:val="bottom"/>
          </w:tcPr>
          <w:p>
            <w:pPr>
              <w:spacing w:after="0"/>
              <w:rPr>
                <w:sz w:val="17"/>
                <w:szCs w:val="17"/>
                <w:color w:val="auto"/>
              </w:rPr>
            </w:pPr>
          </w:p>
        </w:tc>
        <w:tc>
          <w:tcPr>
            <w:tcW w:w="162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187"/>
        </w:trPr>
        <w:tc>
          <w:tcPr>
            <w:tcW w:w="1340" w:type="dxa"/>
            <w:vAlign w:val="bottom"/>
            <w:shd w:val="clear" w:color="auto" w:fill="CCEEFF"/>
          </w:tcPr>
          <w:p>
            <w:pPr>
              <w:spacing w:after="0" w:line="168" w:lineRule="exact"/>
              <w:rPr>
                <w:sz w:val="20"/>
                <w:szCs w:val="20"/>
                <w:color w:val="auto"/>
              </w:rPr>
            </w:pPr>
            <w:r>
              <w:rPr>
                <w:rFonts w:ascii="Arial" w:cs="Arial" w:eastAsia="Arial" w:hAnsi="Arial"/>
                <w:sz w:val="17"/>
                <w:szCs w:val="17"/>
                <w:color w:val="auto"/>
              </w:rPr>
              <w:t>7.1</w:t>
            </w:r>
          </w:p>
        </w:tc>
        <w:tc>
          <w:tcPr>
            <w:tcW w:w="10080" w:type="dxa"/>
            <w:vAlign w:val="bottom"/>
            <w:gridSpan w:val="12"/>
            <w:shd w:val="clear" w:color="auto" w:fill="CCEEFF"/>
          </w:tcPr>
          <w:p>
            <w:pPr>
              <w:spacing w:after="0" w:line="168" w:lineRule="exact"/>
              <w:rPr>
                <w:rFonts w:ascii="Arial" w:cs="Arial" w:eastAsia="Arial" w:hAnsi="Arial"/>
                <w:sz w:val="17"/>
                <w:szCs w:val="17"/>
                <w:color w:val="0000EE"/>
              </w:rPr>
            </w:pPr>
            <w:hyperlink r:id="rId55">
              <w:r>
                <w:rPr>
                  <w:rFonts w:ascii="Arial" w:cs="Arial" w:eastAsia="Arial" w:hAnsi="Arial"/>
                  <w:sz w:val="17"/>
                  <w:szCs w:val="17"/>
                  <w:color w:val="0000EE"/>
                </w:rPr>
                <w:t>Letter from Eide Bailly, LLP (9)</w:t>
              </w:r>
            </w:hyperlink>
          </w:p>
        </w:tc>
      </w:tr>
      <w:tr>
        <w:trPr>
          <w:trHeight w:val="207"/>
        </w:trPr>
        <w:tc>
          <w:tcPr>
            <w:tcW w:w="1340" w:type="dxa"/>
            <w:vAlign w:val="bottom"/>
            <w:tcBorders>
              <w:top w:val="single" w:sz="8" w:color="CCEEFF"/>
            </w:tcBorders>
          </w:tcPr>
          <w:p>
            <w:pPr>
              <w:spacing w:after="0"/>
              <w:rPr>
                <w:sz w:val="17"/>
                <w:szCs w:val="17"/>
                <w:color w:val="auto"/>
              </w:rPr>
            </w:pPr>
          </w:p>
        </w:tc>
        <w:tc>
          <w:tcPr>
            <w:tcW w:w="1620" w:type="dxa"/>
            <w:vAlign w:val="bottom"/>
            <w:tcBorders>
              <w:top w:val="single" w:sz="8" w:color="0000EE"/>
            </w:tcBorders>
            <w:gridSpan w:val="2"/>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7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56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r>
      <w:tr>
        <w:trPr>
          <w:trHeight w:val="207"/>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10.1</w:t>
            </w:r>
          </w:p>
        </w:tc>
        <w:tc>
          <w:tcPr>
            <w:tcW w:w="10080" w:type="dxa"/>
            <w:vAlign w:val="bottom"/>
            <w:gridSpan w:val="12"/>
            <w:shd w:val="clear" w:color="auto" w:fill="CCEEFF"/>
          </w:tcPr>
          <w:p>
            <w:pPr>
              <w:spacing w:after="0"/>
              <w:rPr>
                <w:sz w:val="20"/>
                <w:szCs w:val="20"/>
                <w:color w:val="auto"/>
              </w:rPr>
            </w:pPr>
            <w:r>
              <w:rPr>
                <w:rFonts w:ascii="Arial" w:cs="Arial" w:eastAsia="Arial" w:hAnsi="Arial"/>
                <w:sz w:val="17"/>
                <w:szCs w:val="17"/>
                <w:color w:val="auto"/>
              </w:rPr>
              <w:t>Amended and Restated Employee Stock Ownership Plan (ESOP) and Trust Agreement (1)</w:t>
            </w:r>
          </w:p>
        </w:tc>
      </w:tr>
      <w:tr>
        <w:trPr>
          <w:trHeight w:val="207"/>
        </w:trPr>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187"/>
        </w:trPr>
        <w:tc>
          <w:tcPr>
            <w:tcW w:w="1340" w:type="dxa"/>
            <w:vAlign w:val="bottom"/>
            <w:shd w:val="clear" w:color="auto" w:fill="CCEEFF"/>
          </w:tcPr>
          <w:p>
            <w:pPr>
              <w:spacing w:after="0" w:line="168" w:lineRule="exact"/>
              <w:rPr>
                <w:sz w:val="20"/>
                <w:szCs w:val="20"/>
                <w:color w:val="auto"/>
              </w:rPr>
            </w:pPr>
            <w:r>
              <w:rPr>
                <w:rFonts w:ascii="Arial" w:cs="Arial" w:eastAsia="Arial" w:hAnsi="Arial"/>
                <w:sz w:val="17"/>
                <w:szCs w:val="17"/>
                <w:color w:val="auto"/>
              </w:rPr>
              <w:t>10.2</w:t>
            </w:r>
          </w:p>
        </w:tc>
        <w:tc>
          <w:tcPr>
            <w:tcW w:w="360" w:type="dxa"/>
            <w:vAlign w:val="bottom"/>
            <w:shd w:val="clear" w:color="auto" w:fill="CCEEFF"/>
          </w:tcPr>
          <w:p>
            <w:pPr>
              <w:spacing w:after="0" w:line="168" w:lineRule="exact"/>
              <w:rPr>
                <w:rFonts w:ascii="Arial" w:cs="Arial" w:eastAsia="Arial" w:hAnsi="Arial"/>
                <w:sz w:val="17"/>
                <w:szCs w:val="17"/>
                <w:color w:val="0000EE"/>
                <w:w w:val="89"/>
              </w:rPr>
            </w:pPr>
            <w:hyperlink r:id="rId56">
              <w:r>
                <w:rPr>
                  <w:rFonts w:ascii="Arial" w:cs="Arial" w:eastAsia="Arial" w:hAnsi="Arial"/>
                  <w:sz w:val="17"/>
                  <w:szCs w:val="17"/>
                  <w:color w:val="0000EE"/>
                  <w:w w:val="89"/>
                </w:rPr>
                <w:t>2003</w:t>
              </w:r>
            </w:hyperlink>
          </w:p>
        </w:tc>
        <w:tc>
          <w:tcPr>
            <w:tcW w:w="9720" w:type="dxa"/>
            <w:vAlign w:val="bottom"/>
            <w:gridSpan w:val="11"/>
            <w:shd w:val="clear" w:color="auto" w:fill="CCEEFF"/>
          </w:tcPr>
          <w:p>
            <w:pPr>
              <w:ind w:left="20"/>
              <w:spacing w:after="0" w:line="168" w:lineRule="exact"/>
              <w:rPr>
                <w:rFonts w:ascii="Arial" w:cs="Arial" w:eastAsia="Arial" w:hAnsi="Arial"/>
                <w:sz w:val="17"/>
                <w:szCs w:val="17"/>
                <w:color w:val="0000EE"/>
              </w:rPr>
            </w:pPr>
            <w:hyperlink r:id="rId56">
              <w:r>
                <w:rPr>
                  <w:rFonts w:ascii="Arial" w:cs="Arial" w:eastAsia="Arial" w:hAnsi="Arial"/>
                  <w:sz w:val="17"/>
                  <w:szCs w:val="17"/>
                  <w:color w:val="0000EE"/>
                </w:rPr>
                <w:t>Stock Option Plan (2)</w:t>
              </w:r>
            </w:hyperlink>
          </w:p>
        </w:tc>
      </w:tr>
      <w:tr>
        <w:trPr>
          <w:trHeight w:val="207"/>
        </w:trPr>
        <w:tc>
          <w:tcPr>
            <w:tcW w:w="1340" w:type="dxa"/>
            <w:vAlign w:val="bottom"/>
            <w:tcBorders>
              <w:top w:val="single" w:sz="8" w:color="CCEEFF"/>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7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56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r>
      <w:tr>
        <w:trPr>
          <w:trHeight w:val="213"/>
        </w:trPr>
        <w:tc>
          <w:tcPr>
            <w:tcW w:w="1340" w:type="dxa"/>
            <w:vAlign w:val="bottom"/>
            <w:shd w:val="clear" w:color="auto" w:fill="CCEEFF"/>
          </w:tcPr>
          <w:p>
            <w:pPr>
              <w:spacing w:after="0" w:line="168" w:lineRule="exact"/>
              <w:rPr>
                <w:sz w:val="20"/>
                <w:szCs w:val="20"/>
                <w:color w:val="auto"/>
              </w:rPr>
            </w:pPr>
            <w:r>
              <w:rPr>
                <w:rFonts w:ascii="Arial" w:cs="Arial" w:eastAsia="Arial" w:hAnsi="Arial"/>
                <w:sz w:val="17"/>
                <w:szCs w:val="17"/>
                <w:color w:val="auto"/>
              </w:rPr>
              <w:t>10.3</w:t>
            </w:r>
          </w:p>
        </w:tc>
        <w:tc>
          <w:tcPr>
            <w:tcW w:w="360" w:type="dxa"/>
            <w:vAlign w:val="bottom"/>
            <w:shd w:val="clear" w:color="auto" w:fill="CCEEFF"/>
          </w:tcPr>
          <w:p>
            <w:pPr>
              <w:spacing w:after="0" w:line="168" w:lineRule="exact"/>
              <w:rPr>
                <w:rFonts w:ascii="Arial" w:cs="Arial" w:eastAsia="Arial" w:hAnsi="Arial"/>
                <w:sz w:val="17"/>
                <w:szCs w:val="17"/>
                <w:color w:val="0000EE"/>
                <w:w w:val="89"/>
              </w:rPr>
            </w:pPr>
            <w:hyperlink r:id="rId57">
              <w:r>
                <w:rPr>
                  <w:rFonts w:ascii="Arial" w:cs="Arial" w:eastAsia="Arial" w:hAnsi="Arial"/>
                  <w:sz w:val="17"/>
                  <w:szCs w:val="17"/>
                  <w:color w:val="0000EE"/>
                  <w:w w:val="89"/>
                </w:rPr>
                <w:t>2006</w:t>
              </w:r>
            </w:hyperlink>
          </w:p>
        </w:tc>
        <w:tc>
          <w:tcPr>
            <w:tcW w:w="9720" w:type="dxa"/>
            <w:vAlign w:val="bottom"/>
            <w:gridSpan w:val="11"/>
            <w:shd w:val="clear" w:color="auto" w:fill="CCEEFF"/>
          </w:tcPr>
          <w:p>
            <w:pPr>
              <w:ind w:left="20"/>
              <w:spacing w:after="0" w:line="168" w:lineRule="exact"/>
              <w:rPr>
                <w:rFonts w:ascii="Arial" w:cs="Arial" w:eastAsia="Arial" w:hAnsi="Arial"/>
                <w:sz w:val="17"/>
                <w:szCs w:val="17"/>
                <w:color w:val="0000EE"/>
              </w:rPr>
            </w:pPr>
            <w:hyperlink r:id="rId57">
              <w:r>
                <w:rPr>
                  <w:rFonts w:ascii="Arial" w:cs="Arial" w:eastAsia="Arial" w:hAnsi="Arial"/>
                  <w:sz w:val="17"/>
                  <w:szCs w:val="17"/>
                  <w:color w:val="0000EE"/>
                </w:rPr>
                <w:t>Director Stock Option Plan (3)</w:t>
              </w:r>
            </w:hyperlink>
          </w:p>
        </w:tc>
      </w:tr>
      <w:tr>
        <w:trPr>
          <w:trHeight w:val="207"/>
        </w:trPr>
        <w:tc>
          <w:tcPr>
            <w:tcW w:w="1340" w:type="dxa"/>
            <w:vAlign w:val="bottom"/>
            <w:tcBorders>
              <w:top w:val="single" w:sz="8" w:color="CCEEFF"/>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7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56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r>
      <w:tr>
        <w:trPr>
          <w:trHeight w:val="187"/>
        </w:trPr>
        <w:tc>
          <w:tcPr>
            <w:tcW w:w="1340" w:type="dxa"/>
            <w:vAlign w:val="bottom"/>
            <w:shd w:val="clear" w:color="auto" w:fill="CCEEFF"/>
          </w:tcPr>
          <w:p>
            <w:pPr>
              <w:spacing w:after="0" w:line="168" w:lineRule="exact"/>
              <w:rPr>
                <w:sz w:val="20"/>
                <w:szCs w:val="20"/>
                <w:color w:val="auto"/>
              </w:rPr>
            </w:pPr>
            <w:r>
              <w:rPr>
                <w:rFonts w:ascii="Arial" w:cs="Arial" w:eastAsia="Arial" w:hAnsi="Arial"/>
                <w:sz w:val="17"/>
                <w:szCs w:val="17"/>
                <w:color w:val="auto"/>
              </w:rPr>
              <w:t>10.4</w:t>
            </w:r>
          </w:p>
        </w:tc>
        <w:tc>
          <w:tcPr>
            <w:tcW w:w="360" w:type="dxa"/>
            <w:vAlign w:val="bottom"/>
            <w:shd w:val="clear" w:color="auto" w:fill="CCEEFF"/>
          </w:tcPr>
          <w:p>
            <w:pPr>
              <w:spacing w:after="0" w:line="168" w:lineRule="exact"/>
              <w:rPr>
                <w:rFonts w:ascii="Arial" w:cs="Arial" w:eastAsia="Arial" w:hAnsi="Arial"/>
                <w:sz w:val="17"/>
                <w:szCs w:val="17"/>
                <w:color w:val="0000EE"/>
                <w:w w:val="89"/>
              </w:rPr>
            </w:pPr>
            <w:hyperlink r:id="rId58">
              <w:r>
                <w:rPr>
                  <w:rFonts w:ascii="Arial" w:cs="Arial" w:eastAsia="Arial" w:hAnsi="Arial"/>
                  <w:sz w:val="17"/>
                  <w:szCs w:val="17"/>
                  <w:color w:val="0000EE"/>
                  <w:w w:val="89"/>
                </w:rPr>
                <w:t>2013</w:t>
              </w:r>
            </w:hyperlink>
          </w:p>
        </w:tc>
        <w:tc>
          <w:tcPr>
            <w:tcW w:w="9720" w:type="dxa"/>
            <w:vAlign w:val="bottom"/>
            <w:gridSpan w:val="11"/>
            <w:shd w:val="clear" w:color="auto" w:fill="CCEEFF"/>
          </w:tcPr>
          <w:p>
            <w:pPr>
              <w:ind w:left="20"/>
              <w:spacing w:after="0" w:line="168" w:lineRule="exact"/>
              <w:rPr>
                <w:rFonts w:ascii="Arial" w:cs="Arial" w:eastAsia="Arial" w:hAnsi="Arial"/>
                <w:sz w:val="17"/>
                <w:szCs w:val="17"/>
                <w:color w:val="0000EE"/>
              </w:rPr>
            </w:pPr>
            <w:hyperlink r:id="rId58">
              <w:r>
                <w:rPr>
                  <w:rFonts w:ascii="Arial" w:cs="Arial" w:eastAsia="Arial" w:hAnsi="Arial"/>
                  <w:sz w:val="17"/>
                  <w:szCs w:val="17"/>
                  <w:color w:val="0000EE"/>
                </w:rPr>
                <w:t>Amended and Restated Stock Option and Other Equity Incentive Awards Plan (7)</w:t>
              </w:r>
            </w:hyperlink>
          </w:p>
        </w:tc>
      </w:tr>
      <w:tr>
        <w:trPr>
          <w:trHeight w:val="220"/>
        </w:trPr>
        <w:tc>
          <w:tcPr>
            <w:tcW w:w="1340" w:type="dxa"/>
            <w:vAlign w:val="bottom"/>
            <w:tcBorders>
              <w:top w:val="single" w:sz="8" w:color="CCEEFF"/>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2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780" w:type="dxa"/>
            <w:vAlign w:val="bottom"/>
            <w:tcBorders>
              <w:top w:val="single" w:sz="8" w:color="0000EE"/>
            </w:tcBorders>
          </w:tcPr>
          <w:p>
            <w:pPr>
              <w:spacing w:after="0"/>
              <w:rPr>
                <w:sz w:val="19"/>
                <w:szCs w:val="19"/>
                <w:color w:val="auto"/>
              </w:rPr>
            </w:pPr>
          </w:p>
        </w:tc>
        <w:tc>
          <w:tcPr>
            <w:tcW w:w="1700" w:type="dxa"/>
            <w:vAlign w:val="bottom"/>
            <w:tcBorders>
              <w:top w:val="single" w:sz="8" w:color="0000EE"/>
            </w:tcBorders>
          </w:tcPr>
          <w:p>
            <w:pPr>
              <w:spacing w:after="0"/>
              <w:rPr>
                <w:sz w:val="19"/>
                <w:szCs w:val="19"/>
                <w:color w:val="auto"/>
              </w:rPr>
            </w:pPr>
          </w:p>
        </w:tc>
        <w:tc>
          <w:tcPr>
            <w:tcW w:w="1020" w:type="dxa"/>
            <w:vAlign w:val="bottom"/>
            <w:tcBorders>
              <w:top w:val="single" w:sz="8" w:color="0000EE"/>
            </w:tcBorders>
          </w:tcPr>
          <w:p>
            <w:pPr>
              <w:spacing w:after="0"/>
              <w:rPr>
                <w:sz w:val="19"/>
                <w:szCs w:val="19"/>
                <w:color w:val="auto"/>
              </w:rPr>
            </w:pPr>
          </w:p>
        </w:tc>
        <w:tc>
          <w:tcPr>
            <w:tcW w:w="256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r>
      <w:tr>
        <w:trPr>
          <w:trHeight w:val="187"/>
        </w:trPr>
        <w:tc>
          <w:tcPr>
            <w:tcW w:w="1340" w:type="dxa"/>
            <w:vAlign w:val="bottom"/>
            <w:shd w:val="clear" w:color="auto" w:fill="CCEEFF"/>
          </w:tcPr>
          <w:p>
            <w:pPr>
              <w:spacing w:after="0" w:line="168" w:lineRule="exact"/>
              <w:rPr>
                <w:sz w:val="20"/>
                <w:szCs w:val="20"/>
                <w:color w:val="auto"/>
              </w:rPr>
            </w:pPr>
            <w:r>
              <w:rPr>
                <w:rFonts w:ascii="Arial" w:cs="Arial" w:eastAsia="Arial" w:hAnsi="Arial"/>
                <w:sz w:val="17"/>
                <w:szCs w:val="17"/>
                <w:color w:val="auto"/>
              </w:rPr>
              <w:t>10.5</w:t>
            </w:r>
          </w:p>
        </w:tc>
        <w:tc>
          <w:tcPr>
            <w:tcW w:w="360" w:type="dxa"/>
            <w:vAlign w:val="bottom"/>
            <w:shd w:val="clear" w:color="auto" w:fill="CCEEFF"/>
          </w:tcPr>
          <w:p>
            <w:pPr>
              <w:spacing w:after="0" w:line="168" w:lineRule="exact"/>
              <w:rPr>
                <w:rFonts w:ascii="Arial" w:cs="Arial" w:eastAsia="Arial" w:hAnsi="Arial"/>
                <w:sz w:val="17"/>
                <w:szCs w:val="17"/>
                <w:color w:val="0000EE"/>
                <w:w w:val="89"/>
              </w:rPr>
            </w:pPr>
            <w:hyperlink r:id="rId59">
              <w:r>
                <w:rPr>
                  <w:rFonts w:ascii="Arial" w:cs="Arial" w:eastAsia="Arial" w:hAnsi="Arial"/>
                  <w:sz w:val="17"/>
                  <w:szCs w:val="17"/>
                  <w:color w:val="0000EE"/>
                  <w:w w:val="89"/>
                </w:rPr>
                <w:t>2014</w:t>
              </w:r>
            </w:hyperlink>
          </w:p>
        </w:tc>
        <w:tc>
          <w:tcPr>
            <w:tcW w:w="9720" w:type="dxa"/>
            <w:vAlign w:val="bottom"/>
            <w:gridSpan w:val="11"/>
            <w:shd w:val="clear" w:color="auto" w:fill="CCEEFF"/>
          </w:tcPr>
          <w:p>
            <w:pPr>
              <w:ind w:left="20"/>
              <w:spacing w:after="0" w:line="168" w:lineRule="exact"/>
              <w:rPr>
                <w:rFonts w:ascii="Arial" w:cs="Arial" w:eastAsia="Arial" w:hAnsi="Arial"/>
                <w:sz w:val="17"/>
                <w:szCs w:val="17"/>
                <w:color w:val="0000EE"/>
              </w:rPr>
            </w:pPr>
            <w:hyperlink r:id="rId59">
              <w:r>
                <w:rPr>
                  <w:rFonts w:ascii="Arial" w:cs="Arial" w:eastAsia="Arial" w:hAnsi="Arial"/>
                  <w:sz w:val="17"/>
                  <w:szCs w:val="17"/>
                  <w:color w:val="0000EE"/>
                </w:rPr>
                <w:t>Director Stock Option Plan (4)</w:t>
              </w:r>
            </w:hyperlink>
          </w:p>
        </w:tc>
      </w:tr>
      <w:tr>
        <w:trPr>
          <w:trHeight w:val="207"/>
        </w:trPr>
        <w:tc>
          <w:tcPr>
            <w:tcW w:w="1340" w:type="dxa"/>
            <w:vAlign w:val="bottom"/>
            <w:tcBorders>
              <w:top w:val="single" w:sz="8" w:color="CCEEFF"/>
            </w:tcBorders>
          </w:tcPr>
          <w:p>
            <w:pPr>
              <w:spacing w:after="0"/>
              <w:rPr>
                <w:sz w:val="17"/>
                <w:szCs w:val="17"/>
                <w:color w:val="auto"/>
              </w:rPr>
            </w:pPr>
          </w:p>
        </w:tc>
        <w:tc>
          <w:tcPr>
            <w:tcW w:w="1620" w:type="dxa"/>
            <w:vAlign w:val="bottom"/>
            <w:tcBorders>
              <w:top w:val="single" w:sz="8" w:color="0000EE"/>
            </w:tcBorders>
            <w:gridSpan w:val="2"/>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7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56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r>
      <w:tr>
        <w:trPr>
          <w:trHeight w:val="213"/>
        </w:trPr>
        <w:tc>
          <w:tcPr>
            <w:tcW w:w="1340" w:type="dxa"/>
            <w:vAlign w:val="bottom"/>
            <w:shd w:val="clear" w:color="auto" w:fill="CCEEFF"/>
          </w:tcPr>
          <w:p>
            <w:pPr>
              <w:spacing w:after="0" w:line="168" w:lineRule="exact"/>
              <w:rPr>
                <w:sz w:val="20"/>
                <w:szCs w:val="20"/>
                <w:color w:val="auto"/>
              </w:rPr>
            </w:pPr>
            <w:r>
              <w:rPr>
                <w:rFonts w:ascii="Arial" w:cs="Arial" w:eastAsia="Arial" w:hAnsi="Arial"/>
                <w:sz w:val="17"/>
                <w:szCs w:val="17"/>
                <w:color w:val="auto"/>
              </w:rPr>
              <w:t>10.6</w:t>
            </w:r>
          </w:p>
        </w:tc>
        <w:tc>
          <w:tcPr>
            <w:tcW w:w="10080" w:type="dxa"/>
            <w:vAlign w:val="bottom"/>
            <w:gridSpan w:val="12"/>
            <w:shd w:val="clear" w:color="auto" w:fill="CCEEFF"/>
          </w:tcPr>
          <w:p>
            <w:pPr>
              <w:spacing w:after="0" w:line="168" w:lineRule="exact"/>
              <w:rPr>
                <w:rFonts w:ascii="Arial" w:cs="Arial" w:eastAsia="Arial" w:hAnsi="Arial"/>
                <w:sz w:val="17"/>
                <w:szCs w:val="17"/>
                <w:color w:val="0000EE"/>
              </w:rPr>
            </w:pPr>
            <w:hyperlink r:id="rId60">
              <w:r>
                <w:rPr>
                  <w:rFonts w:ascii="Arial" w:cs="Arial" w:eastAsia="Arial" w:hAnsi="Arial"/>
                  <w:sz w:val="17"/>
                  <w:szCs w:val="17"/>
                  <w:color w:val="0000EE"/>
                </w:rPr>
                <w:t>Employment agreement with Scott M. Quist (5)</w:t>
              </w:r>
            </w:hyperlink>
          </w:p>
        </w:tc>
      </w:tr>
      <w:tr>
        <w:trPr>
          <w:trHeight w:val="207"/>
        </w:trPr>
        <w:tc>
          <w:tcPr>
            <w:tcW w:w="1340" w:type="dxa"/>
            <w:vAlign w:val="bottom"/>
            <w:tcBorders>
              <w:top w:val="single" w:sz="8" w:color="CCEEFF"/>
            </w:tcBorders>
          </w:tcPr>
          <w:p>
            <w:pPr>
              <w:spacing w:after="0"/>
              <w:rPr>
                <w:sz w:val="17"/>
                <w:szCs w:val="17"/>
                <w:color w:val="auto"/>
              </w:rPr>
            </w:pPr>
          </w:p>
        </w:tc>
        <w:tc>
          <w:tcPr>
            <w:tcW w:w="1620" w:type="dxa"/>
            <w:vAlign w:val="bottom"/>
            <w:tcBorders>
              <w:top w:val="single" w:sz="8" w:color="0000EE"/>
            </w:tcBorders>
            <w:gridSpan w:val="2"/>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7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56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r>
      <w:tr>
        <w:trPr>
          <w:trHeight w:val="168"/>
        </w:trPr>
        <w:tc>
          <w:tcPr>
            <w:tcW w:w="1340" w:type="dxa"/>
            <w:vAlign w:val="bottom"/>
            <w:shd w:val="clear" w:color="auto" w:fill="CCEEFF"/>
          </w:tcPr>
          <w:p>
            <w:pPr>
              <w:spacing w:after="0" w:line="168" w:lineRule="exact"/>
              <w:rPr>
                <w:sz w:val="20"/>
                <w:szCs w:val="20"/>
                <w:color w:val="auto"/>
              </w:rPr>
            </w:pPr>
            <w:r>
              <w:rPr>
                <w:rFonts w:ascii="Arial" w:cs="Arial" w:eastAsia="Arial" w:hAnsi="Arial"/>
                <w:sz w:val="17"/>
                <w:szCs w:val="17"/>
                <w:color w:val="auto"/>
              </w:rPr>
              <w:t>10.7</w:t>
            </w:r>
          </w:p>
        </w:tc>
        <w:tc>
          <w:tcPr>
            <w:tcW w:w="10080" w:type="dxa"/>
            <w:vAlign w:val="bottom"/>
            <w:gridSpan w:val="12"/>
            <w:shd w:val="clear" w:color="auto" w:fill="CCEEFF"/>
          </w:tcPr>
          <w:p>
            <w:pPr>
              <w:spacing w:after="0" w:line="168" w:lineRule="exact"/>
              <w:rPr>
                <w:rFonts w:ascii="Arial" w:cs="Arial" w:eastAsia="Arial" w:hAnsi="Arial"/>
                <w:sz w:val="17"/>
                <w:szCs w:val="17"/>
                <w:color w:val="0000EE"/>
                <w:w w:val="99"/>
              </w:rPr>
            </w:pPr>
            <w:hyperlink r:id="rId61">
              <w:r>
                <w:rPr>
                  <w:rFonts w:ascii="Arial" w:cs="Arial" w:eastAsia="Arial" w:hAnsi="Arial"/>
                  <w:sz w:val="17"/>
                  <w:szCs w:val="17"/>
                  <w:color w:val="0000EE"/>
                  <w:w w:val="99"/>
                </w:rPr>
                <w:t>Stock Purchase Agreement among Security National Financial Corporation and Reppond Holding Company to purchase First Guaranty</w:t>
              </w:r>
            </w:hyperlink>
          </w:p>
        </w:tc>
      </w:tr>
      <w:tr>
        <w:trPr>
          <w:trHeight w:val="205"/>
        </w:trPr>
        <w:tc>
          <w:tcPr>
            <w:tcW w:w="1340" w:type="dxa"/>
            <w:vAlign w:val="bottom"/>
            <w:tcBorders>
              <w:top w:val="single" w:sz="8" w:color="CCEEFF"/>
            </w:tcBorders>
            <w:shd w:val="clear" w:color="auto" w:fill="CCEEFF"/>
          </w:tcPr>
          <w:p>
            <w:pPr>
              <w:spacing w:after="0"/>
              <w:rPr>
                <w:sz w:val="17"/>
                <w:szCs w:val="17"/>
                <w:color w:val="auto"/>
              </w:rPr>
            </w:pPr>
          </w:p>
        </w:tc>
        <w:tc>
          <w:tcPr>
            <w:tcW w:w="9760" w:type="dxa"/>
            <w:vAlign w:val="bottom"/>
            <w:tcBorders>
              <w:top w:val="single" w:sz="8" w:color="0000EE"/>
            </w:tcBorders>
            <w:gridSpan w:val="11"/>
            <w:shd w:val="clear" w:color="auto" w:fill="CCEEFF"/>
          </w:tcPr>
          <w:p>
            <w:pPr>
              <w:spacing w:after="0" w:line="187" w:lineRule="exact"/>
              <w:rPr>
                <w:rFonts w:ascii="Arial" w:cs="Arial" w:eastAsia="Arial" w:hAnsi="Arial"/>
                <w:sz w:val="17"/>
                <w:szCs w:val="17"/>
                <w:color w:val="0000EE"/>
              </w:rPr>
            </w:pPr>
            <w:hyperlink r:id="rId61">
              <w:r>
                <w:rPr>
                  <w:rFonts w:ascii="Arial" w:cs="Arial" w:eastAsia="Arial" w:hAnsi="Arial"/>
                  <w:sz w:val="17"/>
                  <w:szCs w:val="17"/>
                  <w:color w:val="0000EE"/>
                </w:rPr>
                <w:t>Insurance Company (7)</w:t>
              </w:r>
            </w:hyperlink>
          </w:p>
        </w:tc>
        <w:tc>
          <w:tcPr>
            <w:tcW w:w="320" w:type="dxa"/>
            <w:vAlign w:val="bottom"/>
            <w:tcBorders>
              <w:top w:val="single" w:sz="8" w:color="CCEEFF"/>
            </w:tcBorders>
            <w:shd w:val="clear" w:color="auto" w:fill="CCEEFF"/>
          </w:tcPr>
          <w:p>
            <w:pPr>
              <w:spacing w:after="0"/>
              <w:rPr>
                <w:sz w:val="17"/>
                <w:szCs w:val="17"/>
                <w:color w:val="auto"/>
              </w:rPr>
            </w:pPr>
          </w:p>
        </w:tc>
      </w:tr>
      <w:tr>
        <w:trPr>
          <w:trHeight w:val="207"/>
        </w:trPr>
        <w:tc>
          <w:tcPr>
            <w:tcW w:w="1340" w:type="dxa"/>
            <w:vAlign w:val="bottom"/>
            <w:tcBorders>
              <w:top w:val="single" w:sz="8" w:color="CCEEFF"/>
            </w:tcBorders>
          </w:tcPr>
          <w:p>
            <w:pPr>
              <w:spacing w:after="0"/>
              <w:rPr>
                <w:sz w:val="17"/>
                <w:szCs w:val="17"/>
                <w:color w:val="auto"/>
              </w:rPr>
            </w:pPr>
          </w:p>
        </w:tc>
        <w:tc>
          <w:tcPr>
            <w:tcW w:w="1620" w:type="dxa"/>
            <w:vAlign w:val="bottom"/>
            <w:tcBorders>
              <w:top w:val="single" w:sz="8" w:color="0000EE"/>
            </w:tcBorders>
            <w:gridSpan w:val="2"/>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7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56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r>
      <w:tr>
        <w:trPr>
          <w:trHeight w:val="187"/>
        </w:trPr>
        <w:tc>
          <w:tcPr>
            <w:tcW w:w="1340" w:type="dxa"/>
            <w:vAlign w:val="bottom"/>
            <w:shd w:val="clear" w:color="auto" w:fill="CCEEFF"/>
          </w:tcPr>
          <w:p>
            <w:pPr>
              <w:spacing w:after="0" w:line="168" w:lineRule="exact"/>
              <w:rPr>
                <w:sz w:val="20"/>
                <w:szCs w:val="20"/>
                <w:color w:val="auto"/>
              </w:rPr>
            </w:pPr>
            <w:r>
              <w:rPr>
                <w:rFonts w:ascii="Arial" w:cs="Arial" w:eastAsia="Arial" w:hAnsi="Arial"/>
                <w:sz w:val="17"/>
                <w:szCs w:val="17"/>
                <w:color w:val="auto"/>
              </w:rPr>
              <w:t>10.8</w:t>
            </w:r>
          </w:p>
        </w:tc>
        <w:tc>
          <w:tcPr>
            <w:tcW w:w="10080" w:type="dxa"/>
            <w:vAlign w:val="bottom"/>
            <w:gridSpan w:val="12"/>
            <w:shd w:val="clear" w:color="auto" w:fill="CCEEFF"/>
          </w:tcPr>
          <w:p>
            <w:pPr>
              <w:spacing w:after="0" w:line="168" w:lineRule="exact"/>
              <w:rPr>
                <w:rFonts w:ascii="Arial" w:cs="Arial" w:eastAsia="Arial" w:hAnsi="Arial"/>
                <w:sz w:val="17"/>
                <w:szCs w:val="17"/>
                <w:color w:val="0000EE"/>
              </w:rPr>
            </w:pPr>
            <w:hyperlink r:id="rId62">
              <w:r>
                <w:rPr>
                  <w:rFonts w:ascii="Arial" w:cs="Arial" w:eastAsia="Arial" w:hAnsi="Arial"/>
                  <w:sz w:val="17"/>
                  <w:szCs w:val="17"/>
                  <w:color w:val="0000EE"/>
                </w:rPr>
                <w:t>Stock Purchase Agreement among Security National Financial Corporation, Beta Capital Corp., and Ronald D. Maxson (11)</w:t>
              </w:r>
            </w:hyperlink>
          </w:p>
        </w:tc>
      </w:tr>
      <w:tr>
        <w:trPr>
          <w:trHeight w:val="557"/>
        </w:trPr>
        <w:tc>
          <w:tcPr>
            <w:tcW w:w="1340" w:type="dxa"/>
            <w:vAlign w:val="bottom"/>
            <w:tcBorders>
              <w:top w:val="single" w:sz="8" w:color="CCEEFF"/>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620" w:type="dxa"/>
            <w:vAlign w:val="bottom"/>
            <w:tcBorders>
              <w:top w:val="single" w:sz="8" w:color="0000EE"/>
            </w:tcBorders>
            <w:gridSpan w:val="7"/>
          </w:tcPr>
          <w:p>
            <w:pPr>
              <w:ind w:left="3940"/>
              <w:spacing w:after="0"/>
              <w:rPr>
                <w:sz w:val="20"/>
                <w:szCs w:val="20"/>
                <w:color w:val="auto"/>
              </w:rPr>
            </w:pPr>
            <w:r>
              <w:rPr>
                <w:rFonts w:ascii="Arial" w:cs="Arial" w:eastAsia="Arial" w:hAnsi="Arial"/>
                <w:sz w:val="14"/>
                <w:szCs w:val="14"/>
                <w:color w:val="auto"/>
              </w:rPr>
              <w:t>56</w:t>
            </w:r>
          </w:p>
        </w:tc>
        <w:tc>
          <w:tcPr>
            <w:tcW w:w="1020" w:type="dxa"/>
            <w:vAlign w:val="bottom"/>
            <w:tcBorders>
              <w:top w:val="single" w:sz="8" w:color="0000EE"/>
            </w:tcBorders>
          </w:tcPr>
          <w:p>
            <w:pPr>
              <w:spacing w:after="0"/>
              <w:rPr>
                <w:sz w:val="24"/>
                <w:szCs w:val="24"/>
                <w:color w:val="auto"/>
              </w:rPr>
            </w:pPr>
          </w:p>
        </w:tc>
        <w:tc>
          <w:tcPr>
            <w:tcW w:w="2560" w:type="dxa"/>
            <w:vAlign w:val="bottom"/>
            <w:tcBorders>
              <w:top w:val="single" w:sz="8" w:color="0000EE"/>
            </w:tcBorders>
          </w:tcPr>
          <w:p>
            <w:pPr>
              <w:spacing w:after="0"/>
              <w:rPr>
                <w:sz w:val="24"/>
                <w:szCs w:val="24"/>
                <w:color w:val="auto"/>
              </w:rPr>
            </w:pPr>
          </w:p>
        </w:tc>
        <w:tc>
          <w:tcPr>
            <w:tcW w:w="12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r>
      <w:tr>
        <w:trPr>
          <w:trHeight w:val="43"/>
        </w:trPr>
        <w:tc>
          <w:tcPr>
            <w:tcW w:w="13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31" w:right="2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21</w:t>
            </w:r>
          </w:p>
        </w:tc>
        <w:tc>
          <w:tcPr>
            <w:tcW w:w="100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Subsidiaries of the Registrant</w:t>
            </w:r>
          </w:p>
        </w:tc>
      </w:tr>
      <w:tr>
        <w:trPr>
          <w:trHeight w:val="207"/>
        </w:trPr>
        <w:tc>
          <w:tcPr>
            <w:tcW w:w="1340" w:type="dxa"/>
            <w:vAlign w:val="bottom"/>
          </w:tcPr>
          <w:p>
            <w:pPr>
              <w:spacing w:after="0"/>
              <w:rPr>
                <w:sz w:val="17"/>
                <w:szCs w:val="17"/>
                <w:color w:val="auto"/>
              </w:rPr>
            </w:pPr>
          </w:p>
        </w:tc>
        <w:tc>
          <w:tcPr>
            <w:tcW w:w="216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7280" w:type="dxa"/>
            <w:vAlign w:val="bottom"/>
          </w:tcPr>
          <w:p>
            <w:pPr>
              <w:spacing w:after="0"/>
              <w:rPr>
                <w:sz w:val="17"/>
                <w:szCs w:val="17"/>
                <w:color w:val="auto"/>
              </w:rPr>
            </w:pPr>
          </w:p>
        </w:tc>
      </w:tr>
      <w:tr>
        <w:trPr>
          <w:trHeight w:val="187"/>
        </w:trPr>
        <w:tc>
          <w:tcPr>
            <w:tcW w:w="1340" w:type="dxa"/>
            <w:vAlign w:val="bottom"/>
            <w:shd w:val="clear" w:color="auto" w:fill="CCEEFF"/>
          </w:tcPr>
          <w:p>
            <w:pPr>
              <w:spacing w:after="0" w:line="168" w:lineRule="exact"/>
              <w:rPr>
                <w:sz w:val="20"/>
                <w:szCs w:val="20"/>
                <w:color w:val="auto"/>
              </w:rPr>
            </w:pPr>
            <w:r>
              <w:rPr>
                <w:rFonts w:ascii="Arial" w:cs="Arial" w:eastAsia="Arial" w:hAnsi="Arial"/>
                <w:sz w:val="17"/>
                <w:szCs w:val="17"/>
                <w:color w:val="auto"/>
              </w:rPr>
              <w:t>23.1</w:t>
            </w:r>
          </w:p>
        </w:tc>
        <w:tc>
          <w:tcPr>
            <w:tcW w:w="10080" w:type="dxa"/>
            <w:vAlign w:val="bottom"/>
            <w:gridSpan w:val="4"/>
            <w:shd w:val="clear" w:color="auto" w:fill="CCEEFF"/>
          </w:tcPr>
          <w:p>
            <w:pPr>
              <w:spacing w:after="0" w:line="168" w:lineRule="exact"/>
              <w:rPr>
                <w:rFonts w:ascii="Arial" w:cs="Arial" w:eastAsia="Arial" w:hAnsi="Arial"/>
                <w:sz w:val="17"/>
                <w:szCs w:val="17"/>
                <w:color w:val="0000EE"/>
              </w:rPr>
            </w:pPr>
            <w:hyperlink r:id="rId63">
              <w:r>
                <w:rPr>
                  <w:rFonts w:ascii="Arial" w:cs="Arial" w:eastAsia="Arial" w:hAnsi="Arial"/>
                  <w:sz w:val="17"/>
                  <w:szCs w:val="17"/>
                  <w:color w:val="0000EE"/>
                </w:rPr>
                <w:t>Consent of Eide Bailly LLP (6)</w:t>
              </w:r>
            </w:hyperlink>
          </w:p>
        </w:tc>
      </w:tr>
      <w:tr>
        <w:trPr>
          <w:trHeight w:val="207"/>
        </w:trPr>
        <w:tc>
          <w:tcPr>
            <w:tcW w:w="1340" w:type="dxa"/>
            <w:vAlign w:val="bottom"/>
            <w:tcBorders>
              <w:top w:val="single" w:sz="8" w:color="CCEEFF"/>
            </w:tcBorders>
          </w:tcPr>
          <w:p>
            <w:pPr>
              <w:spacing w:after="0"/>
              <w:rPr>
                <w:sz w:val="17"/>
                <w:szCs w:val="17"/>
                <w:color w:val="auto"/>
              </w:rPr>
            </w:pPr>
          </w:p>
        </w:tc>
        <w:tc>
          <w:tcPr>
            <w:tcW w:w="2160" w:type="dxa"/>
            <w:vAlign w:val="bottom"/>
            <w:tcBorders>
              <w:top w:val="single" w:sz="8" w:color="0000EE"/>
            </w:tcBorders>
            <w:gridSpan w:val="2"/>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7280" w:type="dxa"/>
            <w:vAlign w:val="bottom"/>
            <w:tcBorders>
              <w:top w:val="single" w:sz="8" w:color="CCEEFF"/>
            </w:tcBorders>
          </w:tcPr>
          <w:p>
            <w:pPr>
              <w:spacing w:after="0"/>
              <w:rPr>
                <w:sz w:val="17"/>
                <w:szCs w:val="17"/>
                <w:color w:val="auto"/>
              </w:rPr>
            </w:pPr>
          </w:p>
        </w:tc>
      </w:tr>
      <w:tr>
        <w:trPr>
          <w:trHeight w:val="187"/>
        </w:trPr>
        <w:tc>
          <w:tcPr>
            <w:tcW w:w="1340" w:type="dxa"/>
            <w:vAlign w:val="bottom"/>
            <w:shd w:val="clear" w:color="auto" w:fill="CCEEFF"/>
          </w:tcPr>
          <w:p>
            <w:pPr>
              <w:spacing w:after="0" w:line="168" w:lineRule="exact"/>
              <w:rPr>
                <w:sz w:val="20"/>
                <w:szCs w:val="20"/>
                <w:color w:val="auto"/>
              </w:rPr>
            </w:pPr>
            <w:r>
              <w:rPr>
                <w:rFonts w:ascii="Arial" w:cs="Arial" w:eastAsia="Arial" w:hAnsi="Arial"/>
                <w:sz w:val="17"/>
                <w:szCs w:val="17"/>
                <w:color w:val="auto"/>
              </w:rPr>
              <w:t>23.2</w:t>
            </w:r>
          </w:p>
        </w:tc>
        <w:tc>
          <w:tcPr>
            <w:tcW w:w="10080" w:type="dxa"/>
            <w:vAlign w:val="bottom"/>
            <w:gridSpan w:val="4"/>
            <w:shd w:val="clear" w:color="auto" w:fill="CCEEFF"/>
          </w:tcPr>
          <w:p>
            <w:pPr>
              <w:spacing w:after="0" w:line="168" w:lineRule="exact"/>
              <w:rPr>
                <w:rFonts w:ascii="Arial" w:cs="Arial" w:eastAsia="Arial" w:hAnsi="Arial"/>
                <w:sz w:val="17"/>
                <w:szCs w:val="17"/>
                <w:color w:val="0000EE"/>
              </w:rPr>
            </w:pPr>
            <w:hyperlink r:id="rId64">
              <w:r>
                <w:rPr>
                  <w:rFonts w:ascii="Arial" w:cs="Arial" w:eastAsia="Arial" w:hAnsi="Arial"/>
                  <w:sz w:val="17"/>
                  <w:szCs w:val="17"/>
                  <w:color w:val="0000EE"/>
                </w:rPr>
                <w:t>Consent of Mackey Price &amp; Mecham (6)</w:t>
              </w:r>
            </w:hyperlink>
          </w:p>
        </w:tc>
      </w:tr>
      <w:tr>
        <w:trPr>
          <w:trHeight w:val="207"/>
        </w:trPr>
        <w:tc>
          <w:tcPr>
            <w:tcW w:w="1340" w:type="dxa"/>
            <w:vAlign w:val="bottom"/>
            <w:tcBorders>
              <w:top w:val="single" w:sz="8" w:color="CCEEFF"/>
            </w:tcBorders>
          </w:tcPr>
          <w:p>
            <w:pPr>
              <w:spacing w:after="0"/>
              <w:rPr>
                <w:sz w:val="17"/>
                <w:szCs w:val="17"/>
                <w:color w:val="auto"/>
              </w:rPr>
            </w:pPr>
          </w:p>
        </w:tc>
        <w:tc>
          <w:tcPr>
            <w:tcW w:w="2160" w:type="dxa"/>
            <w:vAlign w:val="bottom"/>
            <w:tcBorders>
              <w:top w:val="single" w:sz="8" w:color="0000EE"/>
            </w:tcBorders>
            <w:gridSpan w:val="2"/>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7280" w:type="dxa"/>
            <w:vAlign w:val="bottom"/>
            <w:tcBorders>
              <w:top w:val="single" w:sz="8" w:color="CCEEFF"/>
            </w:tcBorders>
          </w:tcPr>
          <w:p>
            <w:pPr>
              <w:spacing w:after="0"/>
              <w:rPr>
                <w:sz w:val="17"/>
                <w:szCs w:val="17"/>
                <w:color w:val="auto"/>
              </w:rPr>
            </w:pPr>
          </w:p>
        </w:tc>
      </w:tr>
      <w:tr>
        <w:trPr>
          <w:trHeight w:val="207"/>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31.1</w:t>
            </w:r>
          </w:p>
        </w:tc>
        <w:tc>
          <w:tcPr>
            <w:tcW w:w="100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Certification pursuant to 18 U.S.C. Section 1350, as enacted by Section 302 of the Sarbanes-Oxley Act of 2002</w:t>
            </w:r>
          </w:p>
        </w:tc>
      </w:tr>
      <w:tr>
        <w:trPr>
          <w:trHeight w:val="207"/>
        </w:trPr>
        <w:tc>
          <w:tcPr>
            <w:tcW w:w="1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80" w:type="dxa"/>
            <w:vAlign w:val="bottom"/>
          </w:tcPr>
          <w:p>
            <w:pPr>
              <w:spacing w:after="0"/>
              <w:rPr>
                <w:sz w:val="17"/>
                <w:szCs w:val="17"/>
                <w:color w:val="auto"/>
              </w:rPr>
            </w:pPr>
          </w:p>
        </w:tc>
      </w:tr>
      <w:tr>
        <w:trPr>
          <w:trHeight w:val="207"/>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31.2</w:t>
            </w: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w w:val="93"/>
              </w:rPr>
              <w:t>Certification pursuant to 18</w:t>
            </w:r>
          </w:p>
        </w:tc>
        <w:tc>
          <w:tcPr>
            <w:tcW w:w="81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U.S.C. Section 1350, as enacted by Section 302 of the Sarbanes-Oxley Act of 2002</w:t>
            </w:r>
          </w:p>
        </w:tc>
      </w:tr>
      <w:tr>
        <w:trPr>
          <w:trHeight w:val="207"/>
        </w:trPr>
        <w:tc>
          <w:tcPr>
            <w:tcW w:w="1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80" w:type="dxa"/>
            <w:vAlign w:val="bottom"/>
          </w:tcPr>
          <w:p>
            <w:pPr>
              <w:spacing w:after="0"/>
              <w:rPr>
                <w:sz w:val="17"/>
                <w:szCs w:val="17"/>
                <w:color w:val="auto"/>
              </w:rPr>
            </w:pPr>
          </w:p>
        </w:tc>
      </w:tr>
      <w:tr>
        <w:trPr>
          <w:trHeight w:val="207"/>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32.1</w:t>
            </w: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w w:val="93"/>
              </w:rPr>
              <w:t>Certification pursuant to 18</w:t>
            </w:r>
          </w:p>
        </w:tc>
        <w:tc>
          <w:tcPr>
            <w:tcW w:w="81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U.S.C. Section 1350, as adopted pursuant to Section 906 of the Sarbanes-Oxley Act of 2002</w:t>
            </w:r>
          </w:p>
        </w:tc>
      </w:tr>
      <w:tr>
        <w:trPr>
          <w:trHeight w:val="207"/>
        </w:trPr>
        <w:tc>
          <w:tcPr>
            <w:tcW w:w="1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80" w:type="dxa"/>
            <w:vAlign w:val="bottom"/>
          </w:tcPr>
          <w:p>
            <w:pPr>
              <w:spacing w:after="0"/>
              <w:rPr>
                <w:sz w:val="17"/>
                <w:szCs w:val="17"/>
                <w:color w:val="auto"/>
              </w:rPr>
            </w:pPr>
          </w:p>
        </w:tc>
      </w:tr>
      <w:tr>
        <w:trPr>
          <w:trHeight w:val="207"/>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32.2</w:t>
            </w: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w w:val="93"/>
              </w:rPr>
              <w:t>Certification pursuant to 18</w:t>
            </w:r>
          </w:p>
        </w:tc>
        <w:tc>
          <w:tcPr>
            <w:tcW w:w="81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U.S.C. Section 1350, as adopted pursuant to Section 906 of the Sarbanes-Oxley Act of 2002</w:t>
            </w:r>
          </w:p>
        </w:tc>
      </w:tr>
      <w:tr>
        <w:trPr>
          <w:trHeight w:val="207"/>
        </w:trPr>
        <w:tc>
          <w:tcPr>
            <w:tcW w:w="1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80" w:type="dxa"/>
            <w:vAlign w:val="bottom"/>
          </w:tcPr>
          <w:p>
            <w:pPr>
              <w:spacing w:after="0"/>
              <w:rPr>
                <w:sz w:val="17"/>
                <w:szCs w:val="17"/>
                <w:color w:val="auto"/>
              </w:rPr>
            </w:pPr>
          </w:p>
        </w:tc>
      </w:tr>
      <w:tr>
        <w:trPr>
          <w:trHeight w:val="207"/>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101.xml</w:t>
            </w: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Instance Document</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80" w:type="dxa"/>
            <w:vAlign w:val="bottom"/>
            <w:shd w:val="clear" w:color="auto" w:fill="CCEEFF"/>
          </w:tcPr>
          <w:p>
            <w:pPr>
              <w:spacing w:after="0"/>
              <w:rPr>
                <w:sz w:val="17"/>
                <w:szCs w:val="17"/>
                <w:color w:val="auto"/>
              </w:rPr>
            </w:pPr>
          </w:p>
        </w:tc>
      </w:tr>
      <w:tr>
        <w:trPr>
          <w:trHeight w:val="207"/>
        </w:trPr>
        <w:tc>
          <w:tcPr>
            <w:tcW w:w="1340" w:type="dxa"/>
            <w:vAlign w:val="bottom"/>
          </w:tcPr>
          <w:p>
            <w:pPr>
              <w:spacing w:after="0"/>
              <w:rPr>
                <w:sz w:val="17"/>
                <w:szCs w:val="17"/>
                <w:color w:val="auto"/>
              </w:rPr>
            </w:pPr>
          </w:p>
        </w:tc>
        <w:tc>
          <w:tcPr>
            <w:tcW w:w="216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7280" w:type="dxa"/>
            <w:vAlign w:val="bottom"/>
          </w:tcPr>
          <w:p>
            <w:pPr>
              <w:spacing w:after="0"/>
              <w:rPr>
                <w:sz w:val="17"/>
                <w:szCs w:val="17"/>
                <w:color w:val="auto"/>
              </w:rPr>
            </w:pPr>
          </w:p>
        </w:tc>
      </w:tr>
      <w:tr>
        <w:trPr>
          <w:trHeight w:val="207"/>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101.xsd</w:t>
            </w:r>
          </w:p>
        </w:tc>
        <w:tc>
          <w:tcPr>
            <w:tcW w:w="100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Taxonomy Extension Schema Document</w:t>
            </w:r>
          </w:p>
        </w:tc>
      </w:tr>
      <w:tr>
        <w:trPr>
          <w:trHeight w:val="207"/>
        </w:trPr>
        <w:tc>
          <w:tcPr>
            <w:tcW w:w="1340" w:type="dxa"/>
            <w:vAlign w:val="bottom"/>
          </w:tcPr>
          <w:p>
            <w:pPr>
              <w:spacing w:after="0"/>
              <w:rPr>
                <w:sz w:val="17"/>
                <w:szCs w:val="17"/>
                <w:color w:val="auto"/>
              </w:rPr>
            </w:pPr>
          </w:p>
        </w:tc>
        <w:tc>
          <w:tcPr>
            <w:tcW w:w="216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7280" w:type="dxa"/>
            <w:vAlign w:val="bottom"/>
          </w:tcPr>
          <w:p>
            <w:pPr>
              <w:spacing w:after="0"/>
              <w:rPr>
                <w:sz w:val="17"/>
                <w:szCs w:val="17"/>
                <w:color w:val="auto"/>
              </w:rPr>
            </w:pPr>
          </w:p>
        </w:tc>
      </w:tr>
      <w:tr>
        <w:trPr>
          <w:trHeight w:val="207"/>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101.cal</w:t>
            </w:r>
          </w:p>
        </w:tc>
        <w:tc>
          <w:tcPr>
            <w:tcW w:w="100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Taxonomy Extension Calculation Linkbase Document</w:t>
            </w:r>
          </w:p>
        </w:tc>
      </w:tr>
      <w:tr>
        <w:trPr>
          <w:trHeight w:val="207"/>
        </w:trPr>
        <w:tc>
          <w:tcPr>
            <w:tcW w:w="1340" w:type="dxa"/>
            <w:vAlign w:val="bottom"/>
          </w:tcPr>
          <w:p>
            <w:pPr>
              <w:spacing w:after="0"/>
              <w:rPr>
                <w:sz w:val="17"/>
                <w:szCs w:val="17"/>
                <w:color w:val="auto"/>
              </w:rPr>
            </w:pPr>
          </w:p>
        </w:tc>
        <w:tc>
          <w:tcPr>
            <w:tcW w:w="216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7280" w:type="dxa"/>
            <w:vAlign w:val="bottom"/>
          </w:tcPr>
          <w:p>
            <w:pPr>
              <w:spacing w:after="0"/>
              <w:rPr>
                <w:sz w:val="17"/>
                <w:szCs w:val="17"/>
                <w:color w:val="auto"/>
              </w:rPr>
            </w:pPr>
          </w:p>
        </w:tc>
      </w:tr>
      <w:tr>
        <w:trPr>
          <w:trHeight w:val="207"/>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101.def</w:t>
            </w:r>
          </w:p>
        </w:tc>
        <w:tc>
          <w:tcPr>
            <w:tcW w:w="100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Taxonomy Extension Definition Linkbase Document</w:t>
            </w:r>
          </w:p>
        </w:tc>
      </w:tr>
      <w:tr>
        <w:trPr>
          <w:trHeight w:val="207"/>
        </w:trPr>
        <w:tc>
          <w:tcPr>
            <w:tcW w:w="1340" w:type="dxa"/>
            <w:vAlign w:val="bottom"/>
          </w:tcPr>
          <w:p>
            <w:pPr>
              <w:spacing w:after="0"/>
              <w:rPr>
                <w:sz w:val="17"/>
                <w:szCs w:val="17"/>
                <w:color w:val="auto"/>
              </w:rPr>
            </w:pPr>
          </w:p>
        </w:tc>
        <w:tc>
          <w:tcPr>
            <w:tcW w:w="216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7280" w:type="dxa"/>
            <w:vAlign w:val="bottom"/>
          </w:tcPr>
          <w:p>
            <w:pPr>
              <w:spacing w:after="0"/>
              <w:rPr>
                <w:sz w:val="17"/>
                <w:szCs w:val="17"/>
                <w:color w:val="auto"/>
              </w:rPr>
            </w:pPr>
          </w:p>
        </w:tc>
      </w:tr>
      <w:tr>
        <w:trPr>
          <w:trHeight w:val="207"/>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101.lab</w:t>
            </w:r>
          </w:p>
        </w:tc>
        <w:tc>
          <w:tcPr>
            <w:tcW w:w="100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Taxonomy Extension Label Linkbase Document</w:t>
            </w:r>
          </w:p>
        </w:tc>
      </w:tr>
      <w:tr>
        <w:trPr>
          <w:trHeight w:val="207"/>
        </w:trPr>
        <w:tc>
          <w:tcPr>
            <w:tcW w:w="1340" w:type="dxa"/>
            <w:vAlign w:val="bottom"/>
          </w:tcPr>
          <w:p>
            <w:pPr>
              <w:spacing w:after="0"/>
              <w:rPr>
                <w:sz w:val="17"/>
                <w:szCs w:val="17"/>
                <w:color w:val="auto"/>
              </w:rPr>
            </w:pPr>
          </w:p>
        </w:tc>
        <w:tc>
          <w:tcPr>
            <w:tcW w:w="216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7280" w:type="dxa"/>
            <w:vAlign w:val="bottom"/>
          </w:tcPr>
          <w:p>
            <w:pPr>
              <w:spacing w:after="0"/>
              <w:rPr>
                <w:sz w:val="17"/>
                <w:szCs w:val="17"/>
                <w:color w:val="auto"/>
              </w:rPr>
            </w:pPr>
          </w:p>
        </w:tc>
      </w:tr>
      <w:tr>
        <w:trPr>
          <w:trHeight w:val="207"/>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101.pre</w:t>
            </w:r>
          </w:p>
        </w:tc>
        <w:tc>
          <w:tcPr>
            <w:tcW w:w="100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Taxonomy Extension Presentation Linkbase Document</w:t>
            </w:r>
          </w:p>
        </w:tc>
      </w:tr>
    </w:tbl>
    <w:p>
      <w:pPr>
        <w:spacing w:after="0" w:line="200" w:lineRule="exact"/>
        <w:rPr>
          <w:sz w:val="20"/>
          <w:szCs w:val="20"/>
          <w:color w:val="auto"/>
        </w:rPr>
      </w:pPr>
    </w:p>
    <w:p>
      <w:pPr>
        <w:spacing w:after="0" w:line="201" w:lineRule="exact"/>
        <w:rPr>
          <w:sz w:val="20"/>
          <w:szCs w:val="20"/>
          <w:color w:val="auto"/>
        </w:rPr>
      </w:pPr>
    </w:p>
    <w:p>
      <w:pPr>
        <w:ind w:left="1340" w:hanging="1337"/>
        <w:spacing w:after="0" w:line="196" w:lineRule="exact"/>
        <w:tabs>
          <w:tab w:leader="none" w:pos="1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Incorporated by reference from Registration Statement on Form S</w:t>
      </w:r>
      <w:r>
        <w:rPr>
          <w:rFonts w:ascii="MS PGothic" w:cs="MS PGothic" w:eastAsia="MS PGothic" w:hAnsi="MS PGothic"/>
          <w:sz w:val="17"/>
          <w:szCs w:val="17"/>
          <w:color w:val="auto"/>
        </w:rPr>
        <w:t>‑</w:t>
      </w:r>
      <w:r>
        <w:rPr>
          <w:rFonts w:ascii="Arial" w:cs="Arial" w:eastAsia="Arial" w:hAnsi="Arial"/>
          <w:sz w:val="17"/>
          <w:szCs w:val="17"/>
          <w:color w:val="auto"/>
        </w:rPr>
        <w:t>1, as filed on September 29, 1987</w:t>
      </w:r>
    </w:p>
    <w:p>
      <w:pPr>
        <w:spacing w:after="0" w:line="23" w:lineRule="exact"/>
        <w:rPr>
          <w:rFonts w:ascii="Arial" w:cs="Arial" w:eastAsia="Arial" w:hAnsi="Arial"/>
          <w:sz w:val="17"/>
          <w:szCs w:val="17"/>
          <w:color w:val="auto"/>
        </w:rPr>
      </w:pPr>
    </w:p>
    <w:p>
      <w:pPr>
        <w:ind w:left="1340" w:right="320" w:hanging="1337"/>
        <w:spacing w:after="0" w:line="253" w:lineRule="auto"/>
        <w:tabs>
          <w:tab w:leader="none" w:pos="1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Incorporated by reference from Schedule 14A Definitive Proxy Statement, as filed on June 5, 2003, relating to the Company's Annual Meeting of Stockholders</w:t>
      </w:r>
    </w:p>
    <w:p>
      <w:pPr>
        <w:spacing w:after="0" w:line="1" w:lineRule="exact"/>
        <w:rPr>
          <w:rFonts w:ascii="Arial" w:cs="Arial" w:eastAsia="Arial" w:hAnsi="Arial"/>
          <w:sz w:val="17"/>
          <w:szCs w:val="17"/>
          <w:color w:val="auto"/>
        </w:rPr>
      </w:pPr>
    </w:p>
    <w:p>
      <w:pPr>
        <w:ind w:left="1340" w:right="320" w:hanging="1337"/>
        <w:spacing w:after="0" w:line="253" w:lineRule="auto"/>
        <w:tabs>
          <w:tab w:leader="none" w:pos="1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Incorporated by reference from Schedule 14A Definitive Proxy Statement, as filed on June 1, 2007, relating to the Company's Annual Meeting of Stockholders</w:t>
      </w:r>
    </w:p>
    <w:p>
      <w:pPr>
        <w:spacing w:after="0" w:line="1" w:lineRule="exact"/>
        <w:rPr>
          <w:rFonts w:ascii="Arial" w:cs="Arial" w:eastAsia="Arial" w:hAnsi="Arial"/>
          <w:sz w:val="17"/>
          <w:szCs w:val="17"/>
          <w:color w:val="auto"/>
        </w:rPr>
      </w:pPr>
    </w:p>
    <w:p>
      <w:pPr>
        <w:ind w:left="1340" w:right="320" w:hanging="1337"/>
        <w:spacing w:after="0" w:line="253" w:lineRule="auto"/>
        <w:tabs>
          <w:tab w:leader="none" w:pos="1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Incorporated by reference from Schedule 14A Definitive Proxy Statement, as filed on June 2, 2014, related to Company's Annual Meeting of Stockholders</w:t>
      </w:r>
    </w:p>
    <w:p>
      <w:pPr>
        <w:spacing w:after="0" w:line="1" w:lineRule="exact"/>
        <w:rPr>
          <w:rFonts w:ascii="Arial" w:cs="Arial" w:eastAsia="Arial" w:hAnsi="Arial"/>
          <w:sz w:val="17"/>
          <w:szCs w:val="17"/>
          <w:color w:val="auto"/>
        </w:rPr>
      </w:pPr>
    </w:p>
    <w:p>
      <w:pPr>
        <w:ind w:left="1340" w:hanging="1337"/>
        <w:spacing w:after="0"/>
        <w:tabs>
          <w:tab w:leader="none" w:pos="1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Incorporated by reference from Report on Form 10-Q, as filed on August 14, 2015</w:t>
      </w:r>
    </w:p>
    <w:p>
      <w:pPr>
        <w:spacing w:after="0" w:line="11" w:lineRule="exact"/>
        <w:rPr>
          <w:rFonts w:ascii="Arial" w:cs="Arial" w:eastAsia="Arial" w:hAnsi="Arial"/>
          <w:sz w:val="17"/>
          <w:szCs w:val="17"/>
          <w:color w:val="auto"/>
        </w:rPr>
      </w:pPr>
    </w:p>
    <w:p>
      <w:pPr>
        <w:ind w:left="1340" w:hanging="1337"/>
        <w:spacing w:after="0"/>
        <w:tabs>
          <w:tab w:leader="none" w:pos="1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Incorporated by reference from Registration Statement on Form S-8, as filed on October 20, 2015</w:t>
      </w:r>
    </w:p>
    <w:p>
      <w:pPr>
        <w:spacing w:after="0" w:line="11" w:lineRule="exact"/>
        <w:rPr>
          <w:rFonts w:ascii="Arial" w:cs="Arial" w:eastAsia="Arial" w:hAnsi="Arial"/>
          <w:sz w:val="17"/>
          <w:szCs w:val="17"/>
          <w:color w:val="auto"/>
        </w:rPr>
      </w:pPr>
    </w:p>
    <w:p>
      <w:pPr>
        <w:ind w:left="1340" w:hanging="1337"/>
        <w:spacing w:after="0"/>
        <w:tabs>
          <w:tab w:leader="none" w:pos="1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Incorporated by reference from Report on Form 10-Q, as filed on August 15, 2016</w:t>
      </w:r>
    </w:p>
    <w:p>
      <w:pPr>
        <w:spacing w:after="0" w:line="11" w:lineRule="exact"/>
        <w:rPr>
          <w:rFonts w:ascii="Arial" w:cs="Arial" w:eastAsia="Arial" w:hAnsi="Arial"/>
          <w:sz w:val="17"/>
          <w:szCs w:val="17"/>
          <w:color w:val="auto"/>
        </w:rPr>
      </w:pPr>
    </w:p>
    <w:p>
      <w:pPr>
        <w:ind w:left="1340" w:hanging="1337"/>
        <w:spacing w:after="0"/>
        <w:tabs>
          <w:tab w:leader="none" w:pos="1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Incorporated by reference from Report on Form 10-K, as filed on March 31, 2017</w:t>
      </w:r>
    </w:p>
    <w:p>
      <w:pPr>
        <w:spacing w:after="0" w:line="11" w:lineRule="exact"/>
        <w:rPr>
          <w:rFonts w:ascii="Arial" w:cs="Arial" w:eastAsia="Arial" w:hAnsi="Arial"/>
          <w:sz w:val="17"/>
          <w:szCs w:val="17"/>
          <w:color w:val="auto"/>
        </w:rPr>
      </w:pPr>
    </w:p>
    <w:p>
      <w:pPr>
        <w:ind w:left="1340" w:hanging="1337"/>
        <w:spacing w:after="0"/>
        <w:tabs>
          <w:tab w:leader="none" w:pos="1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Incorporated by reference from Report on Form 8-K, as filed on August 4, 2017</w:t>
      </w:r>
    </w:p>
    <w:p>
      <w:pPr>
        <w:spacing w:after="0" w:line="11" w:lineRule="exact"/>
        <w:rPr>
          <w:rFonts w:ascii="Arial" w:cs="Arial" w:eastAsia="Arial" w:hAnsi="Arial"/>
          <w:sz w:val="17"/>
          <w:szCs w:val="17"/>
          <w:color w:val="auto"/>
        </w:rPr>
      </w:pPr>
    </w:p>
    <w:p>
      <w:pPr>
        <w:ind w:left="1340" w:hanging="1337"/>
        <w:spacing w:after="0"/>
        <w:tabs>
          <w:tab w:leader="none" w:pos="1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Incorporated by reference from Report on Form 10-Q, as filed on August 25, 2017</w:t>
      </w:r>
    </w:p>
    <w:p>
      <w:pPr>
        <w:spacing w:after="0" w:line="11" w:lineRule="exact"/>
        <w:rPr>
          <w:rFonts w:ascii="Arial" w:cs="Arial" w:eastAsia="Arial" w:hAnsi="Arial"/>
          <w:sz w:val="17"/>
          <w:szCs w:val="17"/>
          <w:color w:val="auto"/>
        </w:rPr>
      </w:pPr>
    </w:p>
    <w:p>
      <w:pPr>
        <w:ind w:left="1340" w:hanging="1337"/>
        <w:spacing w:after="0"/>
        <w:tabs>
          <w:tab w:leader="none" w:pos="1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Incorporated by reference from Form 8-K, as filed on June 6, 2018</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233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7"/>
          <w:szCs w:val="17"/>
          <w:b w:val="1"/>
          <w:bCs w:val="1"/>
          <w:color w:val="auto"/>
        </w:rPr>
        <w:t>SIGNATURES</w:t>
      </w:r>
    </w:p>
    <w:p>
      <w:pPr>
        <w:spacing w:after="0" w:line="276"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20" w:type="dxa"/>
            <w:vAlign w:val="bottom"/>
            <w:gridSpan w:val="4"/>
          </w:tcPr>
          <w:p>
            <w:pPr>
              <w:jc w:val="center"/>
              <w:ind w:right="4000"/>
              <w:spacing w:after="0"/>
              <w:rPr>
                <w:sz w:val="20"/>
                <w:szCs w:val="20"/>
                <w:color w:val="auto"/>
              </w:rPr>
            </w:pPr>
            <w:r>
              <w:rPr>
                <w:rFonts w:ascii="Arial" w:cs="Arial" w:eastAsia="Arial" w:hAnsi="Arial"/>
                <w:sz w:val="21"/>
                <w:szCs w:val="21"/>
                <w:b w:val="1"/>
                <w:bCs w:val="1"/>
                <w:i w:val="1"/>
                <w:iCs w:val="1"/>
                <w:color w:val="auto"/>
                <w:w w:val="95"/>
              </w:rPr>
              <w:t>REGISTRANT</w:t>
            </w:r>
          </w:p>
        </w:tc>
      </w:tr>
      <w:tr>
        <w:trPr>
          <w:trHeight w:val="429"/>
        </w:trPr>
        <w:tc>
          <w:tcPr>
            <w:tcW w:w="3720" w:type="dxa"/>
            <w:vAlign w:val="bottom"/>
          </w:tcPr>
          <w:p>
            <w:pPr>
              <w:spacing w:after="0"/>
              <w:rPr>
                <w:sz w:val="24"/>
                <w:szCs w:val="24"/>
                <w:color w:val="auto"/>
              </w:rPr>
            </w:pPr>
          </w:p>
        </w:tc>
        <w:tc>
          <w:tcPr>
            <w:tcW w:w="7700" w:type="dxa"/>
            <w:vAlign w:val="bottom"/>
            <w:gridSpan w:val="5"/>
          </w:tcPr>
          <w:p>
            <w:pPr>
              <w:jc w:val="center"/>
              <w:ind w:right="3720"/>
              <w:spacing w:after="0"/>
              <w:rPr>
                <w:sz w:val="20"/>
                <w:szCs w:val="20"/>
                <w:color w:val="auto"/>
              </w:rPr>
            </w:pPr>
            <w:r>
              <w:rPr>
                <w:rFonts w:ascii="Arial" w:cs="Arial" w:eastAsia="Arial" w:hAnsi="Arial"/>
                <w:sz w:val="17"/>
                <w:szCs w:val="17"/>
                <w:color w:val="auto"/>
                <w:w w:val="99"/>
              </w:rPr>
              <w:t>SECURITY NATIONAL FINANCIAL CORPORATION</w:t>
            </w:r>
          </w:p>
        </w:tc>
      </w:tr>
      <w:tr>
        <w:trPr>
          <w:trHeight w:val="226"/>
        </w:trPr>
        <w:tc>
          <w:tcPr>
            <w:tcW w:w="37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80" w:type="dxa"/>
            <w:vAlign w:val="bottom"/>
            <w:tcBorders>
              <w:top w:val="single" w:sz="8" w:color="auto"/>
            </w:tcBorders>
          </w:tcPr>
          <w:p>
            <w:pPr>
              <w:jc w:val="center"/>
              <w:ind w:right="1414"/>
              <w:spacing w:after="0"/>
              <w:rPr>
                <w:sz w:val="20"/>
                <w:szCs w:val="20"/>
                <w:color w:val="auto"/>
              </w:rPr>
            </w:pPr>
            <w:r>
              <w:rPr>
                <w:rFonts w:ascii="Arial" w:cs="Arial" w:eastAsia="Arial" w:hAnsi="Arial"/>
                <w:sz w:val="17"/>
                <w:szCs w:val="17"/>
                <w:color w:val="auto"/>
                <w:w w:val="90"/>
              </w:rPr>
              <w:t>Registrant</w:t>
            </w:r>
          </w:p>
        </w:tc>
        <w:tc>
          <w:tcPr>
            <w:tcW w:w="3720" w:type="dxa"/>
            <w:vAlign w:val="bottom"/>
          </w:tcPr>
          <w:p>
            <w:pPr>
              <w:spacing w:after="0"/>
              <w:rPr>
                <w:sz w:val="19"/>
                <w:szCs w:val="19"/>
                <w:color w:val="auto"/>
              </w:rPr>
            </w:pPr>
          </w:p>
        </w:tc>
      </w:tr>
      <w:tr>
        <w:trPr>
          <w:trHeight w:val="684"/>
        </w:trPr>
        <w:tc>
          <w:tcPr>
            <w:tcW w:w="3720" w:type="dxa"/>
            <w:vAlign w:val="bottom"/>
          </w:tcPr>
          <w:p>
            <w:pPr>
              <w:spacing w:after="0"/>
              <w:rPr>
                <w:sz w:val="20"/>
                <w:szCs w:val="20"/>
                <w:color w:val="auto"/>
              </w:rPr>
            </w:pPr>
            <w:r>
              <w:rPr>
                <w:rFonts w:ascii="Arial" w:cs="Arial" w:eastAsia="Arial" w:hAnsi="Arial"/>
                <w:sz w:val="17"/>
                <w:szCs w:val="17"/>
                <w:color w:val="auto"/>
              </w:rPr>
              <w:t>Dated: August 14, 2018</w:t>
            </w:r>
          </w:p>
        </w:tc>
        <w:tc>
          <w:tcPr>
            <w:tcW w:w="280" w:type="dxa"/>
            <w:vAlign w:val="bottom"/>
          </w:tcPr>
          <w:p>
            <w:pPr>
              <w:spacing w:after="0"/>
              <w:rPr>
                <w:sz w:val="24"/>
                <w:szCs w:val="24"/>
                <w:color w:val="auto"/>
              </w:rPr>
            </w:pPr>
          </w:p>
        </w:tc>
        <w:tc>
          <w:tcPr>
            <w:tcW w:w="7420" w:type="dxa"/>
            <w:vAlign w:val="bottom"/>
            <w:gridSpan w:val="4"/>
          </w:tcPr>
          <w:p>
            <w:pPr>
              <w:spacing w:after="0"/>
              <w:rPr>
                <w:sz w:val="20"/>
                <w:szCs w:val="20"/>
                <w:color w:val="auto"/>
              </w:rPr>
            </w:pPr>
            <w:r>
              <w:rPr>
                <w:rFonts w:ascii="Arial" w:cs="Arial" w:eastAsia="Arial" w:hAnsi="Arial"/>
                <w:sz w:val="17"/>
                <w:szCs w:val="17"/>
                <w:color w:val="auto"/>
              </w:rPr>
              <w:t>/s/ Scott M. Quist</w:t>
            </w:r>
          </w:p>
        </w:tc>
      </w:tr>
      <w:tr>
        <w:trPr>
          <w:trHeight w:val="213"/>
        </w:trPr>
        <w:tc>
          <w:tcPr>
            <w:tcW w:w="3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Scott M. Quist</w:t>
            </w:r>
          </w:p>
        </w:tc>
        <w:tc>
          <w:tcPr>
            <w:tcW w:w="6200" w:type="dxa"/>
            <w:vAlign w:val="bottom"/>
            <w:gridSpan w:val="2"/>
          </w:tcPr>
          <w:p>
            <w:pPr>
              <w:spacing w:after="0"/>
              <w:rPr>
                <w:sz w:val="18"/>
                <w:szCs w:val="18"/>
                <w:color w:val="auto"/>
              </w:rPr>
            </w:pPr>
          </w:p>
        </w:tc>
      </w:tr>
      <w:tr>
        <w:trPr>
          <w:trHeight w:val="207"/>
        </w:trPr>
        <w:tc>
          <w:tcPr>
            <w:tcW w:w="3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20" w:type="dxa"/>
            <w:vAlign w:val="bottom"/>
            <w:gridSpan w:val="4"/>
          </w:tcPr>
          <w:p>
            <w:pPr>
              <w:spacing w:after="0"/>
              <w:rPr>
                <w:sz w:val="20"/>
                <w:szCs w:val="20"/>
                <w:color w:val="auto"/>
              </w:rPr>
            </w:pPr>
            <w:r>
              <w:rPr>
                <w:rFonts w:ascii="Arial" w:cs="Arial" w:eastAsia="Arial" w:hAnsi="Arial"/>
                <w:sz w:val="17"/>
                <w:szCs w:val="17"/>
                <w:color w:val="auto"/>
              </w:rPr>
              <w:t>Chairman, President and Chief Executive Officer</w:t>
            </w:r>
          </w:p>
        </w:tc>
      </w:tr>
      <w:tr>
        <w:trPr>
          <w:trHeight w:val="219"/>
        </w:trPr>
        <w:tc>
          <w:tcPr>
            <w:tcW w:w="3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20" w:type="dxa"/>
            <w:vAlign w:val="bottom"/>
            <w:gridSpan w:val="4"/>
          </w:tcPr>
          <w:p>
            <w:pPr>
              <w:spacing w:after="0"/>
              <w:rPr>
                <w:sz w:val="20"/>
                <w:szCs w:val="20"/>
                <w:color w:val="auto"/>
              </w:rPr>
            </w:pPr>
            <w:r>
              <w:rPr>
                <w:rFonts w:ascii="Arial" w:cs="Arial" w:eastAsia="Arial" w:hAnsi="Arial"/>
                <w:sz w:val="17"/>
                <w:szCs w:val="17"/>
                <w:color w:val="auto"/>
              </w:rPr>
              <w:t>(Principal Executive Officer)</w:t>
            </w:r>
          </w:p>
        </w:tc>
      </w:tr>
      <w:tr>
        <w:trPr>
          <w:trHeight w:val="426"/>
        </w:trPr>
        <w:tc>
          <w:tcPr>
            <w:tcW w:w="3720" w:type="dxa"/>
            <w:vAlign w:val="bottom"/>
          </w:tcPr>
          <w:p>
            <w:pPr>
              <w:spacing w:after="0"/>
              <w:rPr>
                <w:sz w:val="20"/>
                <w:szCs w:val="20"/>
                <w:color w:val="auto"/>
              </w:rPr>
            </w:pPr>
            <w:r>
              <w:rPr>
                <w:rFonts w:ascii="Arial" w:cs="Arial" w:eastAsia="Arial" w:hAnsi="Arial"/>
                <w:sz w:val="17"/>
                <w:szCs w:val="17"/>
                <w:color w:val="auto"/>
              </w:rPr>
              <w:t>Dated: August 14, 2018</w:t>
            </w:r>
          </w:p>
        </w:tc>
        <w:tc>
          <w:tcPr>
            <w:tcW w:w="280" w:type="dxa"/>
            <w:vAlign w:val="bottom"/>
          </w:tcPr>
          <w:p>
            <w:pPr>
              <w:spacing w:after="0"/>
              <w:rPr>
                <w:sz w:val="24"/>
                <w:szCs w:val="24"/>
                <w:color w:val="auto"/>
              </w:rPr>
            </w:pPr>
          </w:p>
        </w:tc>
        <w:tc>
          <w:tcPr>
            <w:tcW w:w="7420" w:type="dxa"/>
            <w:vAlign w:val="bottom"/>
            <w:gridSpan w:val="4"/>
          </w:tcPr>
          <w:p>
            <w:pPr>
              <w:spacing w:after="0"/>
              <w:rPr>
                <w:sz w:val="20"/>
                <w:szCs w:val="20"/>
                <w:color w:val="auto"/>
              </w:rPr>
            </w:pPr>
            <w:r>
              <w:rPr>
                <w:rFonts w:ascii="Arial" w:cs="Arial" w:eastAsia="Arial" w:hAnsi="Arial"/>
                <w:sz w:val="17"/>
                <w:szCs w:val="17"/>
                <w:color w:val="auto"/>
              </w:rPr>
              <w:t>/s/ Garrett S. Sill</w:t>
            </w:r>
          </w:p>
        </w:tc>
      </w:tr>
      <w:tr>
        <w:trPr>
          <w:trHeight w:val="213"/>
        </w:trPr>
        <w:tc>
          <w:tcPr>
            <w:tcW w:w="3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Garrett S. Sill</w:t>
            </w:r>
          </w:p>
        </w:tc>
        <w:tc>
          <w:tcPr>
            <w:tcW w:w="6260" w:type="dxa"/>
            <w:vAlign w:val="bottom"/>
            <w:gridSpan w:val="3"/>
          </w:tcPr>
          <w:p>
            <w:pPr>
              <w:spacing w:after="0"/>
              <w:rPr>
                <w:sz w:val="18"/>
                <w:szCs w:val="18"/>
                <w:color w:val="auto"/>
              </w:rPr>
            </w:pPr>
          </w:p>
        </w:tc>
      </w:tr>
      <w:tr>
        <w:trPr>
          <w:trHeight w:val="207"/>
        </w:trPr>
        <w:tc>
          <w:tcPr>
            <w:tcW w:w="3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20" w:type="dxa"/>
            <w:vAlign w:val="bottom"/>
            <w:gridSpan w:val="4"/>
          </w:tcPr>
          <w:p>
            <w:pPr>
              <w:spacing w:after="0"/>
              <w:rPr>
                <w:sz w:val="20"/>
                <w:szCs w:val="20"/>
                <w:color w:val="auto"/>
              </w:rPr>
            </w:pPr>
            <w:r>
              <w:rPr>
                <w:rFonts w:ascii="Arial" w:cs="Arial" w:eastAsia="Arial" w:hAnsi="Arial"/>
                <w:sz w:val="17"/>
                <w:szCs w:val="17"/>
                <w:color w:val="auto"/>
              </w:rPr>
              <w:t>Chief Financial Officer and Treasurer</w:t>
            </w:r>
          </w:p>
        </w:tc>
      </w:tr>
      <w:tr>
        <w:trPr>
          <w:trHeight w:val="219"/>
        </w:trPr>
        <w:tc>
          <w:tcPr>
            <w:tcW w:w="3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20" w:type="dxa"/>
            <w:vAlign w:val="bottom"/>
            <w:gridSpan w:val="4"/>
          </w:tcPr>
          <w:p>
            <w:pPr>
              <w:spacing w:after="0"/>
              <w:rPr>
                <w:sz w:val="20"/>
                <w:szCs w:val="20"/>
                <w:color w:val="auto"/>
              </w:rPr>
            </w:pPr>
            <w:r>
              <w:rPr>
                <w:rFonts w:ascii="Arial" w:cs="Arial" w:eastAsia="Arial" w:hAnsi="Arial"/>
                <w:sz w:val="17"/>
                <w:szCs w:val="17"/>
                <w:color w:val="auto"/>
              </w:rPr>
              <w:t>(Principal Financial Officer and Principal Accounting Officer)</w:t>
            </w:r>
          </w:p>
        </w:tc>
      </w:tr>
      <w:tr>
        <w:trPr>
          <w:trHeight w:val="944"/>
        </w:trPr>
        <w:tc>
          <w:tcPr>
            <w:tcW w:w="3720" w:type="dxa"/>
            <w:vAlign w:val="bottom"/>
          </w:tcPr>
          <w:p>
            <w:pPr>
              <w:spacing w:after="0"/>
              <w:rPr>
                <w:sz w:val="24"/>
                <w:szCs w:val="24"/>
                <w:color w:val="auto"/>
              </w:rPr>
            </w:pPr>
          </w:p>
        </w:tc>
        <w:tc>
          <w:tcPr>
            <w:tcW w:w="3980" w:type="dxa"/>
            <w:vAlign w:val="bottom"/>
            <w:gridSpan w:val="4"/>
          </w:tcPr>
          <w:p>
            <w:pPr>
              <w:jc w:val="center"/>
              <w:spacing w:after="0"/>
              <w:rPr>
                <w:sz w:val="20"/>
                <w:szCs w:val="20"/>
                <w:color w:val="auto"/>
              </w:rPr>
            </w:pPr>
            <w:r>
              <w:rPr>
                <w:rFonts w:ascii="Arial" w:cs="Arial" w:eastAsia="Arial" w:hAnsi="Arial"/>
                <w:sz w:val="14"/>
                <w:szCs w:val="14"/>
                <w:color w:val="auto"/>
                <w:w w:val="89"/>
              </w:rPr>
              <w:t>58</w:t>
            </w:r>
          </w:p>
        </w:tc>
        <w:tc>
          <w:tcPr>
            <w:tcW w:w="3720" w:type="dxa"/>
            <w:vAlign w:val="bottom"/>
          </w:tcPr>
          <w:p>
            <w:pPr>
              <w:spacing w:after="0"/>
              <w:rPr>
                <w:sz w:val="24"/>
                <w:szCs w:val="24"/>
                <w:color w:val="auto"/>
              </w:rPr>
            </w:pPr>
          </w:p>
        </w:tc>
      </w:tr>
      <w:tr>
        <w:trPr>
          <w:trHeight w:val="108"/>
        </w:trPr>
        <w:tc>
          <w:tcPr>
            <w:tcW w:w="37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372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3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7"/>
          <w:szCs w:val="17"/>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52335"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7252335"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187325</wp:posOffset>
            </wp:positionV>
            <wp:extent cx="72523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Subsidiaries of Security National</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Financial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of June 30, 2018</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SecurityNational Mortgage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52335" cy="1314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7252335" cy="13144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Security National Life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252335" cy="1314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7252335" cy="13144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Southern Security Life Insurance Company, Inc.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Trans-Western Life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252335" cy="1314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252335" cy="13144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Memorial Insurance Company of America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Reppond Holding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252335" cy="1314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252335" cy="13144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First Guaranty Insurance Company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 &amp; J Financial,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252335" cy="1314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252335" cy="13144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SNFC Subsidiary, LLC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American Funeral Financial,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252335" cy="1314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252335" cy="13144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FFC Acquisition Co., LLC dba Funeral Funding Center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Mortician's Choice,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252335" cy="1314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252335" cy="13144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Canadian Funeral Financial, LLC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Beta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252335" cy="1314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252335" cy="13144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Insuradyne Corporation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EverLEND Mortgage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252335" cy="1314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252335" cy="13144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Marketing Source Center, Inc. dba Security National Travel Services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California Memorial Estates,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252335" cy="1314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252335" cy="13144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Cottonwood Mortuary, Inc.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Deseret Memorial,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252335" cy="1314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252335" cy="13144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Greer-Wilson Funeral Home, Inc.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Holladay Cottonwood Memorial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252335" cy="1314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252335" cy="13144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Holladay Memorial Park, Inc.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Memorial Estates,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252335" cy="1314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252335" cy="13144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SN Midway, LLC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SN Mapleton,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252335" cy="1314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252335" cy="13144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SN Shadow Cliffs, LLC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Memorial Mortuary,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252335" cy="1314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252335" cy="13144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Affordable Funerals and Cremations of America, Inc.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Paradise Chapel Funeral Home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252335" cy="1314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252335" cy="13144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Dry Creek Property Development, Inc.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New York Land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252335" cy="1314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252335" cy="13144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Security National Funding Company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Select Appraisal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252335" cy="1314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252335" cy="13144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Security National Real Estate Services, Inc.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5300 Development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252335" cy="1314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252335" cy="13144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SN Farmington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367665</wp:posOffset>
            </wp:positionV>
            <wp:extent cx="7252335"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7"/>
          <w:szCs w:val="17"/>
          <w:b w:val="1"/>
          <w:bCs w:val="1"/>
          <w:color w:val="auto"/>
        </w:rPr>
        <w:t>EXHIBIT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2335" cy="330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252335"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191135</wp:posOffset>
            </wp:positionV>
            <wp:extent cx="72523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OF CHIEF EXECUTIVE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REQUIRED BY SECTION 302 OF THE SARBANES-OXLEY ACT OF 2002</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I, Scott M. Quist, certify that:</w:t>
      </w:r>
    </w:p>
    <w:p>
      <w:pPr>
        <w:spacing w:after="0" w:line="270" w:lineRule="exact"/>
        <w:rPr>
          <w:sz w:val="20"/>
          <w:szCs w:val="20"/>
          <w:color w:val="auto"/>
        </w:rPr>
      </w:pPr>
    </w:p>
    <w:p>
      <w:pPr>
        <w:ind w:left="180" w:hanging="177"/>
        <w:spacing w:after="0"/>
        <w:tabs>
          <w:tab w:leader="none" w:pos="1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 have reviewed this report on Form 10-Q of Security National Financial Corporation;</w:t>
      </w:r>
    </w:p>
    <w:p>
      <w:pPr>
        <w:spacing w:after="0" w:line="269" w:lineRule="exact"/>
        <w:rPr>
          <w:rFonts w:ascii="Arial" w:cs="Arial" w:eastAsia="Arial" w:hAnsi="Arial"/>
          <w:sz w:val="17"/>
          <w:szCs w:val="17"/>
          <w:color w:val="auto"/>
        </w:rPr>
      </w:pPr>
    </w:p>
    <w:p>
      <w:pPr>
        <w:ind w:firstLine="3"/>
        <w:spacing w:after="0" w:line="315" w:lineRule="auto"/>
        <w:tabs>
          <w:tab w:leader="none" w:pos="172"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6"/>
          <w:szCs w:val="16"/>
          <w:color w:val="auto"/>
        </w:rPr>
      </w:pPr>
    </w:p>
    <w:p>
      <w:pPr>
        <w:ind w:firstLine="3"/>
        <w:spacing w:after="0" w:line="283" w:lineRule="auto"/>
        <w:tabs>
          <w:tab w:leader="none" w:pos="196"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Arial" w:cs="Arial" w:eastAsia="Arial" w:hAnsi="Arial"/>
          <w:sz w:val="17"/>
          <w:szCs w:val="17"/>
          <w:color w:val="auto"/>
        </w:rPr>
      </w:pPr>
    </w:p>
    <w:p>
      <w:pPr>
        <w:jc w:val="both"/>
        <w:ind w:firstLine="3"/>
        <w:spacing w:after="0" w:line="352" w:lineRule="auto"/>
        <w:tabs>
          <w:tab w:leader="none" w:pos="183"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5"/>
          <w:szCs w:val="15"/>
          <w:color w:val="auto"/>
        </w:rPr>
      </w:pPr>
    </w:p>
    <w:p>
      <w:pPr>
        <w:jc w:val="both"/>
        <w:ind w:firstLine="417"/>
        <w:spacing w:after="0" w:line="268" w:lineRule="auto"/>
        <w:tabs>
          <w:tab w:leader="none" w:pos="1044" w:val="left"/>
        </w:tabs>
        <w:numPr>
          <w:ilvl w:val="2"/>
          <w:numId w:val="5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223" w:lineRule="exact"/>
        <w:rPr>
          <w:rFonts w:ascii="Arial" w:cs="Arial" w:eastAsia="Arial" w:hAnsi="Arial"/>
          <w:sz w:val="17"/>
          <w:szCs w:val="17"/>
          <w:color w:val="auto"/>
        </w:rPr>
      </w:pPr>
    </w:p>
    <w:p>
      <w:pPr>
        <w:jc w:val="both"/>
        <w:ind w:firstLine="417"/>
        <w:spacing w:after="0" w:line="268" w:lineRule="auto"/>
        <w:tabs>
          <w:tab w:leader="none" w:pos="1053" w:val="left"/>
        </w:tabs>
        <w:numPr>
          <w:ilvl w:val="2"/>
          <w:numId w:val="5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3" w:lineRule="exact"/>
        <w:rPr>
          <w:rFonts w:ascii="Arial" w:cs="Arial" w:eastAsia="Arial" w:hAnsi="Arial"/>
          <w:sz w:val="17"/>
          <w:szCs w:val="17"/>
          <w:color w:val="auto"/>
        </w:rPr>
      </w:pPr>
    </w:p>
    <w:p>
      <w:pPr>
        <w:ind w:firstLine="417"/>
        <w:spacing w:after="0" w:line="283" w:lineRule="auto"/>
        <w:tabs>
          <w:tab w:leader="none" w:pos="1044" w:val="left"/>
        </w:tabs>
        <w:numPr>
          <w:ilvl w:val="2"/>
          <w:numId w:val="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7"/>
          <w:szCs w:val="17"/>
          <w:color w:val="auto"/>
        </w:rPr>
      </w:pPr>
    </w:p>
    <w:p>
      <w:pPr>
        <w:jc w:val="both"/>
        <w:ind w:firstLine="417"/>
        <w:spacing w:after="0" w:line="268" w:lineRule="auto"/>
        <w:tabs>
          <w:tab w:leader="none" w:pos="1053" w:val="left"/>
        </w:tabs>
        <w:numPr>
          <w:ilvl w:val="2"/>
          <w:numId w:val="5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3" w:lineRule="exact"/>
        <w:rPr>
          <w:rFonts w:ascii="Arial" w:cs="Arial" w:eastAsia="Arial" w:hAnsi="Arial"/>
          <w:sz w:val="17"/>
          <w:szCs w:val="17"/>
          <w:color w:val="auto"/>
        </w:rPr>
      </w:pPr>
    </w:p>
    <w:p>
      <w:pPr>
        <w:ind w:firstLine="3"/>
        <w:spacing w:after="0" w:line="283" w:lineRule="auto"/>
        <w:tabs>
          <w:tab w:leader="none" w:pos="179"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rFonts w:ascii="Arial" w:cs="Arial" w:eastAsia="Arial" w:hAnsi="Arial"/>
          <w:sz w:val="17"/>
          <w:szCs w:val="17"/>
          <w:color w:val="auto"/>
        </w:rPr>
      </w:pPr>
    </w:p>
    <w:p>
      <w:pPr>
        <w:ind w:firstLine="391"/>
        <w:spacing w:after="0" w:line="283" w:lineRule="auto"/>
        <w:tabs>
          <w:tab w:leader="none" w:pos="1044" w:val="left"/>
        </w:tabs>
        <w:numPr>
          <w:ilvl w:val="1"/>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0" w:lineRule="exact"/>
        <w:rPr>
          <w:rFonts w:ascii="Arial" w:cs="Arial" w:eastAsia="Arial" w:hAnsi="Arial"/>
          <w:sz w:val="17"/>
          <w:szCs w:val="17"/>
          <w:color w:val="auto"/>
        </w:rPr>
      </w:pPr>
    </w:p>
    <w:p>
      <w:pPr>
        <w:ind w:firstLine="391"/>
        <w:spacing w:after="0" w:line="283" w:lineRule="auto"/>
        <w:tabs>
          <w:tab w:leader="none" w:pos="1100" w:val="left"/>
        </w:tabs>
        <w:numPr>
          <w:ilvl w:val="1"/>
          <w:numId w:val="5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ind w:left="1180"/>
              <w:spacing w:after="0"/>
              <w:rPr>
                <w:sz w:val="20"/>
                <w:szCs w:val="20"/>
                <w:color w:val="auto"/>
              </w:rPr>
            </w:pPr>
            <w:r>
              <w:rPr>
                <w:rFonts w:ascii="Arial" w:cs="Arial" w:eastAsia="Arial" w:hAnsi="Arial"/>
                <w:sz w:val="17"/>
                <w:szCs w:val="17"/>
                <w:color w:val="auto"/>
              </w:rPr>
              <w:t>Dated: August 14, 2018</w:t>
            </w:r>
          </w:p>
        </w:tc>
        <w:tc>
          <w:tcPr>
            <w:tcW w:w="7420" w:type="dxa"/>
            <w:vAlign w:val="bottom"/>
            <w:gridSpan w:val="2"/>
          </w:tcPr>
          <w:p>
            <w:pPr>
              <w:spacing w:after="0"/>
              <w:rPr>
                <w:sz w:val="20"/>
                <w:szCs w:val="20"/>
                <w:color w:val="auto"/>
              </w:rPr>
            </w:pPr>
            <w:r>
              <w:rPr>
                <w:rFonts w:ascii="Arial" w:cs="Arial" w:eastAsia="Arial" w:hAnsi="Arial"/>
                <w:sz w:val="17"/>
                <w:szCs w:val="17"/>
                <w:color w:val="auto"/>
              </w:rPr>
              <w:t>/s/ Scott M. Quist</w:t>
            </w:r>
          </w:p>
        </w:tc>
      </w:tr>
      <w:tr>
        <w:trPr>
          <w:trHeight w:val="213"/>
        </w:trPr>
        <w:tc>
          <w:tcPr>
            <w:tcW w:w="4000" w:type="dxa"/>
            <w:vAlign w:val="bottom"/>
          </w:tcPr>
          <w:p>
            <w:pPr>
              <w:spacing w:after="0"/>
              <w:rPr>
                <w:sz w:val="18"/>
                <w:szCs w:val="18"/>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Scott M. Quist</w:t>
            </w:r>
          </w:p>
        </w:tc>
        <w:tc>
          <w:tcPr>
            <w:tcW w:w="6200" w:type="dxa"/>
            <w:vAlign w:val="bottom"/>
          </w:tcPr>
          <w:p>
            <w:pPr>
              <w:spacing w:after="0"/>
              <w:rPr>
                <w:sz w:val="18"/>
                <w:szCs w:val="18"/>
                <w:color w:val="auto"/>
              </w:rPr>
            </w:pPr>
          </w:p>
        </w:tc>
      </w:tr>
      <w:tr>
        <w:trPr>
          <w:trHeight w:val="207"/>
        </w:trPr>
        <w:tc>
          <w:tcPr>
            <w:tcW w:w="400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7"/>
                <w:szCs w:val="17"/>
                <w:color w:val="auto"/>
              </w:rPr>
              <w:t>Chairman, President and Chief Executive Officer</w:t>
            </w:r>
          </w:p>
        </w:tc>
      </w:tr>
      <w:tr>
        <w:trPr>
          <w:trHeight w:val="219"/>
        </w:trPr>
        <w:tc>
          <w:tcPr>
            <w:tcW w:w="400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7"/>
                <w:szCs w:val="17"/>
                <w:color w:val="auto"/>
              </w:rPr>
              <w:t>(Principal Executive Officer)</w:t>
            </w:r>
          </w:p>
        </w:tc>
      </w:tr>
      <w:tr>
        <w:trPr>
          <w:trHeight w:val="807"/>
        </w:trPr>
        <w:tc>
          <w:tcPr>
            <w:tcW w:w="40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7"/>
          <w:szCs w:val="17"/>
          <w:color w:val="auto"/>
        </w:rPr>
        <w:t>EXHIBIT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52335" cy="330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7252335"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187325</wp:posOffset>
            </wp:positionV>
            <wp:extent cx="72523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OF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REQUIRED BY SECTION 302 OF THE SARBANES-OXLEY ACT OF 2002</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I, Garrett S. Sill, certify that:</w:t>
      </w:r>
    </w:p>
    <w:p>
      <w:pPr>
        <w:spacing w:after="0" w:line="270" w:lineRule="exact"/>
        <w:rPr>
          <w:sz w:val="20"/>
          <w:szCs w:val="20"/>
          <w:color w:val="auto"/>
        </w:rPr>
      </w:pPr>
    </w:p>
    <w:p>
      <w:pPr>
        <w:ind w:left="180" w:hanging="177"/>
        <w:spacing w:after="0"/>
        <w:tabs>
          <w:tab w:leader="none" w:pos="1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 have reviewed this report on Form 10-Q of Security National Financial Corporation;</w:t>
      </w:r>
    </w:p>
    <w:p>
      <w:pPr>
        <w:spacing w:after="0" w:line="269" w:lineRule="exact"/>
        <w:rPr>
          <w:rFonts w:ascii="Arial" w:cs="Arial" w:eastAsia="Arial" w:hAnsi="Arial"/>
          <w:sz w:val="17"/>
          <w:szCs w:val="17"/>
          <w:color w:val="auto"/>
        </w:rPr>
      </w:pPr>
    </w:p>
    <w:p>
      <w:pPr>
        <w:ind w:firstLine="3"/>
        <w:spacing w:after="0" w:line="315" w:lineRule="auto"/>
        <w:tabs>
          <w:tab w:leader="none" w:pos="172"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6"/>
          <w:szCs w:val="16"/>
          <w:color w:val="auto"/>
        </w:rPr>
      </w:pPr>
    </w:p>
    <w:p>
      <w:pPr>
        <w:ind w:firstLine="3"/>
        <w:spacing w:after="0" w:line="283" w:lineRule="auto"/>
        <w:tabs>
          <w:tab w:leader="none" w:pos="196"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Arial" w:cs="Arial" w:eastAsia="Arial" w:hAnsi="Arial"/>
          <w:sz w:val="17"/>
          <w:szCs w:val="17"/>
          <w:color w:val="auto"/>
        </w:rPr>
      </w:pPr>
    </w:p>
    <w:p>
      <w:pPr>
        <w:jc w:val="both"/>
        <w:ind w:firstLine="3"/>
        <w:spacing w:after="0" w:line="352" w:lineRule="auto"/>
        <w:tabs>
          <w:tab w:leader="none" w:pos="183"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5"/>
          <w:szCs w:val="15"/>
          <w:color w:val="auto"/>
        </w:rPr>
      </w:pPr>
    </w:p>
    <w:p>
      <w:pPr>
        <w:jc w:val="both"/>
        <w:ind w:firstLine="417"/>
        <w:spacing w:after="0" w:line="268" w:lineRule="auto"/>
        <w:tabs>
          <w:tab w:leader="none" w:pos="1044" w:val="left"/>
        </w:tabs>
        <w:numPr>
          <w:ilvl w:val="2"/>
          <w:numId w:val="5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223" w:lineRule="exact"/>
        <w:rPr>
          <w:rFonts w:ascii="Arial" w:cs="Arial" w:eastAsia="Arial" w:hAnsi="Arial"/>
          <w:sz w:val="17"/>
          <w:szCs w:val="17"/>
          <w:color w:val="auto"/>
        </w:rPr>
      </w:pPr>
    </w:p>
    <w:p>
      <w:pPr>
        <w:jc w:val="both"/>
        <w:ind w:firstLine="417"/>
        <w:spacing w:after="0" w:line="268" w:lineRule="auto"/>
        <w:tabs>
          <w:tab w:leader="none" w:pos="1053" w:val="left"/>
        </w:tabs>
        <w:numPr>
          <w:ilvl w:val="2"/>
          <w:numId w:val="5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3" w:lineRule="exact"/>
        <w:rPr>
          <w:rFonts w:ascii="Arial" w:cs="Arial" w:eastAsia="Arial" w:hAnsi="Arial"/>
          <w:sz w:val="17"/>
          <w:szCs w:val="17"/>
          <w:color w:val="auto"/>
        </w:rPr>
      </w:pPr>
    </w:p>
    <w:p>
      <w:pPr>
        <w:ind w:firstLine="417"/>
        <w:spacing w:after="0" w:line="283" w:lineRule="auto"/>
        <w:tabs>
          <w:tab w:leader="none" w:pos="1044" w:val="left"/>
        </w:tabs>
        <w:numPr>
          <w:ilvl w:val="2"/>
          <w:numId w:val="5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7"/>
          <w:szCs w:val="17"/>
          <w:color w:val="auto"/>
        </w:rPr>
      </w:pPr>
    </w:p>
    <w:p>
      <w:pPr>
        <w:jc w:val="both"/>
        <w:ind w:firstLine="417"/>
        <w:spacing w:after="0" w:line="268" w:lineRule="auto"/>
        <w:tabs>
          <w:tab w:leader="none" w:pos="1053" w:val="left"/>
        </w:tabs>
        <w:numPr>
          <w:ilvl w:val="2"/>
          <w:numId w:val="5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3" w:lineRule="exact"/>
        <w:rPr>
          <w:rFonts w:ascii="Arial" w:cs="Arial" w:eastAsia="Arial" w:hAnsi="Arial"/>
          <w:sz w:val="17"/>
          <w:szCs w:val="17"/>
          <w:color w:val="auto"/>
        </w:rPr>
      </w:pPr>
    </w:p>
    <w:p>
      <w:pPr>
        <w:ind w:firstLine="3"/>
        <w:spacing w:after="0" w:line="283" w:lineRule="auto"/>
        <w:tabs>
          <w:tab w:leader="none" w:pos="179"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rFonts w:ascii="Arial" w:cs="Arial" w:eastAsia="Arial" w:hAnsi="Arial"/>
          <w:sz w:val="17"/>
          <w:szCs w:val="17"/>
          <w:color w:val="auto"/>
        </w:rPr>
      </w:pPr>
    </w:p>
    <w:p>
      <w:pPr>
        <w:ind w:firstLine="391"/>
        <w:spacing w:after="0" w:line="283" w:lineRule="auto"/>
        <w:tabs>
          <w:tab w:leader="none" w:pos="1044" w:val="left"/>
        </w:tabs>
        <w:numPr>
          <w:ilvl w:val="1"/>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0" w:lineRule="exact"/>
        <w:rPr>
          <w:rFonts w:ascii="Arial" w:cs="Arial" w:eastAsia="Arial" w:hAnsi="Arial"/>
          <w:sz w:val="17"/>
          <w:szCs w:val="17"/>
          <w:color w:val="auto"/>
        </w:rPr>
      </w:pPr>
    </w:p>
    <w:p>
      <w:pPr>
        <w:ind w:firstLine="391"/>
        <w:spacing w:after="0" w:line="283" w:lineRule="auto"/>
        <w:tabs>
          <w:tab w:leader="none" w:pos="1100" w:val="left"/>
        </w:tabs>
        <w:numPr>
          <w:ilvl w:val="1"/>
          <w:numId w:val="5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ind w:left="1180"/>
              <w:spacing w:after="0"/>
              <w:rPr>
                <w:sz w:val="20"/>
                <w:szCs w:val="20"/>
                <w:color w:val="auto"/>
              </w:rPr>
            </w:pPr>
            <w:r>
              <w:rPr>
                <w:rFonts w:ascii="Arial" w:cs="Arial" w:eastAsia="Arial" w:hAnsi="Arial"/>
                <w:sz w:val="17"/>
                <w:szCs w:val="17"/>
                <w:color w:val="auto"/>
              </w:rPr>
              <w:t>Dated: August 14, 2018</w:t>
            </w:r>
          </w:p>
        </w:tc>
        <w:tc>
          <w:tcPr>
            <w:tcW w:w="7420" w:type="dxa"/>
            <w:vAlign w:val="bottom"/>
            <w:gridSpan w:val="2"/>
          </w:tcPr>
          <w:p>
            <w:pPr>
              <w:ind w:left="60"/>
              <w:spacing w:after="0"/>
              <w:rPr>
                <w:sz w:val="20"/>
                <w:szCs w:val="20"/>
                <w:color w:val="auto"/>
              </w:rPr>
            </w:pPr>
            <w:r>
              <w:rPr>
                <w:rFonts w:ascii="Arial" w:cs="Arial" w:eastAsia="Arial" w:hAnsi="Arial"/>
                <w:sz w:val="17"/>
                <w:szCs w:val="17"/>
                <w:color w:val="auto"/>
              </w:rPr>
              <w:t>/s/ Garrett S. Sill</w:t>
            </w:r>
          </w:p>
        </w:tc>
      </w:tr>
      <w:tr>
        <w:trPr>
          <w:trHeight w:val="213"/>
        </w:trPr>
        <w:tc>
          <w:tcPr>
            <w:tcW w:w="4000" w:type="dxa"/>
            <w:vAlign w:val="bottom"/>
          </w:tcPr>
          <w:p>
            <w:pPr>
              <w:spacing w:after="0"/>
              <w:rPr>
                <w:sz w:val="18"/>
                <w:szCs w:val="18"/>
                <w:color w:val="auto"/>
              </w:rPr>
            </w:pPr>
          </w:p>
        </w:tc>
        <w:tc>
          <w:tcPr>
            <w:tcW w:w="120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rPr>
              <w:t>Garrett S. Sill</w:t>
            </w:r>
          </w:p>
        </w:tc>
        <w:tc>
          <w:tcPr>
            <w:tcW w:w="6220" w:type="dxa"/>
            <w:vAlign w:val="bottom"/>
          </w:tcPr>
          <w:p>
            <w:pPr>
              <w:spacing w:after="0"/>
              <w:rPr>
                <w:sz w:val="18"/>
                <w:szCs w:val="18"/>
                <w:color w:val="auto"/>
              </w:rPr>
            </w:pPr>
          </w:p>
        </w:tc>
      </w:tr>
      <w:tr>
        <w:trPr>
          <w:trHeight w:val="207"/>
        </w:trPr>
        <w:tc>
          <w:tcPr>
            <w:tcW w:w="4000" w:type="dxa"/>
            <w:vAlign w:val="bottom"/>
          </w:tcPr>
          <w:p>
            <w:pPr>
              <w:spacing w:after="0"/>
              <w:rPr>
                <w:sz w:val="17"/>
                <w:szCs w:val="17"/>
                <w:color w:val="auto"/>
              </w:rPr>
            </w:pPr>
          </w:p>
        </w:tc>
        <w:tc>
          <w:tcPr>
            <w:tcW w:w="7420" w:type="dxa"/>
            <w:vAlign w:val="bottom"/>
            <w:gridSpan w:val="2"/>
          </w:tcPr>
          <w:p>
            <w:pPr>
              <w:ind w:left="60"/>
              <w:spacing w:after="0"/>
              <w:rPr>
                <w:sz w:val="20"/>
                <w:szCs w:val="20"/>
                <w:color w:val="auto"/>
              </w:rPr>
            </w:pPr>
            <w:r>
              <w:rPr>
                <w:rFonts w:ascii="Arial" w:cs="Arial" w:eastAsia="Arial" w:hAnsi="Arial"/>
                <w:sz w:val="17"/>
                <w:szCs w:val="17"/>
                <w:color w:val="auto"/>
              </w:rPr>
              <w:t>Chief Financial Officer and Treasurer</w:t>
            </w:r>
          </w:p>
        </w:tc>
      </w:tr>
      <w:tr>
        <w:trPr>
          <w:trHeight w:val="219"/>
        </w:trPr>
        <w:tc>
          <w:tcPr>
            <w:tcW w:w="400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7"/>
                <w:szCs w:val="17"/>
                <w:color w:val="auto"/>
              </w:rPr>
              <w:t>(Principal Financial Officer and Principal Accounting Officer)</w:t>
            </w:r>
          </w:p>
        </w:tc>
      </w:tr>
      <w:tr>
        <w:trPr>
          <w:trHeight w:val="1039"/>
        </w:trPr>
        <w:tc>
          <w:tcPr>
            <w:tcW w:w="40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7"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7"/>
          <w:szCs w:val="17"/>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2335" cy="330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7252335"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191135</wp:posOffset>
            </wp:positionV>
            <wp:extent cx="72523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OF CHIEF EXECUTIVE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REQUIRED BY SECTION 906 OF THE SARBANES-OXLEY ACT OF 2002</w:t>
      </w:r>
    </w:p>
    <w:p>
      <w:pPr>
        <w:spacing w:after="0" w:line="25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connection with the Quarterly Report of Security National Financial Corporation (the "Company") on Form 10-Q for the period ending June 30, 2018, as filed with the Securities and Exchange Commission on the date hereof (the "Report"), I, Scott M. Quist, Chairman of the Board, President and Chief Executive Officer of the Company, hereby certify, pursuant to 18 U.S.C. Section 1350, as adopted pursuant to Section 906 of the Sarbanes-Oxley Act of 2002, that, to the best of my knowledge:</w:t>
      </w:r>
    </w:p>
    <w:p>
      <w:pPr>
        <w:spacing w:after="0" w:line="228" w:lineRule="exact"/>
        <w:rPr>
          <w:sz w:val="20"/>
          <w:szCs w:val="20"/>
          <w:color w:val="auto"/>
        </w:rPr>
      </w:pPr>
    </w:p>
    <w:p>
      <w:pPr>
        <w:ind w:left="1280" w:hanging="656"/>
        <w:spacing w:after="0"/>
        <w:tabs>
          <w:tab w:leader="none" w:pos="12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69" w:lineRule="exact"/>
        <w:rPr>
          <w:rFonts w:ascii="Arial" w:cs="Arial" w:eastAsia="Arial" w:hAnsi="Arial"/>
          <w:sz w:val="17"/>
          <w:szCs w:val="17"/>
          <w:color w:val="auto"/>
        </w:rPr>
      </w:pPr>
    </w:p>
    <w:p>
      <w:pPr>
        <w:ind w:left="1280" w:hanging="656"/>
        <w:spacing w:after="0"/>
        <w:tabs>
          <w:tab w:leader="none" w:pos="12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ind w:left="1180"/>
              <w:spacing w:after="0"/>
              <w:rPr>
                <w:sz w:val="20"/>
                <w:szCs w:val="20"/>
                <w:color w:val="auto"/>
              </w:rPr>
            </w:pPr>
            <w:r>
              <w:rPr>
                <w:rFonts w:ascii="Arial" w:cs="Arial" w:eastAsia="Arial" w:hAnsi="Arial"/>
                <w:sz w:val="17"/>
                <w:szCs w:val="17"/>
                <w:color w:val="auto"/>
              </w:rPr>
              <w:t>Dated: August 14, 2018</w:t>
            </w:r>
          </w:p>
        </w:tc>
        <w:tc>
          <w:tcPr>
            <w:tcW w:w="7420" w:type="dxa"/>
            <w:vAlign w:val="bottom"/>
            <w:gridSpan w:val="2"/>
          </w:tcPr>
          <w:p>
            <w:pPr>
              <w:spacing w:after="0"/>
              <w:rPr>
                <w:sz w:val="20"/>
                <w:szCs w:val="20"/>
                <w:color w:val="auto"/>
              </w:rPr>
            </w:pPr>
            <w:r>
              <w:rPr>
                <w:rFonts w:ascii="Arial" w:cs="Arial" w:eastAsia="Arial" w:hAnsi="Arial"/>
                <w:sz w:val="17"/>
                <w:szCs w:val="17"/>
                <w:color w:val="auto"/>
              </w:rPr>
              <w:t>/s/ Scott M. Quist</w:t>
            </w:r>
          </w:p>
        </w:tc>
      </w:tr>
      <w:tr>
        <w:trPr>
          <w:trHeight w:val="213"/>
        </w:trPr>
        <w:tc>
          <w:tcPr>
            <w:tcW w:w="4000" w:type="dxa"/>
            <w:vAlign w:val="bottom"/>
          </w:tcPr>
          <w:p>
            <w:pPr>
              <w:spacing w:after="0"/>
              <w:rPr>
                <w:sz w:val="18"/>
                <w:szCs w:val="18"/>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Scott M. Quist</w:t>
            </w:r>
          </w:p>
        </w:tc>
        <w:tc>
          <w:tcPr>
            <w:tcW w:w="6200" w:type="dxa"/>
            <w:vAlign w:val="bottom"/>
          </w:tcPr>
          <w:p>
            <w:pPr>
              <w:spacing w:after="0"/>
              <w:rPr>
                <w:sz w:val="18"/>
                <w:szCs w:val="18"/>
                <w:color w:val="auto"/>
              </w:rPr>
            </w:pPr>
          </w:p>
        </w:tc>
      </w:tr>
      <w:tr>
        <w:trPr>
          <w:trHeight w:val="207"/>
        </w:trPr>
        <w:tc>
          <w:tcPr>
            <w:tcW w:w="400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7"/>
                <w:szCs w:val="17"/>
                <w:color w:val="auto"/>
              </w:rPr>
              <w:t>Chairman, President and Chief Executive Officer</w:t>
            </w:r>
          </w:p>
        </w:tc>
      </w:tr>
      <w:tr>
        <w:trPr>
          <w:trHeight w:val="219"/>
        </w:trPr>
        <w:tc>
          <w:tcPr>
            <w:tcW w:w="400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7"/>
                <w:szCs w:val="17"/>
                <w:color w:val="auto"/>
              </w:rPr>
              <w:t>(Principal Executive Officer)</w:t>
            </w:r>
          </w:p>
        </w:tc>
      </w:tr>
      <w:tr>
        <w:trPr>
          <w:trHeight w:val="807"/>
        </w:trPr>
        <w:tc>
          <w:tcPr>
            <w:tcW w:w="40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2" w:name="page63"/>
    <w:bookmarkEnd w:id="62"/>
    <w:p>
      <w:pPr>
        <w:ind w:left="10360"/>
        <w:spacing w:after="0"/>
        <w:rPr>
          <w:sz w:val="20"/>
          <w:szCs w:val="20"/>
          <w:color w:val="auto"/>
        </w:rPr>
      </w:pPr>
      <w:r>
        <w:rPr>
          <w:rFonts w:ascii="Arial" w:cs="Arial" w:eastAsia="Arial" w:hAnsi="Arial"/>
          <w:sz w:val="19"/>
          <w:szCs w:val="19"/>
          <w:b w:val="1"/>
          <w:bCs w:val="1"/>
          <w:color w:val="auto"/>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7252335" cy="330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7252335"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205740</wp:posOffset>
            </wp:positionV>
            <wp:extent cx="72523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OF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REQUIRED BY SECTION 906 OF THE SARBANES-OXLEY ACT OF 2002</w:t>
      </w:r>
    </w:p>
    <w:p>
      <w:pPr>
        <w:spacing w:after="0" w:line="25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connection with the Quarterly Report of Security National Financial Corporation (the "Company") on Form 10-Q for the period ending June 30, 2018, as filed with the Securities and Exchange Commission on the date hereof (the "Report"), I, Garrett S. Sill, Chief Financial Officer and Treasurer of the Company, hereby certify, pursuant to 18 U.S.C. Section 1350, as adopted pursuant to Section 906 of the Sarbanes-Oxley Act of 2002, that, to the best of my knowledge:</w:t>
      </w:r>
    </w:p>
    <w:p>
      <w:pPr>
        <w:spacing w:after="0" w:line="207" w:lineRule="exact"/>
        <w:rPr>
          <w:sz w:val="20"/>
          <w:szCs w:val="20"/>
          <w:color w:val="auto"/>
        </w:rPr>
      </w:pPr>
    </w:p>
    <w:p>
      <w:pPr>
        <w:ind w:left="1280" w:hanging="656"/>
        <w:spacing w:after="0"/>
        <w:tabs>
          <w:tab w:leader="none" w:pos="12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69" w:lineRule="exact"/>
        <w:rPr>
          <w:rFonts w:ascii="Arial" w:cs="Arial" w:eastAsia="Arial" w:hAnsi="Arial"/>
          <w:sz w:val="17"/>
          <w:szCs w:val="17"/>
          <w:color w:val="auto"/>
        </w:rPr>
      </w:pPr>
    </w:p>
    <w:p>
      <w:pPr>
        <w:ind w:left="1280" w:hanging="656"/>
        <w:spacing w:after="0"/>
        <w:tabs>
          <w:tab w:leader="none" w:pos="12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ind w:left="1180"/>
              <w:spacing w:after="0"/>
              <w:rPr>
                <w:sz w:val="20"/>
                <w:szCs w:val="20"/>
                <w:color w:val="auto"/>
              </w:rPr>
            </w:pPr>
            <w:r>
              <w:rPr>
                <w:rFonts w:ascii="Arial" w:cs="Arial" w:eastAsia="Arial" w:hAnsi="Arial"/>
                <w:sz w:val="17"/>
                <w:szCs w:val="17"/>
                <w:color w:val="auto"/>
              </w:rPr>
              <w:t>Dated: August 14, 2018</w:t>
            </w:r>
          </w:p>
        </w:tc>
        <w:tc>
          <w:tcPr>
            <w:tcW w:w="7420" w:type="dxa"/>
            <w:vAlign w:val="bottom"/>
            <w:gridSpan w:val="2"/>
          </w:tcPr>
          <w:p>
            <w:pPr>
              <w:ind w:left="60"/>
              <w:spacing w:after="0"/>
              <w:rPr>
                <w:sz w:val="20"/>
                <w:szCs w:val="20"/>
                <w:color w:val="auto"/>
              </w:rPr>
            </w:pPr>
            <w:r>
              <w:rPr>
                <w:rFonts w:ascii="Arial" w:cs="Arial" w:eastAsia="Arial" w:hAnsi="Arial"/>
                <w:sz w:val="17"/>
                <w:szCs w:val="17"/>
                <w:color w:val="auto"/>
              </w:rPr>
              <w:t>/s/ Garrett S. Sill</w:t>
            </w:r>
          </w:p>
        </w:tc>
      </w:tr>
      <w:tr>
        <w:trPr>
          <w:trHeight w:val="213"/>
        </w:trPr>
        <w:tc>
          <w:tcPr>
            <w:tcW w:w="4000" w:type="dxa"/>
            <w:vAlign w:val="bottom"/>
          </w:tcPr>
          <w:p>
            <w:pPr>
              <w:spacing w:after="0"/>
              <w:rPr>
                <w:sz w:val="18"/>
                <w:szCs w:val="18"/>
                <w:color w:val="auto"/>
              </w:rPr>
            </w:pPr>
          </w:p>
        </w:tc>
        <w:tc>
          <w:tcPr>
            <w:tcW w:w="120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rPr>
              <w:t>Garrett S. Sill</w:t>
            </w:r>
          </w:p>
        </w:tc>
        <w:tc>
          <w:tcPr>
            <w:tcW w:w="6220" w:type="dxa"/>
            <w:vAlign w:val="bottom"/>
          </w:tcPr>
          <w:p>
            <w:pPr>
              <w:spacing w:after="0"/>
              <w:rPr>
                <w:sz w:val="18"/>
                <w:szCs w:val="18"/>
                <w:color w:val="auto"/>
              </w:rPr>
            </w:pPr>
          </w:p>
        </w:tc>
      </w:tr>
      <w:tr>
        <w:trPr>
          <w:trHeight w:val="207"/>
        </w:trPr>
        <w:tc>
          <w:tcPr>
            <w:tcW w:w="4000" w:type="dxa"/>
            <w:vAlign w:val="bottom"/>
          </w:tcPr>
          <w:p>
            <w:pPr>
              <w:spacing w:after="0"/>
              <w:rPr>
                <w:sz w:val="17"/>
                <w:szCs w:val="17"/>
                <w:color w:val="auto"/>
              </w:rPr>
            </w:pPr>
          </w:p>
        </w:tc>
        <w:tc>
          <w:tcPr>
            <w:tcW w:w="7420" w:type="dxa"/>
            <w:vAlign w:val="bottom"/>
            <w:gridSpan w:val="2"/>
          </w:tcPr>
          <w:p>
            <w:pPr>
              <w:ind w:left="60"/>
              <w:spacing w:after="0"/>
              <w:rPr>
                <w:sz w:val="20"/>
                <w:szCs w:val="20"/>
                <w:color w:val="auto"/>
              </w:rPr>
            </w:pPr>
            <w:r>
              <w:rPr>
                <w:rFonts w:ascii="Arial" w:cs="Arial" w:eastAsia="Arial" w:hAnsi="Arial"/>
                <w:sz w:val="17"/>
                <w:szCs w:val="17"/>
                <w:color w:val="auto"/>
              </w:rPr>
              <w:t>Chief Financial Officer and Treasurer</w:t>
            </w:r>
          </w:p>
        </w:tc>
      </w:tr>
      <w:tr>
        <w:trPr>
          <w:trHeight w:val="219"/>
        </w:trPr>
        <w:tc>
          <w:tcPr>
            <w:tcW w:w="400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7"/>
                <w:szCs w:val="17"/>
                <w:color w:val="auto"/>
              </w:rPr>
              <w:t>(Principal Financial Officer and Principal Accounting Officer)</w:t>
            </w:r>
          </w:p>
        </w:tc>
      </w:tr>
      <w:tr>
        <w:trPr>
          <w:trHeight w:val="884"/>
        </w:trPr>
        <w:tc>
          <w:tcPr>
            <w:tcW w:w="40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1]"/>
      <w:numFmt w:val="upperLetter"/>
      <w:start w:val="24"/>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decimal"/>
      <w:start w:val="1"/>
    </w:lvl>
  </w:abstractNum>
  <w:abstractNum w:abstractNumId="3">
    <w:nsid w:val="3A95F874"/>
    <w:multiLevelType w:val="hybridMultilevel"/>
    <w:lvl w:ilvl="0">
      <w:lvlJc w:val="left"/>
      <w:lvlText w:val="%1)"/>
      <w:numFmt w:val="decimal"/>
      <w:start w:val="2"/>
    </w:lvl>
  </w:abstractNum>
  <w:abstractNum w:abstractNumId="4">
    <w:nsid w:val="8138641"/>
    <w:multiLevelType w:val="hybridMultilevel"/>
    <w:lvl w:ilvl="0">
      <w:lvlJc w:val="left"/>
      <w:lvlText w:val="%1)"/>
      <w:numFmt w:val="decimal"/>
      <w:start w:val="2"/>
    </w:lvl>
  </w:abstractNum>
  <w:abstractNum w:abstractNumId="5">
    <w:nsid w:val="1E7FF521"/>
    <w:multiLevelType w:val="hybridMultilevel"/>
    <w:lvl w:ilvl="0">
      <w:lvlJc w:val="left"/>
      <w:lvlText w:val="%1)"/>
      <w:numFmt w:val="decimal"/>
      <w:start w:val="2"/>
    </w:lvl>
  </w:abstractNum>
  <w:abstractNum w:abstractNumId="6">
    <w:nsid w:val="7C3DBD3D"/>
    <w:multiLevelType w:val="hybridMultilevel"/>
    <w:lvl w:ilvl="0">
      <w:lvlJc w:val="left"/>
      <w:lvlText w:val="%1)"/>
      <w:numFmt w:val="decimal"/>
      <w:start w:val="3"/>
    </w:lvl>
  </w:abstractNum>
  <w:abstractNum w:abstractNumId="7">
    <w:nsid w:val="737B8DDC"/>
    <w:multiLevelType w:val="hybridMultilevel"/>
    <w:lvl w:ilvl="0">
      <w:lvlJc w:val="left"/>
      <w:lvlText w:val="%1)"/>
      <w:numFmt w:val="decimal"/>
      <w:start w:val="3"/>
    </w:lvl>
  </w:abstractNum>
  <w:abstractNum w:abstractNumId="8">
    <w:nsid w:val="6CEAF087"/>
    <w:multiLevelType w:val="hybridMultilevel"/>
    <w:lvl w:ilvl="0">
      <w:lvlJc w:val="left"/>
      <w:lvlText w:val="%1)"/>
      <w:numFmt w:val="decimal"/>
      <w:start w:val="3"/>
    </w:lvl>
  </w:abstractNum>
  <w:abstractNum w:abstractNumId="9">
    <w:nsid w:val="22221A70"/>
    <w:multiLevelType w:val="hybridMultilevel"/>
    <w:lvl w:ilvl="0">
      <w:lvlJc w:val="left"/>
      <w:lvlText w:val="%1)"/>
      <w:numFmt w:val="decimal"/>
      <w:start w:val="3"/>
    </w:lvl>
  </w:abstractNum>
  <w:abstractNum w:abstractNumId="10">
    <w:nsid w:val="4516DDE9"/>
    <w:multiLevelType w:val="hybridMultilevel"/>
    <w:lvl w:ilvl="0">
      <w:lvlJc w:val="left"/>
      <w:lvlText w:val="%1)"/>
      <w:numFmt w:val="decimal"/>
      <w:start w:val="3"/>
    </w:lvl>
  </w:abstractNum>
  <w:abstractNum w:abstractNumId="11">
    <w:nsid w:val="3006C83E"/>
    <w:multiLevelType w:val="hybridMultilevel"/>
    <w:lvl w:ilvl="0">
      <w:lvlJc w:val="left"/>
      <w:lvlText w:val="%1)"/>
      <w:numFmt w:val="decimal"/>
      <w:start w:val="3"/>
    </w:lvl>
  </w:abstractNum>
  <w:abstractNum w:abstractNumId="12">
    <w:nsid w:val="614FD4A1"/>
    <w:multiLevelType w:val="hybridMultilevel"/>
    <w:lvl w:ilvl="0">
      <w:lvlJc w:val="left"/>
      <w:lvlText w:val="(%1)"/>
      <w:numFmt w:val="decimal"/>
      <w:start w:val="1"/>
    </w:lvl>
  </w:abstractNum>
  <w:abstractNum w:abstractNumId="13">
    <w:nsid w:val="419AC241"/>
    <w:multiLevelType w:val="hybridMultilevel"/>
    <w:lvl w:ilvl="0">
      <w:lvlJc w:val="left"/>
      <w:lvlText w:val="%1)"/>
      <w:numFmt w:val="decimal"/>
      <w:start w:val="3"/>
    </w:lvl>
  </w:abstractNum>
  <w:abstractNum w:abstractNumId="14">
    <w:nsid w:val="5577F8E1"/>
    <w:multiLevelType w:val="hybridMultilevel"/>
    <w:lvl w:ilvl="0">
      <w:lvlJc w:val="left"/>
      <w:lvlText w:val="%1)"/>
      <w:numFmt w:val="decimal"/>
      <w:start w:val="3"/>
    </w:lvl>
  </w:abstractNum>
  <w:abstractNum w:abstractNumId="15">
    <w:nsid w:val="440BADFC"/>
    <w:multiLevelType w:val="hybridMultilevel"/>
    <w:lvl w:ilvl="0">
      <w:lvlJc w:val="left"/>
      <w:lvlText w:val="%1)"/>
      <w:numFmt w:val="decimal"/>
      <w:start w:val="3"/>
    </w:lvl>
  </w:abstractNum>
  <w:abstractNum w:abstractNumId="16">
    <w:nsid w:val="5072367"/>
    <w:multiLevelType w:val="hybridMultilevel"/>
    <w:lvl w:ilvl="0">
      <w:lvlJc w:val="left"/>
      <w:lvlText w:val="%1)"/>
      <w:numFmt w:val="decimal"/>
      <w:start w:val="3"/>
    </w:lvl>
  </w:abstractNum>
  <w:abstractNum w:abstractNumId="17">
    <w:nsid w:val="3804823E"/>
    <w:multiLevelType w:val="hybridMultilevel"/>
    <w:lvl w:ilvl="0">
      <w:lvlJc w:val="left"/>
      <w:lvlText w:val="%1)"/>
      <w:numFmt w:val="decimal"/>
      <w:start w:val="3"/>
    </w:lvl>
  </w:abstractNum>
  <w:abstractNum w:abstractNumId="18">
    <w:nsid w:val="77465F01"/>
    <w:multiLevelType w:val="hybridMultilevel"/>
    <w:lvl w:ilvl="0">
      <w:lvlJc w:val="left"/>
      <w:lvlText w:val="%1)"/>
      <w:numFmt w:val="decimal"/>
      <w:start w:val="3"/>
    </w:lvl>
  </w:abstractNum>
  <w:abstractNum w:abstractNumId="19">
    <w:nsid w:val="7724C67E"/>
    <w:multiLevelType w:val="hybridMultilevel"/>
    <w:lvl w:ilvl="0">
      <w:lvlJc w:val="left"/>
      <w:lvlText w:val="%1)"/>
      <w:numFmt w:val="decimal"/>
      <w:start w:val="4"/>
    </w:lvl>
  </w:abstractNum>
  <w:abstractNum w:abstractNumId="20">
    <w:nsid w:val="5C482A97"/>
    <w:multiLevelType w:val="hybridMultilevel"/>
    <w:lvl w:ilvl="0">
      <w:lvlJc w:val="left"/>
      <w:lvlText w:val="(%1)"/>
      <w:numFmt w:val="lowerRoman"/>
      <w:start w:val="1"/>
    </w:lvl>
  </w:abstractNum>
  <w:abstractNum w:abstractNumId="21">
    <w:nsid w:val="2463B9EA"/>
    <w:multiLevelType w:val="hybridMultilevel"/>
    <w:lvl w:ilvl="0">
      <w:lvlJc w:val="left"/>
      <w:lvlText w:val="%1)"/>
      <w:numFmt w:val="decimal"/>
      <w:start w:val="4"/>
    </w:lvl>
  </w:abstractNum>
  <w:abstractNum w:abstractNumId="22">
    <w:nsid w:val="5E884ADC"/>
    <w:multiLevelType w:val="hybridMultilevel"/>
    <w:lvl w:ilvl="0">
      <w:lvlJc w:val="left"/>
      <w:lvlText w:val="%1)"/>
      <w:numFmt w:val="decimal"/>
      <w:start w:val="5"/>
    </w:lvl>
  </w:abstractNum>
  <w:abstractNum w:abstractNumId="23">
    <w:nsid w:val="51EAD36B"/>
    <w:multiLevelType w:val="hybridMultilevel"/>
    <w:lvl w:ilvl="0">
      <w:lvlJc w:val="left"/>
      <w:lvlText w:val="%1)"/>
      <w:numFmt w:val="decimal"/>
      <w:start w:val="5"/>
    </w:lvl>
  </w:abstractNum>
  <w:abstractNum w:abstractNumId="24">
    <w:nsid w:val="2D517796"/>
    <w:multiLevelType w:val="hybridMultilevel"/>
    <w:lvl w:ilvl="0">
      <w:lvlJc w:val="left"/>
      <w:lvlText w:val="%1)"/>
      <w:numFmt w:val="decimal"/>
      <w:start w:val="7"/>
    </w:lvl>
  </w:abstractNum>
  <w:abstractNum w:abstractNumId="25">
    <w:nsid w:val="580BD78F"/>
    <w:multiLevelType w:val="hybridMultilevel"/>
    <w:lvl w:ilvl="0">
      <w:lvlJc w:val="left"/>
      <w:lvlText w:val="%1)"/>
      <w:numFmt w:val="decimal"/>
      <w:start w:val="7"/>
    </w:lvl>
  </w:abstractNum>
  <w:abstractNum w:abstractNumId="26">
    <w:nsid w:val="153EA438"/>
    <w:multiLevelType w:val="hybridMultilevel"/>
    <w:lvl w:ilvl="0">
      <w:lvlJc w:val="left"/>
      <w:lvlText w:val="%1)"/>
      <w:numFmt w:val="decimal"/>
      <w:start w:val="8"/>
    </w:lvl>
  </w:abstractNum>
  <w:abstractNum w:abstractNumId="27">
    <w:nsid w:val="3855585C"/>
    <w:multiLevelType w:val="hybridMultilevel"/>
    <w:lvl w:ilvl="0">
      <w:lvlJc w:val="left"/>
      <w:lvlText w:val="%1)"/>
      <w:numFmt w:val="lowerLetter"/>
      <w:start w:val="1"/>
    </w:lvl>
  </w:abstractNum>
  <w:abstractNum w:abstractNumId="28">
    <w:nsid w:val="70A64E2A"/>
    <w:multiLevelType w:val="hybridMultilevel"/>
    <w:lvl w:ilvl="0">
      <w:lvlJc w:val="left"/>
      <w:lvlText w:val="%1)"/>
      <w:numFmt w:val="decimal"/>
      <w:start w:val="8"/>
    </w:lvl>
  </w:abstractNum>
  <w:abstractNum w:abstractNumId="29">
    <w:nsid w:val="6A2342EC"/>
    <w:multiLevelType w:val="hybridMultilevel"/>
    <w:lvl w:ilvl="0">
      <w:lvlJc w:val="left"/>
      <w:lvlText w:val="%1)"/>
      <w:numFmt w:val="decimal"/>
      <w:start w:val="8"/>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1)"/>
      <w:numFmt w:val="decimal"/>
      <w:start w:val="8"/>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decimal"/>
      <w:start w:val="8"/>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1)"/>
      <w:numFmt w:val="decimal"/>
      <w:start w:val="8"/>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decimal"/>
      <w:start w:val="8"/>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decimal"/>
      <w:start w:val="8"/>
    </w:lvl>
  </w:abstractNum>
  <w:abstractNum w:abstractNumId="40">
    <w:nsid w:val="7644A45C"/>
    <w:multiLevelType w:val="hybridMultilevel"/>
    <w:lvl w:ilvl="0">
      <w:lvlJc w:val="left"/>
      <w:lvlText w:val="%1)"/>
      <w:numFmt w:val="decimal"/>
      <w:start w:val="9"/>
    </w:lvl>
  </w:abstractNum>
  <w:abstractNum w:abstractNumId="41">
    <w:nsid w:val="32FFF902"/>
    <w:multiLevelType w:val="hybridMultilevel"/>
    <w:lvl w:ilvl="0">
      <w:lvlJc w:val="left"/>
      <w:lvlText w:val="%1)"/>
      <w:numFmt w:val="decimal"/>
      <w:start w:val="10"/>
    </w:lvl>
  </w:abstractNum>
  <w:abstractNum w:abstractNumId="42">
    <w:nsid w:val="684A481A"/>
    <w:multiLevelType w:val="hybridMultilevel"/>
    <w:lvl w:ilvl="0">
      <w:lvlJc w:val="left"/>
      <w:lvlText w:val="%1)"/>
      <w:numFmt w:val="decimal"/>
      <w:start w:val="10"/>
    </w:lvl>
  </w:abstractNum>
  <w:abstractNum w:abstractNumId="43">
    <w:nsid w:val="579478FE"/>
    <w:multiLevelType w:val="hybridMultilevel"/>
    <w:lvl w:ilvl="0">
      <w:lvlJc w:val="left"/>
      <w:lvlText w:val="%1)"/>
      <w:numFmt w:val="decimal"/>
      <w:start w:val="11"/>
    </w:lvl>
  </w:abstractNum>
  <w:abstractNum w:abstractNumId="44">
    <w:nsid w:val="749ABB43"/>
    <w:multiLevelType w:val="hybridMultilevel"/>
    <w:lvl w:ilvl="0">
      <w:lvlJc w:val="left"/>
      <w:lvlText w:val="%1)"/>
      <w:numFmt w:val="decimal"/>
      <w:start w:val="11"/>
    </w:lvl>
  </w:abstractNum>
  <w:abstractNum w:abstractNumId="45">
    <w:nsid w:val="3DC240FB"/>
    <w:multiLevelType w:val="hybridMultilevel"/>
    <w:lvl w:ilvl="0">
      <w:lvlJc w:val="left"/>
      <w:lvlText w:val="%1)"/>
      <w:numFmt w:val="decimal"/>
      <w:start w:val="12"/>
    </w:lvl>
  </w:abstractNum>
  <w:abstractNum w:abstractNumId="46">
    <w:nsid w:val="1BA026FA"/>
    <w:multiLevelType w:val="hybridMultilevel"/>
    <w:lvl w:ilvl="0">
      <w:lvlJc w:val="left"/>
      <w:lvlText w:val="%1)"/>
      <w:numFmt w:val="decimal"/>
      <w:start w:val="14"/>
    </w:lvl>
  </w:abstractNum>
  <w:abstractNum w:abstractNumId="47">
    <w:nsid w:val="79A1DEAA"/>
    <w:multiLevelType w:val="hybridMultilevel"/>
    <w:lvl w:ilvl="0">
      <w:lvlJc w:val="left"/>
      <w:lvlText w:val="%1)"/>
      <w:numFmt w:val="decimal"/>
      <w:start w:val="14"/>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1)"/>
      <w:numFmt w:val="decimal"/>
      <w:start w:val="15"/>
    </w:lvl>
  </w:abstractNum>
  <w:abstractNum w:abstractNumId="50">
    <w:nsid w:val="70C6A529"/>
    <w:multiLevelType w:val="hybridMultilevel"/>
    <w:lvl w:ilvl="0">
      <w:lvlJc w:val="left"/>
      <w:lvlText w:val="(%1)"/>
      <w:numFmt w:val="decimal"/>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53" Type="http://schemas.openxmlformats.org/officeDocument/2006/relationships/hyperlink" Target="http://www.sec.gov/Archives/edgar/data/318673/000109690617000214/exh3_1.pdf" TargetMode="External"/><Relationship Id="rId54" Type="http://schemas.openxmlformats.org/officeDocument/2006/relationships/hyperlink" Target="http://www.sec.gov/Archives/edgar/data/318673/000109690617000578/exh3_2.pdf" TargetMode="External"/><Relationship Id="rId55" Type="http://schemas.openxmlformats.org/officeDocument/2006/relationships/hyperlink" Target="http://www.sec.gov/Archives/edgar/data/318673/000109690617000501/exh7_1.htm" TargetMode="External"/><Relationship Id="rId56" Type="http://schemas.openxmlformats.org/officeDocument/2006/relationships/hyperlink" Target="http://www.sec.gov/Archives/edgar/data/318673/000031867303000023/snfcprxy03.txt" TargetMode="External"/><Relationship Id="rId57" Type="http://schemas.openxmlformats.org/officeDocument/2006/relationships/hyperlink" Target="http://www.sec.gov/Archives/edgar/data/318673/000031867307000018/snfcproxy07.htm" TargetMode="External"/><Relationship Id="rId58" Type="http://schemas.openxmlformats.org/officeDocument/2006/relationships/hyperlink" Target="http://www.sec.gov/Archives/edgar/data/318673/000109690616001835/exh10_4.htm" TargetMode="External"/><Relationship Id="rId59" Type="http://schemas.openxmlformats.org/officeDocument/2006/relationships/hyperlink" Target="http://www.sec.gov/Archives/edgar/data/318673/000109690614000752/snfcadef14a.htm" TargetMode="External"/><Relationship Id="rId60" Type="http://schemas.openxmlformats.org/officeDocument/2006/relationships/hyperlink" Target="http://www.sec.gov/Archives/edgar/data/318673/000109690615000937/securityexh108.htm" TargetMode="External"/><Relationship Id="rId61" Type="http://schemas.openxmlformats.org/officeDocument/2006/relationships/hyperlink" Target="http://www.sec.gov/Archives/edgar/data/318673/000109690616001835/exh10_11.htm" TargetMode="External"/><Relationship Id="rId62" Type="http://schemas.openxmlformats.org/officeDocument/2006/relationships/hyperlink" Target="http://www.sec.gov/Archives/edgar/data/318673/000109690618000285/exh10_1.htm" TargetMode="External"/><Relationship Id="rId63" Type="http://schemas.openxmlformats.org/officeDocument/2006/relationships/hyperlink" Target="http://www.sec.gov/Archives/edgar/data/318673/000109690615001070/secexh231.htm" TargetMode="External"/><Relationship Id="rId64" Type="http://schemas.openxmlformats.org/officeDocument/2006/relationships/hyperlink" Target="http://www.sec.gov/Archives/edgar/data/318673/000109690615001070/secexh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2019-12-28T19:57:13Z</dcterms:created>
  <dcterms:modified xsi:type="dcterms:W3CDTF">2019-12-28T19:57:13Z</dcterms:modified>
</cp:coreProperties>
</file>