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right="224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860" w:firstLine="8"/>
        <w:spacing w:after="0" w:line="500"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64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6"/>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87-0345941</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36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gridSpan w:val="7"/>
          </w:tcPr>
          <w:p>
            <w:pPr>
              <w:jc w:val="center"/>
              <w:ind w:right="78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6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7"/>
          </w:tcPr>
          <w:p>
            <w:pPr>
              <w:jc w:val="center"/>
              <w:ind w:right="78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36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433 West Ascension Way, Salt Lake City, Utah</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5"/>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84123</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6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3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center"/>
              <w:ind w:right="232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391"/>
        </w:trPr>
        <w:tc>
          <w:tcPr>
            <w:tcW w:w="4660" w:type="dxa"/>
            <w:vAlign w:val="bottom"/>
            <w:gridSpan w:val="7"/>
          </w:tcPr>
          <w:p>
            <w:pPr>
              <w:jc w:val="center"/>
              <w:ind w:left="7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Borders>
              <w:top w:val="single" w:sz="8" w:color="auto"/>
            </w:tcBorders>
            <w:gridSpan w:val="5"/>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68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7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3080" w:type="dxa"/>
            <w:vAlign w:val="bottom"/>
            <w:gridSpan w:val="3"/>
          </w:tcPr>
          <w:p>
            <w:pPr>
              <w:jc w:val="center"/>
              <w:ind w:right="89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SNFCA</w:t>
            </w:r>
          </w:p>
        </w:tc>
        <w:tc>
          <w:tcPr>
            <w:tcW w:w="200" w:type="dxa"/>
            <w:vAlign w:val="bottom"/>
            <w:vMerge w:val="continue"/>
          </w:tcPr>
          <w:p>
            <w:pPr>
              <w:spacing w:after="0"/>
              <w:rPr>
                <w:sz w:val="19"/>
                <w:szCs w:val="19"/>
                <w:color w:val="auto"/>
              </w:rPr>
            </w:pPr>
          </w:p>
        </w:tc>
        <w:tc>
          <w:tcPr>
            <w:tcW w:w="47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Securities Act.</w:t>
      </w:r>
    </w:p>
    <w:p>
      <w:pPr>
        <w:spacing w:after="0" w:line="22"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4"/>
          <w:szCs w:val="24"/>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4"/>
          <w:szCs w:val="24"/>
          <w:color w:val="auto"/>
        </w:rPr>
      </w:pPr>
    </w:p>
    <w:p>
      <w:pPr>
        <w:jc w:val="both"/>
        <w:ind w:firstLine="162"/>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380" w:space="720"/>
            <w:col w:w="3140"/>
          </w:cols>
          <w:pgMar w:left="320" w:top="740" w:right="339" w:bottom="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380" w:space="720"/>
            <w:col w:w="3140"/>
          </w:cols>
          <w:pgMar w:left="320" w:top="740" w:right="339" w:bottom="0" w:gutter="0" w:footer="0" w:header="0"/>
          <w:type w:val="continuous"/>
        </w:sectPr>
      </w:pPr>
    </w:p>
    <w:p>
      <w:pPr>
        <w:spacing w:after="0" w:line="37" w:lineRule="exact"/>
        <w:rPr>
          <w:sz w:val="24"/>
          <w:szCs w:val="24"/>
          <w:color w:val="auto"/>
        </w:rPr>
      </w:pPr>
    </w:p>
    <w:p>
      <w:pPr>
        <w:ind w:left="8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0" w:gutter="0" w:footer="0" w:header="0"/>
          <w:type w:val="continuous"/>
        </w:sectPr>
      </w:pPr>
    </w:p>
    <w:p>
      <w:pPr>
        <w:spacing w:after="0" w:line="27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ind w:firstLine="324"/>
        <w:spacing w:after="0" w:line="258"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2023, the aggregate market value of the registrant’s Class A common stock held by non-affiliates of the registrant was approximately $64,000,000 based on the $8.45 closing sale price of the Class A common stock as reported on The Nasdaq Global Select Market.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26, 2024, there were outstanding 20,048,581 shares of Class A common stock, $2.00 par value per share, and 2,971,680 shares of Class C common stock, $2.00 par value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Portions of the following document are incorporated by reference in Part III of this Report: the registrant’s definitive proxy statement relating to its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1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tc>
        <w:tc>
          <w:tcPr>
            <w:tcW w:w="6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80" w:type="dxa"/>
            <w:vAlign w:val="bottom"/>
            <w:gridSpan w:val="14"/>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4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760" w:type="dxa"/>
            <w:vAlign w:val="bottom"/>
            <w:gridSpan w:val="17"/>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6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gridSpan w:val="15"/>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20" w:type="dxa"/>
            <w:vAlign w:val="bottom"/>
            <w:gridSpan w:val="10"/>
            <w:shd w:val="clear" w:color="auto" w:fill="CCEEFF"/>
          </w:tcPr>
          <w:p>
            <w:pPr>
              <w:jc w:val="center"/>
              <w:ind w:right="4620"/>
              <w:spacing w:after="0" w:line="15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6"/>
                <w:szCs w:val="16"/>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98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58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12"/>
          </w:tcPr>
          <w:p>
            <w:pPr>
              <w:jc w:val="center"/>
              <w:ind w:right="4540"/>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12"/>
          </w:tcPr>
          <w:p>
            <w:pPr>
              <w:jc w:val="center"/>
              <w:ind w:right="4560"/>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12"/>
          </w:tcPr>
          <w:p>
            <w:pPr>
              <w:jc w:val="center"/>
              <w:ind w:right="4560"/>
              <w:spacing w:after="0" w:line="176" w:lineRule="exact"/>
              <w:rPr>
                <w:sz w:val="20"/>
                <w:szCs w:val="20"/>
                <w:color w:val="auto"/>
              </w:rPr>
            </w:pPr>
            <w:r>
              <w:rPr>
                <w:rFonts w:ascii="Times New Roman" w:cs="Times New Roman" w:eastAsia="Times New Roman" w:hAnsi="Times New Roman"/>
                <w:sz w:val="18"/>
                <w:szCs w:val="18"/>
                <w:color w:val="0000EE"/>
                <w:w w:val="98"/>
              </w:rPr>
              <w:t>Part IV</w:t>
            </w:r>
          </w:p>
        </w:tc>
        <w:tc>
          <w:tcPr>
            <w:tcW w:w="6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 Schedules</w:t>
            </w:r>
          </w:p>
        </w:tc>
        <w:tc>
          <w:tcPr>
            <w:tcW w:w="838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439"/>
        </w:trPr>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0"/>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40 states through a commissioned sales force of independent licensed insurance agents who may also sell insurance products of other companies. The cemetery and mortuary segment consists of eight mortuaries and five cemeteries in the state of Utah, one cemetery in the state of California, and one cemetery and four mortuaries in the state of New Mexico. The Company also engages in pre-need selling of funeral, cemetery, mortuary, and cremation services through its cemetery and mortuary locations. The mortgage segment originates and underwrites or otherwise purchases residential and commercial loans for new construction, existing homes, and other real estate projects. The mortgage segment operates through 100 retail offices in 23 states and is an approved mortgage lender in several other states.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its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and subsequently sold in 2021 to FOXO Life Insurance Company),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Kilpatrick Life Insurance Company (2019), and merger with FOXO Life Insurance Company (2023).</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Heber Valley Funeral Home, Inc. (2019), Rivera Funerals, Cremations and Memorial Gardens (2021), and Holbrook Mortuary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1993, the Company formed SecurityNational Mortgage Company (“SecurityNational Mortgage”) to originate and refinance residential mortgage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of the Notes to Consolidated Financial Statements for additional information regarding the business segments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Security National Life, First Guaranty Insurance Company (“First Guaranty”), and Kilpatrick Life Insurance Company (“Kilpatrick”),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 plans through pre-need planning. The Company’s insurance subsidiaries, Southern Security Life Insurance Company, Inc. (“Southern Security”) and Trans-Western Life Insurance Company (“Trans-Western”), do not actively write policies, but service and maintain policies that were purchased prior to their acquisition by Security National Life.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has less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licensed to sell insurance in 40 states. The Company, in marketing its life insurance products, seeks to locate, develop and service specific niche markets. The Company’s funeral plan policies are sold primarily to people who range in age from 45 to 85 and have low to moderate income. Most of the Company’s funeral plan premiums come from the states of Arkansas, California, Florida, Georgia, Louisiana, Mississippi, Texas, and Utah.</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tcPr>
          <w:p>
            <w:pPr>
              <w:spacing w:after="0"/>
              <w:rPr>
                <w:sz w:val="20"/>
                <w:szCs w:val="20"/>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Policy/Cert Count as of December 31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714,953</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653,450</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659,237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669,064</w:t>
            </w: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Insurance in force as of December 31 (in</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thousands)</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3,552,554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3,446,836(1)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3,415,368(1)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3,379,921(1)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3,303,061(1)</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113,584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103,304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99,006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92,058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5580" w:right="2560" w:hanging="5572"/>
        <w:spacing w:after="0" w:line="532"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have been adjusted to include accidental death benefit insurance in force that was inadvertently excluded.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color w:val="auto"/>
        </w:rPr>
        <w:t>Underwriting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factors considered in evaluating an application for ordinary life insurance coverage can include the applicant’s age, occupation, general health condition,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Age Nearest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Non-Medical</w:t>
            </w:r>
          </w:p>
        </w:tc>
      </w:tr>
      <w:tr>
        <w:trPr>
          <w:trHeight w:val="234"/>
        </w:trPr>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Birthday</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Limits</w:t>
            </w:r>
          </w:p>
        </w:tc>
      </w:tr>
      <w:tr>
        <w:trPr>
          <w:trHeight w:val="191"/>
        </w:trPr>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0-50</w:t>
            </w:r>
          </w:p>
        </w:tc>
        <w:tc>
          <w:tcPr>
            <w:tcW w:w="1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$100,000</w:t>
            </w:r>
          </w:p>
        </w:tc>
      </w:tr>
      <w:tr>
        <w:trPr>
          <w:trHeight w:val="216"/>
        </w:trPr>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51-up</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Medical information</w:t>
            </w:r>
          </w:p>
        </w:tc>
      </w:tr>
      <w:tr>
        <w:trPr>
          <w:trHeight w:val="234"/>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required (APS or exam)</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underwriting life insurance, the Company will sometimes issue policies with higher premium rates for substandard risks.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funeral plan insurance is written on a simplified medical application with underwriting requirements being a completed application, a phone interview of the applicant, and an intelliscript prescription history inquiry. There are several underwriting classes in which an applicant can be placed.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such as an individual’s life, or for such other period as may be designated.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Annuities have guaranteed interest rates that range from 1% to 6.5% per annum. Rates above the guaranteed interest rate credited are periodically modified by the Board of Directors at its discretion. For the Company to make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annuity business for the five years ended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Annuities Policy/Cert Count as of December 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Deposits Collected (in thousands)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9,637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10,400</w:t>
            </w:r>
          </w:p>
        </w:tc>
        <w:tc>
          <w:tcPr>
            <w:tcW w:w="1140" w:type="dxa"/>
            <w:vAlign w:val="bottom"/>
          </w:tcPr>
          <w:p>
            <w:pPr>
              <w:spacing w:after="0"/>
              <w:rPr>
                <w:sz w:val="20"/>
                <w:szCs w:val="20"/>
                <w:color w:val="auto"/>
              </w:rPr>
            </w:pPr>
          </w:p>
        </w:tc>
      </w:tr>
      <w:tr>
        <w:trPr>
          <w:trHeight w:val="421"/>
        </w:trPr>
        <w:tc>
          <w:tcPr>
            <w:tcW w:w="3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7"/>
                <w:szCs w:val="17"/>
                <w:color w:val="auto"/>
                <w:w w:val="70"/>
              </w:rPr>
              <w:t>5</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Accident and Health</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various acquisitions, the Company occasionally acquires small blocks of accident and health insurance policies, which it continues to service. The Company offers a low-cost comprehensive diver’s accident insurance policy that provides worldwide coverage for medical expense reimbursement in the event of a diving accident.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markets its diver’s accident insurance policies through the internet.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accident and health insurance business for the five years ended December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178"/>
        </w:trPr>
        <w:tc>
          <w:tcPr>
            <w:tcW w:w="4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Accident and Health Policy/Cert Count as of December</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9,379</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12,494</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13,735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15,133</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retain no more than $100,000 of ordinary insurance per insured life, with the excess risk being reinsured. The total policy amount of life insurance reinsured by other companies as of December 31, 2023, was $333,211,000, which represented approximately 9.3% of the Company’s total life insurance policy amount in force on that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investments that support the Company’s life insurance and annuity obligations are determined by the investment committees of the Company’s subsidiaries and ratified by the full boards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Cemetery and Mortuary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six separate stand-alone mortuary facilities.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customers are located via telephone sales prospecting, responses to letters mailed by the pre-planning consultants, billboards and other outside advertising, referrals, and door-to-door canvassing. The Company trains its sales representatives and helps generate leads for them.</w:t>
      </w:r>
    </w:p>
    <w:p>
      <w:pPr>
        <w:spacing w:after="0" w:line="158"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SecurityNational Mortgage, is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The Company uses internal and external funding sources to fund mortgage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originates and funds commercial real estate loans, residential construction loans, and land development loans for internal investment.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residential mortgage lending services are marketed primarily to real estate brokers, builders and directly to consumers. The Company has a strong retail origination presence in the Utah, Florida, Texas, Nevada and Arizona markets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 and Other Business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Real Estate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capitalizing on the opportunity to develop commercial and residential assets on its existing and recently acquired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primarily relating to the Center53 Development and multiple single family residential development projects. The Company plans to continue its development endeavors as based upon its assessment of the market demand.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Center53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Center53 Development is an office development project comprising nearly 20 acres of land that is currently owned by the Company in the central valley of Salt Lake City. At final completion, the multi-year, phased development is expected to create a campus atmosphere and include nearly one million square-feet of office space in five buildings, ranging from four to eleven stories, and will be serviced by three parking structures with approximately 4,000 stalls. In 2015, the Company broke ground and commenced development on the first phase which included a six-story building of nearly 200,000 square feet and a parking garage with 748 parking stalls. The first phase of the project was completed in July 2017 and is currently 93% leased. The second phase of the project began in March 2020 and includes a second six-story building of nearly 221,000 square feet and a parking garage with approximately 870 stalls. The Company began its occupancy of a portion of the building in October 2021 and the remainder of the building is currently 100% leased. The Company plans to initiate future phases of the Center53 Development for additional Class A office space in the central valley of Salt Lake City.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conduct relevant business. Such regulation may cause unforeseen costs and operational restrictions, and delay implementation of the Company’s business plans.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are currently subject to regulation in Utah, Louisiana, Mississippi and Texas under insurance holding company legislation, and other states where applicable. Generally, intercompany transfers of assets and dividend payments from insurance subsidiaries are subject to prior notice of approval from the relevant state insurance department where they are deemed “extraordinary” under relevant state law. The insurance subsidiaries are required, under state insurance laws, to file detailed annual reports with the supervisory agencies in each of the states in which they do business. Their business and accounts are also subject to examination by these agencies. The Company was last examined in 2021 (First Guaranty Insurance), 2022 (Security National Life, Southern Security and Trans-Western) and 2021 (Kilpatrick Life). Its most recent final examination reports have been approved by the insurance departments and are public records.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Texas Department of Banking also audits pre-need insurance policies that are issued in the state of Texas. Pre-need policies include the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is also required to indicate the number of new policies issued for that year, all death claims paid that year, and all premiums received.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California, and New Mexico. The subsidiaries are required to keep annual reports on file including financial information concerning the number of spaces sold and, where applicable, funds provided to the Endowment Care Trust Fund. Licenses are issued annually based on such reports. The cemeteries maintain city or county licenses where they conduct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and quality review audits and specify the fees that can be charged to borrowers. Each year, the Company is required to have an audit completed for each mortgage subsidiary by an independent registered public accounting firm to verify compliance with the relevant regulations. In addition to the government regulations, the Company must meet loan requirements, and underwriting guidelines of various investors who purchase the loans.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Under The Tax Cuts and Jobs Act (the “Tax Act”), December 31, 2017 policyholder surplus account balances result in taxable income over a period of eight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non-life insurance company subsidiaries are taxed in general under the regular corporate tax provisions. The Company’s subsidiaries Southern Security and Trans-Western are regulated as life insurance companies but do not meet the Internal Revenue Code definition of a life insurance company, so they are taxed as insurance companies other than life insurance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life insurance industry is highly competitive. There are approximately 800 legal reserve life insurance companies in business in the United States. These insurance companies differentiate themselves through marketing techniques, product features, pricing, and customer service. The Company’s insurance subsidiaries compete with a large number of insurance companies, many of which have greater financial resources, longer business histories, and more diversified lines of insurance products than the Company. In addition, such companies generally have larger sales forces.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cemetery and mortuary industry is highly competitive. In the Utah, California, and New Mexico markets where the Company competes, there are several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mortgage industry is highly competitive with many mortgage companies and banks in the same geographic area in which the Company is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mortgage industry in general is sensitive to changes in interest rates and the refinancing market is particularly vulnerable to changes in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generally not subject to seasonal fluctuations.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employed 1,227 full-time and 246 part-time employees. Of the full-time employees, 729 were employed by the mortgage segment, 373 by the life insurance segment, and 125 by the cemetery and mortuary segment. The Company requires monthly acknowledgement of its anti-discrimination and anti-harassment policies and communicates to its employees how to report concerns that relate to their employment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eligible employees may elect coverage under the Company’s group health (including health savings and flexible spending), retirement, supplemental life and voluntary benefit programs. As of December 31, 2023, 756 employees had elected to participate in the Company’s group health insurance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employee safe harbor retirement plan for each business segment. The retirement plans qualify under section 401(k) of the Internal Revenue Code and, if approved by the board of directors, the Company makes a matching contribution in Company stock based on the employee’s contribution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other time off benefits such as paid sick and paid vacation time. The Company provides discounts on certain services provided by the Company to its employees. Additionally, the Company offers an employee assistance program that provides 24/7 counseling services for employees who may be facing challenges outside of the workplace.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internet address is www.securitynational.com. The Company’s investor relations website is www.investor.securitynational.com and the Company promptly makes available on this website, free of charge, the reports that it files or furnishes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strong information security program and systems (“Cybersecurity System”) to guard against unauthorized access, malicious software, corruption of data, disruption of its networks and systems and unauthorized release of confidential information. The Company’s Cybersecurity System is comprised of multiple layers of controls to reduce the risk of cybersecurity incidents.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System includes administrative, technical, and physical safeguards and is designed to provide an appropriate level of protection to maintain the confidentiality, integrity and availability of the Company’s and its customers’ information. This includes protecting against known and evolving threats to the security of the Company’s systems and information, and against unauthorized access, compromise, or loss of data. The Cybersecurity System is managed centrally, so the same security controls, policies and procedures are implemented across the organization. The Company maintains cybersecurity policies including an Acceptable Use Policy that all system users sign to acknowledge that they understand their security responsibilities. All system users receive security awareness training which includes phishing attack simulation testing.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A key element of the Company’s Cybersecurity System is to mature the program to align with the Center for Internet Security (CIS) Critical Security Controls security framework. The CIS controls are designed based on real-world data about cyber-attacks, to ensure that the measures are effective against current threats. The framework provides a prioritized set of actions, which enables the Company to focus its efforts on the most effective defensive measures first. This prioritization helps in optimizing the use of resources for maximum impact on security. This strategy provides a structured and effective approach to cybersecurity, helping the Company to protect its assets, comply with regulations, manage risks, and improve its overall security posture.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cyber insurance coverage that may, subject to policy terms, conditions, and limitations, cover certain aspects of cybersecurity risks; however, such insurance coverage may be unavailable or insufficient to cover all losses or all types of claims that may arise in the continually evolving area of cyber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controls and procedures to escalate enterprise-level issues, including cybersecurity matters, to the appropriate management levels within its organization and to its Board of Directors, or members or committees thereof, as appropriate. The Company’s Board of Directors has oversight for enterprise risk management, including its approach to managing cybersecurity risk, and has delegated oversight responsibility of information security risks to its Audit Committee. Matters determined to present potential material impacts to the Company’s financial results, operations, and/or reputation are reported by management to the Company’s Board of Directors or its Audit Committee, as appropriate, in accordance with its escalation framework.</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has established procedures to ensure that management personnel are informed in a timely manner of known cybersecurity risks and incidents that may materially impact the Company’s operations and that timely public disclosure is made as appropriate. The Company’s Cybersecurity System is led by the Chief Information Officer (“CIO”) in collaboration with a third-party virtual Chief Information Security Officer (“vCISO”) and other third-party cybersecurity service providers which in turn assist in monitoring the Company’s exposure from significant information technology suppliers, significant software as service providers and major vendors with access to the Company’s information technology systems. The Company’s CIO has 10 years of cybersecurity industry experience. Further, team members who support the Company’s cybersecurity program have relevant educational and industry experience through various roles involving information technology, security, auditing, compliance, systems, and programming, as well as cybersecurity certifications such as a Certified Information Systems Security Professional (CISSP) and Certified Information Security Manager (CISM). During the last three years, the Company has not experienced a material security breach and, as a result, the Company has not incurred any material expenses from such a breach. Furthermore, during such time, the Company has not been penalized or paid any amount under any information security breach settlement.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10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tables below set forth the location of the Company’s office facilities and certain other information relating to these properties.</w:t>
            </w:r>
          </w:p>
        </w:tc>
        <w:tc>
          <w:tcPr>
            <w:tcW w:w="116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Approximate</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w:t>
            </w:r>
          </w:p>
        </w:tc>
        <w:tc>
          <w:tcPr>
            <w:tcW w:w="1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Square</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Lease</w:t>
            </w:r>
          </w:p>
        </w:tc>
        <w:tc>
          <w:tcPr>
            <w:tcW w:w="116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Street</w:t>
            </w:r>
          </w:p>
        </w:tc>
        <w:tc>
          <w:tcPr>
            <w:tcW w:w="1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City</w:t>
            </w:r>
          </w:p>
        </w:tc>
        <w:tc>
          <w:tcPr>
            <w:tcW w:w="18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Function</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8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Footage</w:t>
            </w:r>
          </w:p>
        </w:tc>
        <w:tc>
          <w:tcPr>
            <w:tcW w:w="1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Amount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Expiration</w:t>
            </w:r>
          </w:p>
        </w:tc>
      </w:tr>
      <w:tr>
        <w:trPr>
          <w:trHeight w:val="191"/>
        </w:trPr>
        <w:tc>
          <w:tcPr>
            <w:tcW w:w="18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433 Ascension Way,</w:t>
            </w: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Salt Lake City</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UT</w:t>
            </w:r>
          </w:p>
        </w:tc>
        <w:tc>
          <w:tcPr>
            <w:tcW w:w="1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Corporate Headquarters,</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Owned</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Floors 4, 5 and 6</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Operations,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and Mortuary</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Mortgage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Sales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221,000</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spacing w:after="0"/>
              <w:rPr>
                <w:sz w:val="20"/>
                <w:szCs w:val="20"/>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 Oaks Dr. (1)</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Flowood</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MS</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Insurance Operations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Marshall St.</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Shreveport</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Operations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812 Sheppard St.</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Minden</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Insurance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909 Foisy Ave. (2)</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Alexandria</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1550</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Third St. (1)</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Jena</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Insurance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Sanctuary Blvd. Suite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302A</w:t>
            </w: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Mandeville</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6/30/2024</w:t>
            </w:r>
          </w:p>
        </w:tc>
      </w:tr>
      <w:tr>
        <w:trPr>
          <w:trHeight w:val="21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79 E. Main Street</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Midway</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Funeral Service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6,233/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10/31/2025</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4387</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500 W.</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Salt Lake City</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Funeral Service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7/31/2025</w:t>
            </w:r>
          </w:p>
        </w:tc>
      </w:tr>
      <w:tr>
        <w:trPr>
          <w:trHeight w:val="21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1627A Central Ave.</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Los Alamos</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Funeral Service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12/30/2024</w:t>
            </w: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Market Way</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Rainbow City</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Fast Funding Operations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1/31/2025</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5100</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 99th Ave., Suite</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101/103</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Sub-Leased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3,369/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10609 N. Hayden Rd.,</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100</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Scottsdale</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1490</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 Price Road, Suite</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Chandler</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6/30/2024</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5100</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 99th Ave., Suite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w:t>
            </w: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Phoenix</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Sub-Leased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2,382/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1951</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West Camelback</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Rd, Ste 200</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3,771/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2636</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Hwy 95 Suite 2</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Bullhead City</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1,225/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2220</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 Country Club</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Drive Suite 101</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5,339/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2/14/2028</w:t>
            </w:r>
          </w:p>
        </w:tc>
      </w:tr>
      <w:tr>
        <w:trPr>
          <w:trHeight w:val="198"/>
        </w:trPr>
        <w:tc>
          <w:tcPr>
            <w:tcW w:w="206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350 West 16th Street</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#209</w:t>
            </w: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Yum</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4,284/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6/30/2024</w:t>
            </w:r>
          </w:p>
        </w:tc>
      </w:tr>
      <w:tr>
        <w:trPr>
          <w:trHeight w:val="21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 North Cortez St.</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Prescott</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15169 North Scottsdale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#205 - office 3012</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4"/>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&amp; 3013</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Scottsdale</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Unknown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10265 W. Camelback</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Road, #100</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Phoenix</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3,817/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2/27/2024</w:t>
            </w: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40977 Oak Dr.</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Forest Falls</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2934</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 Garvey Ave.</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Suite 250</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West Covina</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7398</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Fox Trail Unit B</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Yucca Valley</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155 S. Highway 101</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7</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Solana Beach</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7,426/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44441 West 16th Street</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Lancaster</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1/31/2024</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1420</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Magnolia Ave</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Oxnard</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6,392/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3/30/2024</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625 The City Drive, Suite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12/31/2024</w:t>
            </w:r>
          </w:p>
        </w:tc>
      </w:tr>
      <w:tr>
        <w:trPr>
          <w:trHeight w:val="234"/>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450</w:t>
            </w: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Orange</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6,655/ mo</w:t>
            </w:r>
          </w:p>
        </w:tc>
        <w:tc>
          <w:tcPr>
            <w:tcW w:w="1160" w:type="dxa"/>
            <w:vAlign w:val="bottom"/>
            <w:shd w:val="clear" w:color="auto" w:fill="CCEEFF"/>
          </w:tcPr>
          <w:p>
            <w:pPr>
              <w:spacing w:after="0"/>
              <w:rPr>
                <w:sz w:val="20"/>
                <w:szCs w:val="20"/>
                <w:color w:val="auto"/>
              </w:rPr>
            </w:pP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27 Main St., Suite C-</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Edwards</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4501</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Mohawk Dr.</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Larkspur</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7800</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 Union Ave.,</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550</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Denver</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Sub-Leased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2/28/2026</w:t>
            </w:r>
          </w:p>
        </w:tc>
      </w:tr>
      <w:tr>
        <w:trPr>
          <w:trHeight w:val="216"/>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5982 s Zeno Ct</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Aurora</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5475</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Tech Center Drive</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#201-A</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Colorado Springs</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9/30/2024</w:t>
            </w:r>
          </w:p>
        </w:tc>
      </w:tr>
      <w:tr>
        <w:trPr>
          <w:trHeight w:val="198"/>
        </w:trPr>
        <w:tc>
          <w:tcPr>
            <w:tcW w:w="2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1145 Town Park Ave.,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2215</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Mary</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12,294/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2/29/2024</w:t>
            </w:r>
          </w:p>
        </w:tc>
      </w:tr>
      <w:tr>
        <w:trPr>
          <w:trHeight w:val="198"/>
        </w:trPr>
        <w:tc>
          <w:tcPr>
            <w:tcW w:w="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8191</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College Parkway,</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201</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Ft Myers</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8/21/2024</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2350</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Fruitville Rd Ste,</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 101</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Sarasota</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5,266/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3/14/2026</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921 Club House Blvd,</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Smyrna Beach,</w:t>
            </w:r>
          </w:p>
        </w:tc>
        <w:tc>
          <w:tcPr>
            <w:tcW w:w="1720" w:type="dxa"/>
            <w:vAlign w:val="bottom"/>
          </w:tcPr>
          <w:p>
            <w:pPr>
              <w:spacing w:after="0"/>
              <w:rPr>
                <w:sz w:val="20"/>
                <w:szCs w:val="20"/>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9123</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 Military Trail,</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#104B</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Palm Beach Gardens</w:t>
            </w:r>
          </w:p>
        </w:tc>
        <w:tc>
          <w:tcPr>
            <w:tcW w:w="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34"/>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970 Island Grove Drive</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Deland</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Mortgage Sales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bl>
    <w:p>
      <w:pPr>
        <w:spacing w:after="0" w:line="20" w:lineRule="exact"/>
        <w:rPr>
          <w:sz w:val="20"/>
          <w:szCs w:val="20"/>
          <w:color w:val="auto"/>
        </w:rPr>
      </w:pPr>
    </w:p>
    <w:p>
      <w:pPr>
        <w:sectPr>
          <w:pgSz w:w="11900" w:h="16923" w:orient="portrait"/>
          <w:cols w:equalWidth="0" w:num="1">
            <w:col w:w="11240"/>
          </w:cols>
          <w:pgMar w:left="320" w:top="684" w:right="3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10293 61st Ct N</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Pinellas Park</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5666 Seminole Blvd,</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106 &amp; 111</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Seminole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7/31/2024</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2033 Main Street, Suite</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407</w:t>
            </w:r>
          </w:p>
        </w:tc>
        <w:tc>
          <w:tcPr>
            <w:tcW w:w="1640" w:type="dxa"/>
            <w:vAlign w:val="bottom"/>
            <w:shd w:val="clear" w:color="auto" w:fill="CCEEFF"/>
          </w:tcPr>
          <w:p>
            <w:pPr>
              <w:spacing w:after="0"/>
              <w:rPr>
                <w:sz w:val="20"/>
                <w:szCs w:val="20"/>
                <w:color w:val="auto"/>
              </w:rPr>
            </w:pP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Sarasota</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10/31/2024</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265</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Marion Ave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Punta Gorda</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900</w:t>
            </w:r>
          </w:p>
        </w:tc>
        <w:tc>
          <w:tcPr>
            <w:tcW w:w="1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Cricle 75 Parkway,</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 175</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Atlanta</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6/30/2026</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6600 Peachtree</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Dunwoody Rd, Ste 135</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Atlanta</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3/31/2026</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4370 Kukui Grove St.,</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201</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Lihue</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2/28/2025</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Kamokila Blvd.</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Kapolei</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12/31/2025</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 Kinoole St. Suite 101,</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Hilo HI</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Hilo</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5/31/2024</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1885 Main Street #108</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Wailuku</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5/14/2024</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677</w:t>
            </w:r>
          </w:p>
        </w:tc>
        <w:tc>
          <w:tcPr>
            <w:tcW w:w="1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Ala Moana Blvd.</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609</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Honolulu</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1/31/2024</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970</w:t>
            </w:r>
          </w:p>
        </w:tc>
        <w:tc>
          <w:tcPr>
            <w:tcW w:w="1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 Kalaheo Ave,</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Kailua, Suite A307, HI</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96734</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Kailua</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5/31/2024</w:t>
            </w: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70 Kanoa Street Suite</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#140</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Wailuku</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Unknown</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216"/>
        </w:trPr>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315 Cece Way</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Mccall</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ID</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802</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Bartlett Road</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Bartlett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IL</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568</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Greenluster Dr.</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Covington</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 Boulder Drive,</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Elizabethtown</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KY</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8684 Veterans Hwy, Ste</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Millersville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MD</w:t>
            </w:r>
          </w:p>
        </w:tc>
        <w:tc>
          <w:tcPr>
            <w:tcW w:w="1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 mo</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860</w:t>
            </w:r>
          </w:p>
        </w:tc>
        <w:tc>
          <w:tcPr>
            <w:tcW w:w="1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Blue Gentian Road</w:t>
            </w: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205</w:t>
            </w:r>
          </w:p>
        </w:tc>
        <w:tc>
          <w:tcPr>
            <w:tcW w:w="1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Eagan</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w:t>
            </w:r>
          </w:p>
        </w:tc>
        <w:tc>
          <w:tcPr>
            <w:tcW w:w="1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Sales</w:t>
            </w:r>
          </w:p>
        </w:tc>
        <w:tc>
          <w:tcPr>
            <w:tcW w:w="1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Leased</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mo</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 to month</w:t>
            </w:r>
          </w:p>
        </w:tc>
      </w:tr>
      <w:tr>
        <w:trPr>
          <w:trHeight w:val="439"/>
        </w:trPr>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Approximate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Owned /</w:t>
            </w:r>
          </w:p>
        </w:tc>
        <w:tc>
          <w:tcPr>
            <w:tcW w:w="140" w:type="dxa"/>
            <w:vAlign w:val="bottom"/>
          </w:tcPr>
          <w:p>
            <w:pPr>
              <w:spacing w:after="0"/>
              <w:rPr>
                <w:sz w:val="18"/>
                <w:szCs w:val="18"/>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Square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Lease</w:t>
            </w:r>
          </w:p>
        </w:tc>
        <w:tc>
          <w:tcPr>
            <w:tcW w:w="11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Street</w:t>
            </w:r>
          </w:p>
        </w:tc>
        <w:tc>
          <w:tcPr>
            <w:tcW w:w="120" w:type="dxa"/>
            <w:vAlign w:val="bottom"/>
          </w:tcPr>
          <w:p>
            <w:pPr>
              <w:spacing w:after="0"/>
              <w:rPr>
                <w:sz w:val="20"/>
                <w:szCs w:val="20"/>
                <w:color w:val="auto"/>
              </w:rPr>
            </w:pPr>
          </w:p>
        </w:tc>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City</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Function</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14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Footage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Amount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Expiration</w:t>
            </w:r>
          </w:p>
        </w:tc>
      </w:tr>
      <w:tr>
        <w:trPr>
          <w:trHeight w:val="209"/>
        </w:trPr>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4987</w:t>
            </w:r>
          </w:p>
        </w:tc>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Fall Creek Rd. Suite 1</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Branson</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mo</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4700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Homewood Ct #260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Raleigh</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5,353/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2/28/2025</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110 North Center Street, Suite 203</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Hickory</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NC</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5/14/2024</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Ayrsley Town Blvd, Suite 247</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Charlotte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1980</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Festival Plaza Dr., Suite 850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Las Vegas</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46,446/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840</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Pinnacle Ct., Suite 3</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Mesquite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3/12/2022</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2635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St. Rose Pkwy, Suites D 100, 110, 120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Hendeson</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12,649/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9/30/2025</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Postal Drive, Suite 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Pahrump</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6"/>
              </w:rPr>
              <w:t>Sub-Leased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2546</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Findlater</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Henderson</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670</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Meridian Way, Suite 146</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Westerville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10365 SE Sunnyside Rd., Suite 310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Clackamus</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2,899/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11592 SW Roundup Place</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Terrebonne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Ave</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Tillamook</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Alf Taylor Rd.</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Johnson City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6"/>
              </w:rPr>
              <w:t>Sub-Leased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4646</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Poplar Avenue, #317</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Memphis</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TN</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3/31/2024</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115 W. New Street</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Kingsport</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11550 Fuqua, Suite 200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Houston</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4/30/2024</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17347 Village Green Dr., Suite 102</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Houston</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6"/>
              </w:rPr>
              <w:t>Sub-Leased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12/1/2024</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9737</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 Hills Trail, Suites 150, 200, 220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Austin</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19,891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40,196/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1213</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Alton Gloor Blvd., Suite H</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Brownsville</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2/28/2024</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5020</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Collinwood Ave., Suite 100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Fort Worth</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1/31/2025</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Kiowa Dr. West</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Lake Kiowa</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23227 Red River Drive</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Katy</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5707</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Cold Springs Drive</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 Antonio</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4500</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1-40 West, Suite B</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Amarillo</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30417 Fifth Street Suite B</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Fulshear</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4908</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Midkiff Road</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Midland</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462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 Cities Boulevard</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Hurst</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198"/>
        </w:trPr>
        <w:tc>
          <w:tcPr>
            <w:tcW w:w="3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18525 West Lake Houston Parkway, Suite</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Humble</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9/30/2025</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2600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Shore Boulevard, Suite 300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League City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4/24/2024</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Decker Court Suite 310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Irving</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4/24/2024</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1600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Travino, Suite A-1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 Paso</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23702 IH-10 West, Suite 105-D</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 Antonio</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1777</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 Loop 410, Suite 600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 Antonio</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299</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Columbia,</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Stephenville</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18756 Stone Oak Parkway Ste 200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 Antonio</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Central Expressway Ste 428</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Dallas</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602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Main St</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Weatherford</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5757</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Flewellen Oaks Ln #104</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Fulshear</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Sego Lily Dr., Suite 126</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Sandy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6,933/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1/31/2027</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497</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Main</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Ephraim</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4/30/2025</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11240 S. River Heights Dr.</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Jordan</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8,458/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Village Blvd.</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Stansbury Park</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10/31/2024</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1350</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300 S. 3rd Floor</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Lehi</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38,396/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12/22/2026</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2455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Parleys Way, Suites 120 &amp; 150</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Salt Lake City</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8,962/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7/31/2030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859</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South Jordan Pkwy, Suite 101,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Jordan</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5/30/2025</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768</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1600 W., Suite B</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Mapleton</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 ( ) 998 N 1200 W, Suite 104 Orem</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Orem</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5,648/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21430 Cedar Dr., Suite 200-202</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Sterling</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16,360/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3/9/2024</w:t>
            </w: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15650 NE Fourth Blvd Ste 101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Vancouver</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11/30/2024</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1508</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24th Ave., Suite 23</w:t>
            </w:r>
          </w:p>
        </w:tc>
        <w:tc>
          <w:tcPr>
            <w:tcW w:w="1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Kenosha</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r>
        <w:trPr>
          <w:trHeight w:val="234"/>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27903 99th St.</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Trevor</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Sales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Leased</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 mo</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month to month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two properties were sold during the first quarter of 2024.</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property is currently listed for sale and under contract.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office facilities it occupies are in good operating condition and adequate for current operations. The Company plans to enter into additional leases or modify existing leases based on its assessments of market demand. Those leases are expected to be month to month where possible. As leases expire, the Company plans to either renew or find comparable leases or acquire additional office space.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082"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and acreage of the seven Company owned cemeteries, each of which includes one or more mausoleums. The acreage represents estimates of acres that are based upon survey reports, title reports, appraisal reports, or the Company’s inspection of the cemeteries. The Company estimates that there are approximately 1,200 spaces per developed acre.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color w:val="auto"/>
              </w:rPr>
              <w:t>Net Saleable Acreage</w:t>
            </w:r>
          </w:p>
        </w:tc>
      </w:tr>
      <w:tr>
        <w:trPr>
          <w:trHeight w:val="191"/>
        </w:trPr>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Acres</w:t>
            </w: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Sold as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Cemetery</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Date</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Developed</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Spaces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Available</w:t>
            </w:r>
          </w:p>
        </w:tc>
      </w:tr>
      <w:tr>
        <w:trPr>
          <w:trHeight w:val="234"/>
        </w:trPr>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Name of Cemetery</w:t>
            </w:r>
          </w:p>
        </w:tc>
        <w:tc>
          <w:tcPr>
            <w:tcW w:w="36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Location</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Acquired</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Acreage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Acreage</w:t>
            </w:r>
          </w:p>
        </w:tc>
        <w:tc>
          <w:tcPr>
            <w:tcW w:w="11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Acreage</w:t>
            </w:r>
          </w:p>
        </w:tc>
      </w:tr>
      <w:tr>
        <w:trPr>
          <w:trHeight w:val="191"/>
        </w:trPr>
        <w:tc>
          <w:tcPr>
            <w:tcW w:w="2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Estates, Inc.</w:t>
            </w:r>
          </w:p>
        </w:tc>
        <w:tc>
          <w:tcPr>
            <w:tcW w:w="20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1640 East Lakeview Drive</w:t>
            </w: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Cemetery</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Bountiful, Utah</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1973</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3115 East 7800 South</w:t>
            </w: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 Cemetery</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Salt Lake City, Utah</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1973</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6500 South Redwood Road</w:t>
            </w: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Cemetery</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1973</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 Inc.</w:t>
            </w:r>
          </w:p>
        </w:tc>
        <w:tc>
          <w:tcPr>
            <w:tcW w:w="3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10055 South State Street</w:t>
            </w: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Hills Cemetery</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Sandy, Utah</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1991</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Holladay Memorial Park,</w:t>
            </w:r>
          </w:p>
        </w:tc>
        <w:tc>
          <w:tcPr>
            <w:tcW w:w="3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4900 South Memory Lane</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Memorial Park</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Utah</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1991</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California Memorial Estates,</w:t>
            </w:r>
          </w:p>
        </w:tc>
        <w:tc>
          <w:tcPr>
            <w:tcW w:w="3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2800 Dehesa Road</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Singing Hills Memorial Park</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 Cajon, California</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1995</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(2)</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Cemetery LLC</w:t>
            </w:r>
          </w:p>
        </w:tc>
        <w:tc>
          <w:tcPr>
            <w:tcW w:w="3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417 Rodeo Rd</w:t>
            </w: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Memorial Gardens</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New Mexico</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 (3)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reserved and occupied spaces.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open easement with a total acreage of approximately 62 acres.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five main columbariums that can hold approximately 6,000 inurnments.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square footage and the number of viewing rooms and chapels of the twelve Company owned mortuaries: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Date</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Viewing</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Square</w:t>
            </w:r>
          </w:p>
        </w:tc>
      </w:tr>
      <w:tr>
        <w:trPr>
          <w:trHeight w:val="243"/>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Name of Mortuary</w:t>
            </w:r>
          </w:p>
        </w:tc>
        <w:tc>
          <w:tcPr>
            <w:tcW w:w="42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Acquired</w:t>
            </w: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Chapel(s)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Footage</w:t>
            </w:r>
          </w:p>
        </w:tc>
      </w:tr>
      <w:tr>
        <w:trPr>
          <w:trHeight w:val="191"/>
        </w:trPr>
        <w:tc>
          <w:tcPr>
            <w:tcW w:w="2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Mortuary, Inc.</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5850</w:t>
            </w:r>
          </w:p>
        </w:tc>
        <w:tc>
          <w:tcPr>
            <w:tcW w:w="1340" w:type="dxa"/>
            <w:vAlign w:val="bottom"/>
            <w:tcBorders>
              <w:top w:val="single" w:sz="8" w:color="auto"/>
            </w:tcBorders>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South   900</w:t>
            </w:r>
          </w:p>
        </w:tc>
        <w:tc>
          <w:tcPr>
            <w:tcW w:w="4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East,</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Mortuary</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Murray, Utah</w:t>
            </w: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1973</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Affordable Funerals and</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157 East Riverside Dr., No.</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Cremations, St. George</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3A, St. George, Utah</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6500</w:t>
            </w:r>
          </w:p>
        </w:tc>
        <w:tc>
          <w:tcPr>
            <w:tcW w:w="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South</w:t>
            </w: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Redwood</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Rd.,</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1973</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3115 East 7800 South, Salt</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City, Utah</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1973</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1640</w:t>
            </w:r>
          </w:p>
        </w:tc>
        <w:tc>
          <w:tcPr>
            <w:tcW w:w="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East</w:t>
            </w: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Lakeview</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Dr.,</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Mortuary (1)</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Bountiful, Utah</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1973</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 Inc.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10055 South State St., Sandy,</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Lakehills Mortuary (1)</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Cottonwood Mortuary, Inc.</w:t>
            </w:r>
          </w:p>
        </w:tc>
        <w:tc>
          <w:tcPr>
            <w:tcW w:w="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4670</w:t>
            </w:r>
          </w:p>
        </w:tc>
        <w:tc>
          <w:tcPr>
            <w:tcW w:w="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South</w:t>
            </w:r>
          </w:p>
        </w:tc>
        <w:tc>
          <w:tcPr>
            <w:tcW w:w="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Highland</w:t>
            </w:r>
          </w:p>
        </w:tc>
        <w:tc>
          <w:tcPr>
            <w:tcW w:w="2340" w:type="dxa"/>
            <w:vAlign w:val="bottom"/>
            <w:gridSpan w:val="4"/>
            <w:shd w:val="clear" w:color="auto" w:fill="CCEEFF"/>
          </w:tcPr>
          <w:p>
            <w:pPr>
              <w:jc w:val="right"/>
              <w:ind w:right="1960"/>
              <w:spacing w:after="0" w:line="198" w:lineRule="exact"/>
              <w:rPr>
                <w:sz w:val="20"/>
                <w:szCs w:val="20"/>
                <w:color w:val="auto"/>
              </w:rPr>
            </w:pPr>
            <w:r>
              <w:rPr>
                <w:rFonts w:ascii="Times New Roman" w:cs="Times New Roman" w:eastAsia="Times New Roman" w:hAnsi="Times New Roman"/>
                <w:sz w:val="18"/>
                <w:szCs w:val="18"/>
                <w:color w:val="auto"/>
              </w:rPr>
              <w:t>Dr.,</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Cottonwood Mortuary</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Utah</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Probst LLC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288 North Main St., Heber</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Heber Valley Funeral Home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Utah</w:t>
            </w: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2019</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Holbrook LLC</w:t>
            </w:r>
          </w:p>
        </w:tc>
        <w:tc>
          <w:tcPr>
            <w:tcW w:w="410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3251 S 2300 E, Millcreek,</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Milcreek Funeral Home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Mortuary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417  Rodeo  RD,  Santa  Fe,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(1)</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SNR-Espanola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305 Calle Salazar, Española,</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Española</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Mexico</w:t>
            </w:r>
          </w:p>
        </w:tc>
        <w:tc>
          <w:tcPr>
            <w:tcW w:w="7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SNR-Taos LLC</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4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818 Paseo Del Pueblo Sur,</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Taos</w:t>
            </w: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Taos, New Mexico</w:t>
            </w:r>
          </w:p>
        </w:tc>
        <w:tc>
          <w:tcPr>
            <w:tcW w:w="2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120" w:hanging="5370"/>
        <w:spacing w:after="0" w:line="409" w:lineRule="auto"/>
        <w:tabs>
          <w:tab w:leader="none" w:pos="66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funeral homes also provide burial niches at their respective locations.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Stock, Related Stockholder Matters, and 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Class A common stock trades on The Nasdaq Global Select Market under the symbol “SNFCA.” As of March 26, 2024, the closing stock price of the Class A common stock was $7.62 per share. As of March 26, 2024, there were 1,747 registered stockholders of record of the Company’s Class A common stock and 42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high and low market closing stock prices for the Class A common stock by quarter as reported by NASDAQ since January 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Price Range (1)</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w:t>
            </w:r>
          </w:p>
        </w:tc>
      </w:tr>
      <w:tr>
        <w:trPr>
          <w:trHeight w:val="22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 (Calendar Year)</w:t>
            </w:r>
          </w:p>
        </w:tc>
        <w:tc>
          <w:tcPr>
            <w:tcW w:w="1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10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 (through March 26, 2024)</w:t>
            </w: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Stock prices have been adjusted retroactively for the effect of annual stock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C common stock is not registered or traded on a national exchange. See Note 12 of the Notes to Consolidated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never paid a cash dividend on its Class A or Class C common stock. The Company currently anticipates that all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The Company paid a 5% stock dividend on Class A and Class C common stock each year from 1990 through 2019, a 7.5% stock dividend for the year 2020, and a 5.0% stock dividend for the years 2021 through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2022, the Company executed a 10b5-1 agreement with a broker to repurchase shares of the Company’s Class A Common Stock. Under the terms of the agreement, the broker is permitted to repurchase up to 1,000,000 shares of the Company’s Class A Common Stock. The agreement is subject to the daily time, price, and volume conditions of Rule 10b-18. The agreement expired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repurchase activity of its common stock during the three-month period ended December 31, 2023 under the 10b5-1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 Total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Number of Class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Class</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 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 Shares that</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 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(b) 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Purchased as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 Class 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Price Paid per</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Part of Publicly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Class A Share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Announced Plan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34"/>
        </w:trPr>
        <w:tc>
          <w:tcPr>
            <w:tcW w:w="5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or Program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 Program (2)</w:t>
            </w:r>
          </w:p>
        </w:tc>
      </w:tr>
      <w:tr>
        <w:trPr>
          <w:trHeight w:val="210"/>
        </w:trPr>
        <w:tc>
          <w:tcPr>
            <w:tcW w:w="49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10/1/2023-10/31/2023</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11/1/2023-11/30/2023</w:t>
            </w:r>
          </w:p>
        </w:tc>
        <w:tc>
          <w:tcPr>
            <w:tcW w:w="240" w:type="dxa"/>
            <w:vAlign w:val="bottom"/>
          </w:tcPr>
          <w:p>
            <w:pPr>
              <w:spacing w:after="0"/>
              <w:rPr>
                <w:sz w:val="18"/>
                <w:szCs w:val="18"/>
                <w:color w:val="auto"/>
              </w:rPr>
            </w:pP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318,043</w:t>
            </w: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12/1/2023-12/31/2023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318,043</w:t>
            </w:r>
          </w:p>
        </w:tc>
      </w:tr>
      <w:tr>
        <w:trPr>
          <w:trHeight w:val="243"/>
        </w:trPr>
        <w:tc>
          <w:tcPr>
            <w:tcW w:w="49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2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2019 through December 31, 2023. The graph assumes that the value of the investment in the Company’s Class A common stock and in each of the indexes was $100 as of December 31, 2019 and that all dividends were reinvested.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114300</wp:posOffset>
            </wp:positionV>
            <wp:extent cx="4526280" cy="304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2628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3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12/31/19</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12/31/20</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12/31/21</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12/31/22</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12/31/23</w:t>
            </w:r>
          </w:p>
        </w:tc>
        <w:tc>
          <w:tcPr>
            <w:tcW w:w="80" w:type="dxa"/>
            <w:vAlign w:val="bottom"/>
            <w:tcBorders>
              <w:bottom w:val="single" w:sz="8" w:color="CCEEFF"/>
            </w:tcBorders>
          </w:tcPr>
          <w:p>
            <w:pPr>
              <w:spacing w:after="0"/>
              <w:rPr>
                <w:sz w:val="20"/>
                <w:szCs w:val="20"/>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SNFC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 &amp; P 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&amp; P Insurance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insurance operations for 2023 and 2022.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9"/>
          </w:tcPr>
          <w:p>
            <w:pPr>
              <w:jc w:val="center"/>
              <w:ind w:right="370"/>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center"/>
              <w:ind w:left="75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2023 vs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114,658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105,002</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62,565</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1,932</w:t>
            </w:r>
          </w:p>
        </w:tc>
        <w:tc>
          <w:tcPr>
            <w:tcW w:w="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8,203</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6,601</w:t>
            </w:r>
          </w:p>
        </w:tc>
        <w:tc>
          <w:tcPr>
            <w:tcW w:w="2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25,272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14,196</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Profitability for 2023 increased due to (a) a $9,656,000 increase in insurance premiums and other considerations, (b) a $5,247,000 increase in net investment income, (c) a $1,602,000 increase in intersegment revenue, (d) a $1,422,000 increase in gains on investments and other assets primarily due to an increase in the fair value of equity securities, and (e) a $987,000 decrease in selling, general and administrative expenses, which were partially offset by</w:t>
      </w:r>
    </w:p>
    <w:p>
      <w:pPr>
        <w:spacing w:after="0" w:line="1" w:lineRule="exact"/>
        <w:rPr>
          <w:sz w:val="20"/>
          <w:szCs w:val="20"/>
          <w:color w:val="auto"/>
        </w:rPr>
      </w:pPr>
    </w:p>
    <w:p>
      <w:pPr>
        <w:jc w:val="both"/>
        <w:ind w:firstLine="8"/>
        <w:spacing w:after="0" w:line="253"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$5,150,000 increase in future policy benefits, (ii) a $1,936,000 increase in death, surrenders and other policy benefits, (iii) a $266,000 decrease in other revenues, (iv) a $176,000 increase in intersegment interest expense and other expenses, (v) a $133,000 increase in amortization of deferred policy acquisition costs primarily due to an increase in the average outstanding balance of deferred policy and pre-need acquisition costs, (vi) a $111,000 increase in interest expense, and (vii) a $66,000 decrease in mortgage fee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cemetery and mortuary operations for 2023 and 2022.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center"/>
              <w:ind w:left="75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2023 vs 2022</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15,189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13,871</w:t>
            </w:r>
          </w:p>
        </w:tc>
        <w:tc>
          <w:tcPr>
            <w:tcW w:w="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13,123</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2,445</w:t>
            </w:r>
          </w:p>
        </w:tc>
        <w:tc>
          <w:tcPr>
            <w:tcW w:w="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8,445</w:t>
            </w: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6,094</w:t>
            </w:r>
          </w:p>
        </w:tc>
        <w:tc>
          <w:tcPr>
            <w:tcW w:w="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Profitability in 2023 increased due to (a) a $2,196,000 increase in cemetery pre-need sales, (b) a $1,513,000 increase in gains on investments and other assets (primarily attributable to an increase in the fair value of equity securities classified as restricted assets and cemetery perpetual care trust investments),</w:t>
      </w:r>
    </w:p>
    <w:p>
      <w:pPr>
        <w:jc w:val="both"/>
        <w:ind w:firstLine="8"/>
        <w:spacing w:after="0" w:line="253"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$507,000 increase in net investment income, (d) a $99,000 increase in other revenues, (e) a $59,000 decrease in amortization of deferred policy acquisition costs, and (f) a $44,000 decrease in intersegment interest expense and other expenses, which were partially offset by (i) a $878,000 decrease in cemetery at-need sales, (ii) a $546,000 increase in selling, general and administrative expenses, (iii) a $447,000 decrease in mortuary at-need sales, (iv) a $111,000 decrease in intersegment revenues, and (v) a $85,000 increase in costs of goods sold.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SecurityNational Mortgage are funded through loan purchase agreements with Security National Life, Kilpatrick Life and unaffiliated financial institutions.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MSRs on approximately 4% of its loan origination volume. These mortgage loans are serviced by either SecurityNational Mortgage or an approved third-party sub-servicer. On October 31, 2022, the Company sold certain of its MSRs. The MSRs related to mortgage loans previously originated by the Company in aggregate unpaid principal amount of approximately $7.02 billion. As a result of the sale, the book value of the Company’s MSRs decreased $51,185,906.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higher-than-expected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and 2022, SecurityNational Mortgage originated 7,185 loans ($2,173,081,000 total volume) and 10,663 loans ($3,373,554,000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mortgage operations for 2023 and 2022. See Note 15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center"/>
              <w:ind w:left="75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2023 vs 2022</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68,428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153,728</w:t>
            </w:r>
          </w:p>
        </w:tc>
        <w:tc>
          <w:tcPr>
            <w:tcW w:w="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32,772</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(8,835)</w:t>
            </w:r>
          </w:p>
        </w:tc>
        <w:tc>
          <w:tcPr>
            <w:tcW w:w="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(4,309)</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1,188</w:t>
            </w:r>
          </w:p>
        </w:tc>
        <w:tc>
          <w:tcPr>
            <w:tcW w:w="6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16,580</w:t>
            </w:r>
          </w:p>
        </w:tc>
        <w:tc>
          <w:tcPr>
            <w:tcW w:w="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(17,416</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14,088</w:t>
            </w:r>
          </w:p>
        </w:tc>
        <w:tc>
          <w:tcPr>
            <w:tcW w:w="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in other revenues is service fee income. Profitability in 2023 decreased due to (a) an $85,300,000 decrease in secondary gains from investors, (b) a $15,004,000 decrease in other revenues due to the sale of certain MSRs in October 2022, (c) a $1,535,000 increase in intersegment interest expense and other expenses, (d) a $1,527,000 decrease in income from loan originations, and (e) a $241,000 decrease in gains on investments and other assets, which were partially offset by (i) a $23,662,000 decrease in commissions, (ii) a $17,871,000 decrease in personnel expenses, (iii) a $13,180,000 decrease in other expenses, (iv) an $8,356,000 increase in the fair value of loans held for sale, (v) a $3,185,000 increase in the fair value of loan commitments, (vi) a $3,077,000 decrease in interest expense, (vii) a $1,100,000 decrease in costs related to funding mortgage loans, (viii) a $1,011,000 decrease in advertising expenses, (ix) a $392,000 increase in net investment income, (x) a $175,000 increase in intersegment revenues, (xi) a $42,000 decrease in depreciation on property and equipment, and (xii) a $52,000 decrease in rent and rent related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significant accounting policies and a review of the Company’s most critical accounting estimates. See Note 1 of the 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receives investment income earned from the funds deposited into account balances, a portion of which is passed through to the policyholders in the form of interest credited. Interest credited to policyholder account balances and benefit claims more than policyholder account balances are reported as expenses in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related to acquiring new business, including certain costs of issuing policies and other variable selling expenses (principally commissions), defined as deferred policy acquisition costs, are capitalized, and amortized into expenses. 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can mitigate adverse experiences through sound underwriting, asset and liability duration matching, sound actuarial practices, adjustments to credited interest rates, policyholder dividends and cost of insurance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Cemetery and Mortuary Operations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funeral services and caskets, including revenue and costs associated with the sales of pre-need funeral services and caskets, are deferred until the services are performed or the caskets are delivered.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company obligations remaining.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The Company has elected to use fair value accounting for all mortgage loans that are held for sale. Accordingly, all revenues and costs are now recognized when the mortgage loan is funded and any changes in fair value are shown as a component of mortgage fee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repurchasing under certain events, which include the following:</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Determining fair value</w:t>
      </w:r>
      <w:r>
        <w:rPr>
          <w:rFonts w:ascii="Times New Roman" w:cs="Times New Roman" w:eastAsia="Times New Roman" w:hAnsi="Times New Roman"/>
          <w:sz w:val="18"/>
          <w:szCs w:val="18"/>
          <w:color w:val="auto"/>
        </w:rPr>
        <w:t>. The cost for loans held for sale is equal to the amount paid to the warehouse bank and the amount originally funded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Market value, while often difficult to determine and may contain significant unobservable inputs, is based on the following guidelines:</w:t>
      </w:r>
    </w:p>
    <w:p>
      <w:pPr>
        <w:spacing w:after="0" w:line="207"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market value for the similar product.</w:t>
      </w:r>
    </w:p>
    <w:p>
      <w:pPr>
        <w:jc w:val="both"/>
        <w:ind w:left="1300" w:hanging="320"/>
        <w:spacing w:after="0" w:line="255"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 Most loans originated are sold to third-party investors. The amounts expected to be sold to investors are shown on the consolidated balance sheets as loans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Commitments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mortgage loan commitment based on the change in estimated fair value of the underlying mortgage loan, quoted mortgage-backed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Deferred Acquisition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deferred policy acquisition costs (“DAC”)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Value of Business Acquired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like deferred acquisition costs. The critical issues explained for deferred acquisition costs would also apply for value of business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Foreclosed to Real Estate Held for Investment or Sale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 properties and property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Policy Benefits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Unearned Premium Reserve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apply to unearned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Premium Deficiency and Loss Recognition Testing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after-tax net investment earned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Pre-need Cemetery and Funeral Contracts Revenues and Estimated Future Cost of Pre-need Sales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and cost associated with the sales of pre-need cemetery merchandise and funeral services are deferred until the merchandise is delivered or the service is performed.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Allowance for Credit Losses and Loan Loss Reserve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credit losses (a contra-asset account) and through the mortgage loan loss reserve (a liability account).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mortgage allowance for credit losses is a valuation account that is deducted from the amortized cost basis of the Company’s mortgage loans held for investment to present the net amount expected to be collected.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 Assets and Liabilities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Consolidated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$71,155,000, or 18.3%, to $318,497,000 for 2023 from $389,652,000 for 2022. Contributing to this decrease in total revenues was primarily a $75,352,000 decrease in mortgage fee income and a $15,171,000 decrease in other revenues. This decrease in total revenues was offset by a $9,657,000 increase in insurance premiums and other considerations, a $6,145,000 increase in net investment income, a $2,695,000 increase in gains on investments and other assets, and an $871,000 increase in net cemetery and mortuary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$75,352,000, or 43.4%, to $98,148,000 for 2023, from $173,500,000 for 2022. This decrease was primarily due to an $85,366,000 decrease in secondary gains from mortgage loans sold to third-party investors into the secondary market, and a $2,579,000 decrease in loan fees and interest income. This decrease in mortgage fee income was partially offset by a $11,541,000 increase in the fair value of loans held for sale and loan commitments and a $1,052,000 decrease in the provision for loan loss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$9,657,000, or 9.2%, to $114,658,000 for 2023, from $105,002,000 for 2022. This increase was due to an increase of $9,238,000 in first year premiums because of increased preneed insurance sales and an increase of $419,000 in renewal premiums due to the growth of the Company in recent years, particularly in whole life products, which resulted in more premium paying policies in force.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$6,145,000, or 9.3%, to $72,343,000 for 2023, from $66,198,000 for 2022. This increase was primarily attributable to a $4,476,000 increase in fixed maturity securities income, a $2,583,000 increase in interest on cash and cash equivalents, a $477,000 decrease in investment expenses, a $223,000 increase in rental income from real estate held for investment, a $106,000 increase in equity securities income, a $99,000 increase in income in other investments, and a $5,000 increase in insurance assignment income. This increase was partially offset by a $1,708,000 decrease in mortgage loan interest and a $116,000 decrease in policy loan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$871,000, or 3.2%, to $27,865,000 for 2023, from $26,994,000 for 2022. This increase was primarily due to a $2,196,000 increase in cemetery pre-need sales. This increase was partially offset by a $878,000 decrease in cemetery at-need sales and a $447,000 decrease in mortuary at-need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increased by $2,695,000, or 314.3%, to $1,837,000 in gains for 2023, from $858,000 in losses for 2022. This increase in gains on investments and other assets was primarily due to a $4,157,000 increase in gains on equity securities mostly attributable to increases in the fair value of these equity securities. This increase was partially offset by a $527,000 decrease in gains on fixed maturity securities, a $485,000 decrease in gains on other assets, and a $450,000 decrease in gains on real estate held for investment.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decreased by $15,171,000, or 80.6%, to $3,646,000 for 2023 from $18,817,000 for 2022. This decrease was primarily attributable to a decrease in servicing fee revenue because of the sale of certain mortgage servicing rights in October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and expenses were $302,197,000, or 94.9% of total revenues for 2023, as compared to $355,275,000, or 91.2% of total revenues for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$7,086,000, or 7.6%, to $100,012,000 for 2023, from $92,926,000 for 2022. This increase was primarily the result of a $5,150,000 increase in future policy benefits and a $2,012,000 increase in death benefits. This increase was partially offset by a $76,000 decrease in surrender and other policy benefits.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$74,000, or 0.4%, to $18,024,000 for 2023, from $17,950,000 for 2022.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an aggregate of $57,358,000, or 24.7%, to $174,490,000 for 2023, from $231,848,000 for 2022. This decrease was primarily the result of a $23,391,000 decrease in commissions, a $16,970,000 decrease in personnel expenses, a $13,739,000 decrease in other expenses, a $1,987,000 decrease in advertising expenses, a $1,100,000 decrease in costs related to funding mortgage loans, a $145,000 decrease in depreciation on property and equipment, and a $26,000 decrease in rent and rent related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$2,965,000, or 37.9%, to $4,865,000 for 2023, from $7,830,000 for 2022. This decrease was primarily due to a decrease of $3,077,000 in interest expense on mortgage warehouse lines of credit for loans held for sale, which was partially offset by a $112,000 increase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 of the cemeteries and mortuaries increased by $85,000, or 1.8%, to $4,806,000 for 2023, from $4,721,000 for 2022. This increase was primarily due to a $218,000 increase in cemetery at-need sales and a $40,000 increase in cemetery pre-need sales, which was partially offset by a $173,000 decrease in mortuary at-need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decreased by $6,881,000, or 79.2%, to $1,805,000 for 2023, from $8,687,000 for 2022. This decrease was primarily due to a decrease in earnings before income taxes for 2023 compared to 2022. The Company’s overall effective tax rate decreased from 25.3% for 2022 to 11.1% in 2023, a 14.2% decrease in the effective tax rate or a 56.1%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material risks facing the Company and how it mitigates those risks: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Legal and Regulatory Risks</w:t>
      </w:r>
      <w:r>
        <w:rPr>
          <w:rFonts w:ascii="Times New Roman" w:cs="Times New Roman" w:eastAsia="Times New Roman" w:hAnsi="Times New Roman"/>
          <w:sz w:val="18"/>
          <w:szCs w:val="18"/>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aims to mitigate these risks by offering a wide range of products and by diversifying its operations, thus reducing its exposure to any single product or jurisdiction, and also by employing underwriting practices that identify and minimize the adverse impact of such risks.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Mortgage Industry Risks</w:t>
      </w:r>
      <w:r>
        <w:rPr>
          <w:rFonts w:ascii="Times New Roman" w:cs="Times New Roman" w:eastAsia="Times New Roman" w:hAnsi="Times New Roman"/>
          <w:sz w:val="18"/>
          <w:szCs w:val="18"/>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loan loss reserve is an estimate of probable losses at the balance sheet date that the Company could realize in the future on mortgage loans sold to third-party investors. The Company’s mortgage subsidiary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and 2022 the Company decreased its loan loss reserve by $1,178,000 and increased its loan loss reserve by $1,079,000, respectively, for loan originations, and the charges have been included in mortgage fee income. The estimated liability for indemnification losses is included in other liabilities and accrued expenses and, as of December 31, 2023 and 2022, the balances were $547,000 and $1,726,000, respectively. The Company believes the loan loss reserve represents probable loan losses incurred as of December 31, 2023. There is a risk, however, that future loan losses may exceed the loan loss reserve.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Company’s mortgage loans held for investment portfolio consisted of mortgage loans in an aggregate principal amount of $6,149,000 with delinquencies exceeding 90 days. Of this amount, loans with an aggregate principal amount of $2,263,000 were in foreclosure proceedings. The Company has not received or recognized any interest income on the $6,149,000 in mortgage loans with delinquencies exceeding 90 days. During 2023 and 2022, the Company increased its allowance for credit losses by $1,184,000 and by $270,000, respectively, which was charged to bad debt expense and included in selling, general and administrative expenses for the period. The Company also increased its allowance for credit losses by $665,000 at the beginning of 2023 due to the adoption of the new accounting standard (Refer to Note 1 of the Notes to the Consolidated Financial Statements). The allowances for credit losses on the Company’s mortgage loans held for investment portfolio as of December 31, 2023 and 2022 were $3,819,000 and $1,970,000, respectively.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Interest Rate Risk</w:t>
      </w:r>
      <w:r>
        <w:rPr>
          <w:rFonts w:ascii="Times New Roman" w:cs="Times New Roman" w:eastAsia="Times New Roman" w:hAnsi="Times New Roman"/>
          <w:sz w:val="18"/>
          <w:szCs w:val="18"/>
          <w:color w:val="auto"/>
        </w:rPr>
        <w:t>. Fluctuations in interest rates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aims to mitigate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Mortality and Morbidity Risks</w:t>
      </w:r>
      <w:r>
        <w:rPr>
          <w:rFonts w:ascii="Times New Roman" w:cs="Times New Roman" w:eastAsia="Times New Roman" w:hAnsi="Times New Roman"/>
          <w:sz w:val="18"/>
          <w:szCs w:val="18"/>
          <w:color w:val="auto"/>
        </w:rPr>
        <w:t>. The Company’s actuarial assumptions differing from actual mortality and morbidity experienced may mean that the Company’s relevant products sold were underpriced, may require the Company to liquidate insurance or other claims earlier than planned, and have other potentially adverse consequences to the business. The Company aims to minimize this risk through sound underwriting practices, asset and liability duration matching, and sound actuarial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Banking Environment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the value of loans held for sale;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on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Company’s subsidiary SecurityNational Mortgage was not in compliance with the net income covenants under its warehouse lines of credit and its operating cash flow covenant for its standby letter of credit with its primary bank. SecurityNational Mortgage has received or is in the process of receiving waivers from the warehouse banks. In the unlikely event SecurityNational Mortgage is required to repay the outstanding advances of approximately $7,732,000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and 2022, the Company’s operations provided cash of $54,008,000 and of $130,450,000, respectively. The decrease in cash provided by operations was due primarily to decreased proceeds from the sale of loans held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The warehoused mortgage loans are typically held for sale on a short-term basis before selling the loans to investors in accordance with the requirements and laws governing the Company’s life insurance subsidiaries. Bonds owned by the insurance subsidiaries amounted to $362,663,000 (at estimated fair value) and $345,598,000 (at estimated fair value) as of December 31, 2023 and 2022, respectively. This represented 38.7% and 36.4% of the total investments of the Company as of December 31, 2023, and 2022, respectively. Generally, all bonds owned by the life insurance subsidiaries are rated by the National Association of Insurance Commissioners. Under this rating system, there are six categories used for rating bonds. As of December 31, 2023, 1.8% (or $6,954,000) and as of December 31, 2022, 2.2% (or $7,833,000) of the insurance subsidiaries’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Consolidated Financial Statements for a description of the Company’s sources of liquidity.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market conditions were to cause interest rates to change, the fair value of the Company’s fixed income portfolio (of approximately $657,153,000), which includes bonds, preferred stocks and mortgage loans held for investment, could change by the following amounts based on the respective basis point swing (the change in the fair values were calculated using a modeling technique):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-200 bps</w:t>
            </w: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bps</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bps</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+200 bps</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December 31, 2023 and 2022,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and bank loans and other loans payable was $418,450,000 as of December 31, 2023, as compared to $454,499,000 as of December 31, 2022. This decrease was primarily due to a decrease of $56,158,000 in bank loans and other loans payable which was partially offset by a $20,108,000 increase in stockholders’ equity. Stockholders’ equity as a percent of total capitalization was 74.8% and 64.4% as of December 31, 2023 and 2022,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was 4.4% for 2023 as compared to a rate of 4.3% for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$107,385,000 and $94,254,000 as of December 31, 2023 and 2022,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together with related data and projections, about the Company’s projected financial results and its plans and strategies. However, the actual results and needs of the Company may vary materially from forward-looking statements and projections made from time to time by the Company based on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December 31, 2023, the Company’s commitments were approximately $146,953,000 for these loans, of which $104,977,000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the Company’s operations, the Company enters into certain contractual obligations. Such obligations include operating leases for office space, agreements with respect to borrowed funds and future policy benefits. See Notes 7, 22, 24 of the Notes to Consolidated Financial Statements for more information about these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Captive Insurance Participation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limited equity interest in a captive insurance entity (the “Captive’) that provides workers compensation, general liability and automobile insurance . This program permits the Company to pool insurance risks and resources with like-minded companies in order to obtain more competitive pricing for claims administration, stop loss insurance premiums and to limit its risk of loss in any particular year. The Captive also provides access to a wide array of safety-related services and regular safety training to help the Company control claims. The maximum exposure to a loss related to the Company’s involvement in the Captive is limited to approximately $443,758, which is collateralized under a standby letter of credit issued on the insurance entity’s behalf. See Note 10, “Reinsurance, Commitments and Contingencies,” for additional discussion of commitments associated with the insurance program. The Company has been a member of the Captive since 2006 and does not expect any material losses to result from the issuance of the standby letter of credit given the Company’s past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Page No.</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02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2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December 31, 2023 and 2022</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2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Earnings for the Years Ended December 31, 2023 and 2022</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and 2022</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75"/>
        </w:trPr>
        <w:tc>
          <w:tcPr>
            <w:tcW w:w="180" w:type="dxa"/>
            <w:vAlign w:val="bottom"/>
            <w:tcBorders>
              <w:top w:val="single" w:sz="8" w:color="CCEEFF"/>
            </w:tcBorders>
          </w:tcPr>
          <w:p>
            <w:pPr>
              <w:spacing w:after="0"/>
              <w:rPr>
                <w:sz w:val="15"/>
                <w:szCs w:val="15"/>
                <w:color w:val="auto"/>
              </w:rPr>
            </w:pPr>
          </w:p>
        </w:tc>
        <w:tc>
          <w:tcPr>
            <w:tcW w:w="73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and 2022</w:t>
            </w:r>
          </w:p>
        </w:tc>
        <w:tc>
          <w:tcPr>
            <w:tcW w:w="28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5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and 2022</w:t>
            </w:r>
          </w:p>
        </w:tc>
        <w:tc>
          <w:tcPr>
            <w:tcW w:w="3700" w:type="dxa"/>
            <w:vAlign w:val="bottom"/>
            <w:tcBorders>
              <w:bottom w:val="single" w:sz="8" w:color="CCEEFF"/>
            </w:tcBorders>
            <w:gridSpan w:val="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1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060" w:type="dxa"/>
            <w:vAlign w:val="bottom"/>
            <w:gridSpan w:val="7"/>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459"/>
        </w:trPr>
        <w:tc>
          <w:tcPr>
            <w:tcW w:w="650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4" w:name="page35"/>
    <w:bookmarkEnd w:id="3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Security National Financial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Security National Financial Corporation and subsidiaries (the “Company”) as of December 31, 2023 and 2022, the related consolidated statements of earnings, comprehensive income, stockholders’ equity, and cash flows for each of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Policy Benefits for Life Insurance Contracts and Amortization of Deferred Policy Acquisition Costs for Insurance Contracts and Value of Business Acquired - Refer to Notes 1 and 21 to the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sets assumptions in (1) estimating a liability for life insurance policy benefit payments that will be made in the future (future policy benefits for life insurance contracts), (2) determining amortization of deferred policy acquisition costs for insurance contracts and value of business acquired and (3) performing premium deficiency tests. The most significant assumptions include mortality, lapse, and projected investment yield. Assumptions are determined based upon analysis of Company specific experience, industry standards, adjusted for changes in exposure and other relevant factors. Given the inherent uncertainty of these significant assumptions, auditing the development of such assumptions involved especially subjective judgment.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related to management’s judgments regarding the mortality, lapse and projected investment yield assumptions used in the development of future policy benefits for life insurance contracts and the amortization of deferred policy acquisition costs for insurance contracts and value of business acquired, included the following, among others:</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these actuarial assumptions, including testing the accuracy and completeness of the supporting experience studies,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judgments regarding these assumptions used in the development of future policy benefits for life insurance contracts and the amortization of deferred policy acquisition costs and value of business acquired,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results of the Company’s annual premium deficiency tests.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 of $390,884,441 and $362,750,511 for 2023 and 2022,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net of allowance for credit losses of $314,549 and nil for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381,535,986</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345,858,492</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$10,571,505 and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$9,942,265 for 2023 and 2022,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13,636,071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11,682,526</w:t>
            </w: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$3,818,653 and $1,970,311 for 2023 and 2022, respectively)</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275,616,837</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308,123,927</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of $29,307,791 and $23,793,204 for 2023 and 2022,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183,419,292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191,328,616</w:t>
            </w:r>
          </w:p>
        </w:tc>
        <w:tc>
          <w:tcPr>
            <w:tcW w:w="8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3,028,973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11,161,582</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credit losses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of $1,553,836 and $1,609,951 for 2023 and 2022,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69,404,617</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70,508,156</w:t>
            </w:r>
          </w:p>
        </w:tc>
      </w:tr>
      <w:tr>
        <w:trPr>
          <w:trHeight w:val="24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10,170,790</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10,299,826</w:t>
            </w:r>
          </w:p>
        </w:tc>
      </w:tr>
      <w:tr>
        <w:trPr>
          <w:trHeight w:val="22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936,812,566</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948,963,125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126,941,658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120,919,805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126,549,190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141,179,620</w:t>
            </w: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$1,897,887 and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$2,229,791 for 2023 and 2022, respectively)</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15,335,315</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28,573,092</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$9,239,063 and $6,565,552 for 2023 and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2022, respectively, at estimated fair value)</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20,028,976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18,935,055</w:t>
            </w: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$4,969,005 and $3,859,893 for 2023</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2022 at estimated fair value)</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8,082,917</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7,276,210</w:t>
            </w:r>
          </w:p>
        </w:tc>
        <w:tc>
          <w:tcPr>
            <w:tcW w:w="8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14,857,059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15,033,938</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9,163,691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9,101,474</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116,351,067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108,655,128</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3,461,146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3,039,765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19,175,099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20,579,649</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8,467,613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9,803,736</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r>
      <w:tr>
        <w:trPr>
          <w:trHeight w:val="24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20,072,195</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23,798,512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1,430,552,275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1,461,112,892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916,038,616</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889,327,303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2,543,822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2,773,616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105,555,137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161,712,804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18,237,246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16,226,836</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5,326,196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5,099,542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2,936,968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5,361,449</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53,266,090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57,113,888</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13,752,981</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30,710,527</w:t>
            </w:r>
          </w:p>
        </w:tc>
      </w:tr>
      <w:tr>
        <w:trPr>
          <w:trHeight w:val="223"/>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1,117,657,056</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1,168,325,965</w:t>
            </w:r>
          </w:p>
        </w:tc>
        <w:tc>
          <w:tcPr>
            <w:tcW w:w="100" w:type="dxa"/>
            <w:vAlign w:val="bottom"/>
            <w:tcBorders>
              <w:top w:val="single" w:sz="8" w:color="CCEEFF"/>
            </w:tcBorders>
            <w:gridSpan w:val="2"/>
            <w:shd w:val="clear" w:color="auto" w:fill="CCEEFF"/>
          </w:tcPr>
          <w:p>
            <w:pPr>
              <w:spacing w:after="0"/>
              <w:rPr>
                <w:sz w:val="19"/>
                <w:szCs w:val="19"/>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non-voting-$1.00 par value; 5,000,000 shares authorized;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20,048,002 shares issued and outstanding as of December 31, 2023 and</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18,758,031 shares issued and outstanding as of December 31, 2022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40,096,004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37,516,062</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none issued or outstanding</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authorized; 2,971,854 shares issued and outstanding as of December 31, 2023 and 2,889,859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as of December 31, 2022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5,943,708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5,779,718</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72,424,429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64,767,769</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(6,885,558)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(13,070,277)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206,978,373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202,160,306</w:t>
            </w:r>
          </w:p>
        </w:tc>
        <w:tc>
          <w:tcPr>
            <w:tcW w:w="80" w:type="dxa"/>
            <w:vAlign w:val="bottom"/>
            <w:shd w:val="clear" w:color="auto" w:fill="CCEEFF"/>
          </w:tcPr>
          <w:p>
            <w:pPr>
              <w:spacing w:after="0"/>
              <w:rPr>
                <w:sz w:val="18"/>
                <w:szCs w:val="18"/>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- 806,311 Class A shares and 35,717 Class C shares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and 525,870 Class A shares and 34,016 Class C</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1"/>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shares as of December 31, 2022</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(5,661,737)</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(4,366,651)</w:t>
            </w:r>
          </w:p>
        </w:tc>
      </w:tr>
      <w:tr>
        <w:trPr>
          <w:trHeight w:val="223"/>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312,895,219</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292,786,927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1,430,552,275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1,461,112,892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98,147,972</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173,499,681</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114,658,436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105,001,640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72,343,047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66,197,592</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27,864,811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26,993,855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1,837,342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(857,460)</w:t>
            </w: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3,645,882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18,817,020</w:t>
            </w:r>
          </w:p>
        </w:tc>
      </w:tr>
      <w:tr>
        <w:trPr>
          <w:trHeight w:val="223"/>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318,497,490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389,652,328</w:t>
            </w:r>
          </w:p>
        </w:tc>
        <w:tc>
          <w:tcPr>
            <w:tcW w:w="100" w:type="dxa"/>
            <w:vAlign w:val="bottom"/>
            <w:tcBorders>
              <w:bottom w:val="single" w:sz="8" w:color="CCEEFF"/>
            </w:tcBorders>
          </w:tcPr>
          <w:p>
            <w:pPr>
              <w:spacing w:after="0"/>
              <w:rPr>
                <w:sz w:val="19"/>
                <w:szCs w:val="19"/>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61,390,517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59,377,962</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4,612,346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4,688,470</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34,008,997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28,858,969</w:t>
            </w: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18,024,338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17,950,202</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39,929,556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63,321,092</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83,141,759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100,111,523</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3,710,445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5,697,998</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6,857,137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6,883,013</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2,351,661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2,496,906</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6,440,439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7,540,041</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32,058,856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45,797,753</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4,865,327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7,830,443</w:t>
            </w: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 – cemeteries and mortuaries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4,805,700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4,721,094</w:t>
            </w:r>
          </w:p>
        </w:tc>
      </w:tr>
      <w:tr>
        <w:trPr>
          <w:trHeight w:val="223"/>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302,197,078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355,275,466</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16,300,412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34,376,862</w:t>
            </w: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(1,805,354)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(8,686,560)</w:t>
            </w: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14,495,058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6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 -</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assuming dilution (1)</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Class A equivalent common shares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22,083,772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22,187,410</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Class A equivalent common shares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outstanding-assuming dilution (1)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22,677,968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23,036,128</w:t>
            </w:r>
          </w:p>
        </w:tc>
      </w:tr>
    </w:tbl>
    <w:p>
      <w:pPr>
        <w:spacing w:after="0" w:line="198" w:lineRule="exact"/>
        <w:rPr>
          <w:sz w:val="20"/>
          <w:szCs w:val="20"/>
          <w:color w:val="auto"/>
        </w:rPr>
      </w:pPr>
    </w:p>
    <w:p>
      <w:pPr>
        <w:jc w:val="both"/>
        <w:ind w:left="360" w:hanging="292"/>
        <w:spacing w:after="0" w:line="266"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1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2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14,495,058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100" w:type="dxa"/>
            <w:vAlign w:val="bottom"/>
            <w:shd w:val="clear" w:color="auto" w:fill="CCEEFF"/>
          </w:tcPr>
          <w:p>
            <w:pPr>
              <w:spacing w:after="0"/>
              <w:rPr>
                <w:sz w:val="19"/>
                <w:szCs w:val="19"/>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7,814,324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(39,331,688)</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(71,035)</w:t>
            </w:r>
          </w:p>
        </w:tc>
      </w:tr>
      <w:tr>
        <w:trPr>
          <w:trHeight w:val="243"/>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w:t>
            </w: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8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7,828,416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(39,423,169)</w:t>
            </w:r>
          </w:p>
        </w:tc>
        <w:tc>
          <w:tcPr>
            <w:tcW w:w="100" w:type="dxa"/>
            <w:vAlign w:val="bottom"/>
          </w:tcPr>
          <w:p>
            <w:pPr>
              <w:spacing w:after="0"/>
              <w:rPr>
                <w:sz w:val="18"/>
                <w:szCs w:val="18"/>
                <w:color w:val="auto"/>
              </w:rPr>
            </w:pPr>
          </w:p>
        </w:tc>
      </w:tr>
      <w:tr>
        <w:trPr>
          <w:trHeight w:val="243"/>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(1,643,697)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8,282,444</w:t>
            </w:r>
          </w:p>
        </w:tc>
      </w:tr>
      <w:tr>
        <w:trPr>
          <w:trHeight w:val="223"/>
        </w:trPr>
        <w:tc>
          <w:tcPr>
            <w:tcW w:w="6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8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20,679,777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(5,450,423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$35,285,444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$ 5,733,130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$57,985,947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18,070,448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$ 184,537,489</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(1,845,624)</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$ 299,766,834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25,690,302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25,690,302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(31,140,725)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(31,140,725)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929,692</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219,174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143,432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5,249,054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5,061,297</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(7,770,081)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(7,663,905)</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1,779,108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278,924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6,009,453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(8,067,485)</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232,336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(232,336)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37,516,062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5,779,718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64,767,769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202,160,306</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(4,366,651)</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292,786,927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Adoption of</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ASU 2016-13</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(671,506)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(671,506)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14,495,058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14,495,058</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6,184,719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6,184,719</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601,362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601,362</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558,354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134,387</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2,430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2,134,517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2,210,719</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583,156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(3,429,603)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(2,846,447)</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1,899,960</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283,188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6,822,337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(9,005,485)</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119,198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(119,198)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40,096,004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$ 5,943,708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72,424,429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206,978,373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(5,661,737</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312,895,219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2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14,495,058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25,690,302</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investments and other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(1,837,342)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857,460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8,641,080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8,598,072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1,959,707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1,331,887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deferred fees and costs, premiums and discounts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(2,140,548)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(1,018,200)</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(2,495,489)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(9,954,005)</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deferred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(24,432,809)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(20,233,669)</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16,724,336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16,685,871</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1,300,002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1,264,331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servicing rights, additions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(1,009,312)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(10,243,922)</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587,931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9,078,706</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on the sale of mortgage servicing rights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(34,051,938)</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601,362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929,692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2,210,719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5,061,297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478,460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8,834,797</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(2,173,080,584)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(3,373,554,484)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2,224,454,040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3,549,405,402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on sales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(40,239,112)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(74,779,721)</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 and improvements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(123,597)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29,745,349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27,487,657</w:t>
            </w:r>
          </w:p>
        </w:tc>
      </w:tr>
      <w:tr>
        <w:trPr>
          <w:trHeight w:val="24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(2,025,510)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(815,484)</w:t>
            </w:r>
          </w:p>
        </w:tc>
      </w:tr>
      <w:tr>
        <w:trPr>
          <w:trHeight w:val="223"/>
        </w:trPr>
        <w:tc>
          <w:tcPr>
            <w:tcW w:w="67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53,875,121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130,450,454</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(70,315,501)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(151,581,252)</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42,966,901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25,163,141</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(6,993,289)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(4,193,460)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6,346,625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2,804,274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(3,065,758)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(862,654)</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840,080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(1,083,550)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cemetery perpetual care trust investments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458,046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1,205,208</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(645,581,141)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(752,301,471)</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682,267,677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759,243,828</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mortgage servicing rights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79,981,150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(1,109,937)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(1,600,195)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69,248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real estate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(22,894,604)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(20,458,983)</w:t>
            </w:r>
          </w:p>
        </w:tc>
      </w:tr>
      <w:tr>
        <w:trPr>
          <w:trHeight w:val="24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real estate</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32,772,520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25,369,430</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14,608,069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(37,161,736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2"/>
        </w:trPr>
        <w:tc>
          <w:tcPr>
            <w:tcW w:w="67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5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12,572,508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11,730,820</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(15,654,593)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(15,795,677)</w:t>
            </w: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134,387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143,432</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(2,846,447)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(7,663,905)</w:t>
            </w: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bank loans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(69,602,737)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(50,308,296)</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loans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68,500,000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59,618,050</w:t>
            </w:r>
          </w:p>
        </w:tc>
      </w:tr>
      <w:tr>
        <w:trPr>
          <w:trHeight w:val="243"/>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(55,146,726)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(98,943,607)</w:t>
            </w:r>
          </w:p>
        </w:tc>
      </w:tr>
      <w:tr>
        <w:trPr>
          <w:trHeight w:val="223"/>
        </w:trPr>
        <w:tc>
          <w:tcPr>
            <w:tcW w:w="65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(62,043,608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(101,219,183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4"/>
        </w:trPr>
        <w:tc>
          <w:tcPr>
            <w:tcW w:w="6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6,439,582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(7,930,465)</w:t>
            </w:r>
          </w:p>
        </w:tc>
      </w:tr>
      <w:tr>
        <w:trPr>
          <w:trHeight w:val="178"/>
        </w:trPr>
        <w:tc>
          <w:tcPr>
            <w:tcW w:w="6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 at</w:t>
            </w:r>
          </w:p>
        </w:tc>
        <w:tc>
          <w:tcPr>
            <w:tcW w:w="4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4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133,483,817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141,414,282</w:t>
            </w:r>
          </w:p>
        </w:tc>
      </w:tr>
      <w:tr>
        <w:trPr>
          <w:trHeight w:val="174"/>
        </w:trPr>
        <w:tc>
          <w:tcPr>
            <w:tcW w:w="6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w:t>
            </w:r>
          </w:p>
        </w:tc>
        <w:tc>
          <w:tcPr>
            <w:tcW w:w="4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end of year</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139,923,399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133,483,817</w:t>
            </w:r>
          </w:p>
        </w:tc>
      </w:tr>
      <w:tr>
        <w:trPr>
          <w:trHeight w:val="197"/>
        </w:trPr>
        <w:tc>
          <w:tcPr>
            <w:tcW w:w="6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5,136,747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7,697,921</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20,406,598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729,687</w:t>
            </w:r>
          </w:p>
        </w:tc>
      </w:tr>
      <w:tr>
        <w:trPr>
          <w:trHeight w:val="216"/>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3,017,626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51,691,213</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from mortgage loans held for investment to restricted assets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1,625,961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Transfer from mortgage loans held for investment to cemetery perpetual care trust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1,611,550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1,025,397</w:t>
            </w: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10,998,485</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160,348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2,054,534</w:t>
            </w:r>
          </w:p>
        </w:tc>
      </w:tr>
      <w:tr>
        <w:trPr>
          <w:trHeight w:val="234"/>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consolidated statements of cash flows is presented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69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126,941,658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120,919,805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10,114,694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10,638,034</w:t>
            </w: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2,867,047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1,925,978</w:t>
            </w:r>
          </w:p>
        </w:tc>
        <w:tc>
          <w:tcPr>
            <w:tcW w:w="80" w:type="dxa"/>
            <w:vAlign w:val="bottom"/>
            <w:shd w:val="clear" w:color="auto" w:fill="CCEEFF"/>
          </w:tcPr>
          <w:p>
            <w:pPr>
              <w:spacing w:after="0"/>
              <w:rPr>
                <w:sz w:val="21"/>
                <w:szCs w:val="2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139,923,399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133,483,817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annuity products and accident and health insurance marketed primarily in the states located in western, mid-western and southern regions of the United States. The cemetery and mortuary segment of the Company consists of eight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Florida, Nevada, Texas, and Utah.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wholly owned subsidiaries. All intercompany transactions and accounts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has made several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the value of loans held for sale;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Fixed maturity securities available for sale</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in accumulated other comprehensive income (loss).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through net earnings as a component of gains (losses) on investments and other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Mortgage loans held for investment</w:t>
      </w:r>
      <w:r>
        <w:rPr>
          <w:rFonts w:ascii="Times New Roman" w:cs="Times New Roman" w:eastAsia="Times New Roman" w:hAnsi="Times New Roman"/>
          <w:sz w:val="18"/>
          <w:szCs w:val="18"/>
          <w:color w:val="auto"/>
        </w:rPr>
        <w:t xml:space="preserve"> are carried at their unpaid principal balances adjusted for net deferred fees, charge-offs, premiums, discounts, and the related allowance for credit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Real estate held for investment</w:t>
      </w:r>
      <w:r>
        <w:rPr>
          <w:rFonts w:ascii="Times New Roman" w:cs="Times New Roman" w:eastAsia="Times New Roman" w:hAnsi="Times New Roman"/>
          <w:sz w:val="18"/>
          <w:szCs w:val="18"/>
          <w:color w:val="auto"/>
        </w:rPr>
        <w:t xml:space="preserve"> is carried at cost, less accumulated depreciation provided on a straight-line basis over the estimated useful lives of the properties or is adjusted to a new basis for impairment in value, if any. Included, if any, are foreclosed properties. These properties are recorded at the lower of cost or fair value upon foreclosure. Also, included is residential subdivision land development which is carried at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Real estate held for sale</w:t>
      </w:r>
      <w:r>
        <w:rPr>
          <w:rFonts w:ascii="Times New Roman" w:cs="Times New Roman" w:eastAsia="Times New Roman" w:hAnsi="Times New Roman"/>
          <w:sz w:val="18"/>
          <w:szCs w:val="18"/>
          <w:color w:val="auto"/>
        </w:rPr>
        <w:t xml:space="preserve"> is carried at lower of cost or fair value, less estimated costs to sell. Depreciation is not recognized on real estate classified as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 and policy loans</w:t>
      </w:r>
      <w:r>
        <w:rPr>
          <w:rFonts w:ascii="Times New Roman" w:cs="Times New Roman" w:eastAsia="Times New Roman" w:hAnsi="Times New Roman"/>
          <w:sz w:val="18"/>
          <w:szCs w:val="18"/>
          <w:color w:val="auto"/>
        </w:rPr>
        <w:t xml:space="preserve"> are carried at the aggregate unpaid balances, less allowances for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Accrued investment income</w:t>
      </w:r>
      <w:r>
        <w:rPr>
          <w:rFonts w:ascii="Times New Roman" w:cs="Times New Roman" w:eastAsia="Times New Roman" w:hAnsi="Times New Roman"/>
          <w:sz w:val="18"/>
          <w:szCs w:val="18"/>
          <w:color w:val="auto"/>
        </w:rPr>
        <w:t xml:space="preserve"> refers to earned income from investments that has not yet been received by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Gains (losses) on investments (except for equity securities carried at fair value through net earnings)</w:t>
      </w:r>
      <w:r>
        <w:rPr>
          <w:rFonts w:ascii="Times New Roman" w:cs="Times New Roman" w:eastAsia="Times New Roman" w:hAnsi="Times New Roman"/>
          <w:sz w:val="18"/>
          <w:szCs w:val="18"/>
          <w:color w:val="auto"/>
        </w:rPr>
        <w:t xml:space="preserve"> arise when investments are sold and are recorded on the trade date and the cost of the securities sold is determined using the specific identification method. The provision (release) for credit losses for fixed maturity securities held for sale are also included in gains (losses) on investments. See Note 2 for more information regarding the Company’s evaluation of credit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Fee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repurchasing under certain events, which include the following:</w:t>
      </w:r>
    </w:p>
    <w:p>
      <w:pPr>
        <w:spacing w:after="0" w:line="176"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 for loans held for sale is equal to the amount paid to the warehouse bank and the amount originally funded by the Company. Fair value is often difficult to determine and may contain significant unobservable inputs, but is based on the following:</w:t>
      </w:r>
    </w:p>
    <w:p>
      <w:pPr>
        <w:spacing w:after="0" w:line="162"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market value for the similar product.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loans originated are sold to third-party investors. The amounts expected to be sold to investors are shown on the consolidated balance sheets as loans held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loss reserve is an estimate of probable losses at the balance sheet date that the Company will realize in the future on loans sold.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74"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Make whole demand </w:t>
      </w:r>
      <w:r>
        <w:rPr>
          <w:rFonts w:ascii="Times New Roman" w:cs="Times New Roman" w:eastAsia="Times New Roman" w:hAnsi="Times New Roman"/>
          <w:sz w:val="18"/>
          <w:szCs w:val="18"/>
          <w:color w:val="auto"/>
        </w:rPr>
        <w:t>— A make whole demand occurs when an investor forecloses on a property and then sells the property. The make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is calculated as the difference between the original unpaid principal balance, payments received, accrued interest and fees, less the sale proceeds.</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Repurchase demand </w:t>
      </w:r>
      <w:r>
        <w:rPr>
          <w:rFonts w:ascii="Times New Roman" w:cs="Times New Roman" w:eastAsia="Times New Roman" w:hAnsi="Times New Roman"/>
          <w:sz w:val="18"/>
          <w:szCs w:val="18"/>
          <w:color w:val="auto"/>
        </w:rPr>
        <w:t>— A repurchase demand usually occurs when there is a significant payment default, error in underwriting or detected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Indemnification demand </w:t>
      </w:r>
      <w:r>
        <w:rPr>
          <w:rFonts w:ascii="Times New Roman" w:cs="Times New Roman" w:eastAsia="Times New Roman" w:hAnsi="Times New Roman"/>
          <w:sz w:val="18"/>
          <w:szCs w:val="18"/>
          <w:color w:val="auto"/>
        </w:rPr>
        <w:t>— On certain loans the Company has negotiated a set fee that is to be paid in lieu of repurchase. The fee varies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and by loan product type.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allowance for loan losses and the loan loss reserve represent probable loan losses incurred as of the balance sheet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Loan Loss Reserve is included in Note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assets are assets held in a trust account for future mortuary services and merchandise.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 Additional information related to restricted assets is included in Notes 2 and 8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Cemetery endowment care trusts have been set up for five of the seven cemeteries owned by the Company. Under endowment care arrangements a portion of the price for each lot sold is withheld and invested in a portfolio of investments like those described in the prior paragraph. The earnings stream from the investments is designed to fund future maintenance and upkeep of the cemetery. Additional information related to cemetery perpetual care trust investments is included in Notes 2 and 8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Land and Improvements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 and Value of Business Acquired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like deferred policy acquisition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 Deficiency and Loss Recognition Testing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after-tax net investment earned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Servicing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subsequent accounting for MSRs is based on the class of MSRs. The Company has identified two classes of MSRs: MSRs backed by mortgage loans with an initial term of 30 years and MSRs backed by mortgage loans with an initial term of 15 years. The Company distinguishes between these classes of MSRs due to their differing sensitivities to change in value as the result of changes in the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Banking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right="7840" w:firstLine="8"/>
        <w:spacing w:after="0" w:line="500" w:lineRule="auto"/>
        <w:tabs>
          <w:tab w:leader="none" w:pos="1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and Put Option Derivatives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discontinued its use of selling “out of the money” call options on its equity securities and the use of selling put options as a source of revenue in the first quarter of 2023.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allowances for current expected credit losses from fixed maturity securities available for sale, mortgage loans held for investment, other investments, and receivables in accordance with GAAP. The allowances for credit losses are valuation accounts that are reported as a reduction of the financial asset’s cost basis and are measured on a pool basis when similar risk characteristics exist. The Company estimates allowances for credit losses using relevant available information from both internal and external sources. The Company considers its historical loss experience, analyzes current market conditions and forecasts and uses third-party assistance to arrive at current expected credit losses. Amounts are written off against the allowance for credit losses when determined to be uncollectible. See below under Recent Accounting Pronouncements regarding the adoption of ASU 2016-13. See Notes 2 and 4 to Consolidated Financial Statements regarding the Company’s evaluation of allowances for credit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Policy Benefits and Unpaid Claims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3% to 6.5%.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Participating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Participating business constituted 2% of insurance in force for the years ended 2023 and 2022. The provision for policyholders’ dividends included in policyholder obligations is based on dividend scales anticipated by management. The amounts to be paid are determined by the Board of Directors. The expense recognized for policyholder dividends is included in surrenders and other policy benefits on the consolidated statements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Insurance Premiums and Other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Pre-need Sales and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funeral services and caskets</w:t>
      </w:r>
      <w:r>
        <w:rPr>
          <w:rFonts w:ascii="Times New Roman" w:cs="Times New Roman" w:eastAsia="Times New Roman" w:hAnsi="Times New Roman"/>
          <w:sz w:val="18"/>
          <w:szCs w:val="18"/>
          <w:color w:val="auto"/>
        </w:rPr>
        <w:t xml:space="preserve"> - revenue and costs associated with the sales of pre-need funeral services and caskets are deferred until the performance obligations are fulfilled (services are performed or the caskets are delivered).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of cemetery interment rights (cemetery burial property)</w:t>
      </w:r>
      <w:r>
        <w:rPr>
          <w:rFonts w:ascii="Times New Roman" w:cs="Times New Roman" w:eastAsia="Times New Roman" w:hAnsi="Times New Roman"/>
          <w:sz w:val="18"/>
          <w:szCs w:val="18"/>
          <w:color w:val="auto"/>
        </w:rPr>
        <w:t xml:space="preserve"> - revenue and costs associated with the sale of cemetery interment rights are deferred until 10% of the sales price has been collected.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merchandise (primarily markers and vaults)</w:t>
      </w:r>
      <w:r>
        <w:rPr>
          <w:rFonts w:ascii="Times New Roman" w:cs="Times New Roman" w:eastAsia="Times New Roman" w:hAnsi="Times New Roman"/>
          <w:sz w:val="18"/>
          <w:szCs w:val="18"/>
          <w:color w:val="auto"/>
        </w:rPr>
        <w:t xml:space="preserve"> - revenue and costs associated with the sale of pre-need cemetery merchandise is deferred until the merchandise is delivered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services (primarily merchandise delivery, installation fees and burial opening and closing fees)</w:t>
      </w:r>
      <w:r>
        <w:rPr>
          <w:rFonts w:ascii="Times New Roman" w:cs="Times New Roman" w:eastAsia="Times New Roman" w:hAnsi="Times New Roman"/>
          <w:sz w:val="18"/>
          <w:szCs w:val="18"/>
          <w:color w:val="auto"/>
        </w:rPr>
        <w:t xml:space="preserve"> - revenue and costs associated with the sales of pre-need cemetery services are deferred until the services are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Prearranged funeral and pre-need cemetery customer acquisition costs</w:t>
      </w:r>
      <w:r>
        <w:rPr>
          <w:rFonts w:ascii="Times New Roman" w:cs="Times New Roman" w:eastAsia="Times New Roman" w:hAnsi="Times New Roman"/>
          <w:sz w:val="18"/>
          <w:szCs w:val="18"/>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performance obligations remaining.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 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income tax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earnings per share, which requires a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by application of the treasury stock method. Basic and diluted earnings per share amounts have been adjusted retroactively for the effect of annual stock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concentration risk regarding available for sale debt securities, mortgage loans held for investment and real estate held for investment, refer to Note 2, and for receivables from reinsurers, refer to Note 10 of the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advertising costs as incurred.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(192,607)</w:t>
            </w: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301,830</w:t>
            </w: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555,807</w:t>
            </w:r>
          </w:p>
        </w:tc>
      </w:tr>
      <w:tr>
        <w:trPr>
          <w:trHeight w:val="223"/>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tcBorders>
              <w:top w:val="single" w:sz="8" w:color="CCEEFF"/>
            </w:tcBorders>
            <w:shd w:val="clear" w:color="auto" w:fill="CCEEFF"/>
          </w:tcPr>
          <w:p>
            <w:pPr>
              <w:spacing w:after="0"/>
              <w:rPr>
                <w:sz w:val="19"/>
                <w:szCs w:val="19"/>
                <w:color w:val="auto"/>
              </w:rPr>
            </w:pPr>
          </w:p>
        </w:tc>
      </w:tr>
      <w:tr>
        <w:trPr>
          <w:trHeight w:val="210"/>
        </w:trPr>
        <w:tc>
          <w:tcPr>
            <w:tcW w:w="6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 mortgage loans held for investment:</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r>
      <w:tr>
        <w:trPr>
          <w:trHeight w:val="210"/>
        </w:trPr>
        <w:tc>
          <w:tcPr>
            <w:tcW w:w="6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 mortgage loans held for investment: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r>
      <w:tr>
        <w:trPr>
          <w:trHeight w:val="209"/>
        </w:trPr>
        <w:tc>
          <w:tcPr>
            <w:tcW w:w="6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the FASB issued an update to ASU No. 2018-12 that requires the standard to be adopted by the Company commencing on January 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Company is in the process of estimating the impact of the new guidance on the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beginning on January 1, 2025. The Company is in the process of estimating the impact of the new guidance on the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2023-07: “Segment Reporting (Topic 280): Improvements to Reportable Segment Disclosures”</w:t>
      </w:r>
      <w:r>
        <w:rPr>
          <w:rFonts w:ascii="Times New Roman" w:cs="Times New Roman" w:eastAsia="Times New Roman" w:hAnsi="Times New Roman"/>
          <w:sz w:val="18"/>
          <w:szCs w:val="18"/>
          <w:color w:val="auto"/>
        </w:rPr>
        <w:t xml:space="preserve"> — Issued in November 2023, ASU 2023-07 requires enhanced disclosures about significant segment expenses. The key amendments include: (i) disclosures on significant segment expenses that are regularly provided to the chief operating decision maker (CODM) and included within each reported measure of segment profit or loss on an annual and interim basis; (ii) disclosures on an amount for other segment items by reportable segment and a description of its composition on an annual and interim basis. The other segment items category is the difference between segment revenue less the significant expenses disclosed and each reported measure of segment profit or loss; (iii) providing all annual disclosures on a reportable segment’s profit or loss and assets currently required by FASB ASC Topic 280, Segment Reporting in interim periods; and (iv) specifying the title and position of the CODM. ASU 2023-07 is effective for the Company for annual periods beginning January 1, 2024 and interim periods beginning January 1, 2025. The Company is in the process of estimating the impact of the new guidance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4"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111,450,753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344,425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(1,416,448)</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110,378,730</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6,524,083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(319,260)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6,205,323</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232,299,727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3,688,642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(7,145,507)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228,534,362</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40,359,878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506,647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(4,702,905)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36,157,571</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37"/>
        </w:trPr>
        <w:tc>
          <w:tcPr>
            <w:tcW w:w="1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390,884,441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4,550,214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(13,584,120)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10"/>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103,153,587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104,052,748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74,176,538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(3,818,653)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(324,157)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275,616,837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88" w:right="339" w:bottom="0" w:gutter="0" w:footer="0" w:header="0"/>
        </w:sectPr>
      </w:pPr>
    </w:p>
    <w:p>
      <w:pPr>
        <w:spacing w:after="0" w:line="261" w:lineRule="auto"/>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p>
      <w:pPr>
        <w:ind w:left="360"/>
        <w:spacing w:after="0"/>
        <w:rPr>
          <w:sz w:val="20"/>
          <w:szCs w:val="20"/>
          <w:color w:val="auto"/>
        </w:rPr>
      </w:pPr>
      <w:r>
        <w:rPr>
          <w:rFonts w:ascii="Times New Roman" w:cs="Times New Roman" w:eastAsia="Times New Roman" w:hAnsi="Times New Roman"/>
          <w:sz w:val="18"/>
          <w:szCs w:val="18"/>
          <w:color w:val="auto"/>
        </w:rPr>
        <w:t>Residential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Commercial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21" w:hanging="321"/>
        <w:spacing w:after="0"/>
        <w:tabs>
          <w:tab w:leader="none" w:pos="3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40,924,865</w:t>
      </w:r>
    </w:p>
    <w:p>
      <w:pPr>
        <w:spacing w:after="0" w:line="36" w:lineRule="exact"/>
        <w:rPr>
          <w:rFonts w:ascii="Times New Roman" w:cs="Times New Roman" w:eastAsia="Times New Roman" w:hAnsi="Times New Roman"/>
          <w:sz w:val="18"/>
          <w:szCs w:val="18"/>
          <w:color w:val="auto"/>
        </w:rPr>
      </w:pPr>
    </w:p>
    <w:p>
      <w:pPr>
        <w:ind w:left="2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142,494,427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-548005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-136525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239"/>
            <w:col w:w="7061"/>
          </w:cols>
          <w:pgMar w:left="320" w:top="688" w:right="339" w:bottom="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gridSpan w:val="2"/>
            <w:shd w:val="clear" w:color="auto" w:fill="CCEEFF"/>
          </w:tcPr>
          <w:p>
            <w:pPr>
              <w:jc w:val="right"/>
              <w:ind w:right="5920"/>
              <w:spacing w:after="0"/>
              <w:rPr>
                <w:sz w:val="20"/>
                <w:szCs w:val="20"/>
                <w:color w:val="auto"/>
              </w:rPr>
            </w:pPr>
            <w:r>
              <w:rPr>
                <w:rFonts w:ascii="Times New Roman" w:cs="Times New Roman" w:eastAsia="Times New Roman" w:hAnsi="Times New Roman"/>
                <w:sz w:val="18"/>
                <w:szCs w:val="18"/>
                <w:color w:val="auto"/>
              </w:rPr>
              <w:t>183,419,292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r>
      <w:tr>
        <w:trPr>
          <w:trHeight w:val="196"/>
        </w:trPr>
        <w:tc>
          <w:tcPr>
            <w:tcW w:w="3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2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gridSpan w:val="2"/>
          </w:tcPr>
          <w:p>
            <w:pPr>
              <w:jc w:val="right"/>
              <w:ind w:right="59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900" w:type="dxa"/>
            <w:vAlign w:val="bottom"/>
            <w:gridSpan w:val="2"/>
            <w:shd w:val="clear" w:color="auto" w:fill="CCEEFF"/>
          </w:tcPr>
          <w:p>
            <w:pPr>
              <w:jc w:val="right"/>
              <w:ind w:right="5920"/>
              <w:spacing w:after="0"/>
              <w:rPr>
                <w:sz w:val="20"/>
                <w:szCs w:val="20"/>
                <w:color w:val="auto"/>
              </w:rPr>
            </w:pPr>
            <w:r>
              <w:rPr>
                <w:rFonts w:ascii="Times New Roman" w:cs="Times New Roman" w:eastAsia="Times New Roman" w:hAnsi="Times New Roman"/>
                <w:sz w:val="18"/>
                <w:szCs w:val="18"/>
                <w:color w:val="auto"/>
              </w:rPr>
              <w:t>3,028,973</w:t>
            </w:r>
          </w:p>
        </w:tc>
      </w:tr>
      <w:tr>
        <w:trPr>
          <w:trHeight w:val="209"/>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920" w:type="dxa"/>
            <w:vAlign w:val="bottom"/>
          </w:tcPr>
          <w:p>
            <w:pPr>
              <w:spacing w:after="0"/>
              <w:rPr>
                <w:sz w:val="18"/>
                <w:szCs w:val="18"/>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gridSpan w:val="2"/>
            <w:shd w:val="clear" w:color="auto" w:fill="CCEEFF"/>
          </w:tcPr>
          <w:p>
            <w:pPr>
              <w:jc w:val="right"/>
              <w:ind w:right="5920"/>
              <w:spacing w:after="0"/>
              <w:rPr>
                <w:sz w:val="20"/>
                <w:szCs w:val="20"/>
                <w:color w:val="auto"/>
              </w:rPr>
            </w:pPr>
            <w:r>
              <w:rPr>
                <w:rFonts w:ascii="Times New Roman" w:cs="Times New Roman" w:eastAsia="Times New Roman" w:hAnsi="Times New Roman"/>
                <w:sz w:val="18"/>
                <w:szCs w:val="18"/>
                <w:color w:val="auto"/>
              </w:rPr>
              <w:t>3,028,973</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88"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Policy loans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Insurance assignments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21" w:hanging="321"/>
        <w:spacing w:after="0"/>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13,264,183</w:t>
      </w:r>
    </w:p>
    <w:p>
      <w:pPr>
        <w:spacing w:after="0" w:line="27" w:lineRule="exact"/>
        <w:rPr>
          <w:rFonts w:ascii="Times New Roman" w:cs="Times New Roman" w:eastAsia="Times New Roman" w:hAnsi="Times New Roman"/>
          <w:sz w:val="18"/>
          <w:szCs w:val="18"/>
          <w:color w:val="auto"/>
        </w:rPr>
      </w:pPr>
    </w:p>
    <w:p>
      <w:pPr>
        <w:ind w:left="3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45,605,322</w:t>
      </w:r>
    </w:p>
    <w:p>
      <w:pPr>
        <w:spacing w:after="0" w:line="9" w:lineRule="exact"/>
        <w:rPr>
          <w:rFonts w:ascii="Times New Roman" w:cs="Times New Roman" w:eastAsia="Times New Roman" w:hAnsi="Times New Roman"/>
          <w:sz w:val="18"/>
          <w:szCs w:val="18"/>
          <w:color w:val="auto"/>
        </w:rPr>
      </w:pPr>
    </w:p>
    <w:p>
      <w:pPr>
        <w:ind w:left="4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2,279,800</w:t>
      </w:r>
    </w:p>
    <w:p>
      <w:pPr>
        <w:spacing w:after="0" w:line="9" w:lineRule="exact"/>
        <w:rPr>
          <w:rFonts w:ascii="Times New Roman" w:cs="Times New Roman" w:eastAsia="Times New Roman" w:hAnsi="Times New Roman"/>
          <w:sz w:val="18"/>
          <w:szCs w:val="18"/>
          <w:color w:val="auto"/>
        </w:rPr>
      </w:pPr>
    </w:p>
    <w:p>
      <w:pPr>
        <w:ind w:left="4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9,809,148</w:t>
      </w:r>
    </w:p>
    <w:p>
      <w:pPr>
        <w:spacing w:after="0" w:line="9" w:lineRule="exact"/>
        <w:rPr>
          <w:rFonts w:ascii="Times New Roman" w:cs="Times New Roman" w:eastAsia="Times New Roman" w:hAnsi="Times New Roman"/>
          <w:sz w:val="18"/>
          <w:szCs w:val="18"/>
          <w:color w:val="auto"/>
        </w:rPr>
      </w:pPr>
    </w:p>
    <w:p>
      <w:pPr>
        <w:ind w:left="3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(1,553,836)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-816610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-542290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-267970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22860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ind w:left="321" w:hanging="321"/>
        <w:spacing w:after="0"/>
        <w:tabs>
          <w:tab w:leader="none" w:pos="3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69,404,617</w:t>
      </w:r>
    </w:p>
    <w:p>
      <w:pPr>
        <w:spacing w:after="0" w:line="27" w:lineRule="exact"/>
        <w:rPr>
          <w:sz w:val="20"/>
          <w:szCs w:val="20"/>
          <w:color w:val="auto"/>
        </w:rPr>
      </w:pPr>
    </w:p>
    <w:p>
      <w:pPr>
        <w:sectPr>
          <w:pgSz w:w="11900" w:h="16838" w:orient="portrait"/>
          <w:cols w:equalWidth="0" w:num="2">
            <w:col w:w="3880" w:space="299"/>
            <w:col w:w="7061"/>
          </w:cols>
          <w:pgMar w:left="320" w:top="688" w:right="339" w:bottom="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920" w:type="dxa"/>
            <w:vAlign w:val="bottom"/>
            <w:tcBorders>
              <w:top w:val="single" w:sz="8" w:color="CCEEFF"/>
            </w:tcBorders>
            <w:shd w:val="clear" w:color="auto" w:fill="CCEEFF"/>
          </w:tcPr>
          <w:p>
            <w:pPr>
              <w:spacing w:after="0"/>
              <w:rPr>
                <w:sz w:val="20"/>
                <w:szCs w:val="20"/>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8140" w:type="dxa"/>
            <w:vAlign w:val="bottom"/>
            <w:gridSpan w:val="3"/>
          </w:tcPr>
          <w:p>
            <w:pPr>
              <w:jc w:val="right"/>
              <w:ind w:right="5920"/>
              <w:spacing w:after="0"/>
              <w:rPr>
                <w:sz w:val="20"/>
                <w:szCs w:val="20"/>
                <w:color w:val="auto"/>
              </w:rPr>
            </w:pPr>
            <w:r>
              <w:rPr>
                <w:rFonts w:ascii="Times New Roman" w:cs="Times New Roman" w:eastAsia="Times New Roman" w:hAnsi="Times New Roman"/>
                <w:sz w:val="18"/>
                <w:szCs w:val="18"/>
                <w:color w:val="auto"/>
              </w:rPr>
              <w:t>$   10,170,790</w:t>
            </w:r>
          </w:p>
        </w:tc>
      </w:tr>
      <w:tr>
        <w:trPr>
          <w:trHeight w:val="197"/>
        </w:trPr>
        <w:tc>
          <w:tcPr>
            <w:tcW w:w="3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88" w:right="339" w:bottom="0" w:gutter="0" w:footer="0" w:header="0"/>
          <w:type w:val="continuous"/>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936,812,566</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60" w:hanging="29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$530,900 of Membership stock and $1,748,900 of Activity stock due to short-term advances and letters of credit.</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7" w:name="page58"/>
    <w:bookmarkEnd w:id="57"/>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2022:</w:t>
            </w:r>
          </w:p>
        </w:tc>
        <w:tc>
          <w:tcPr>
            <w:tcW w:w="37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93,182,210</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(2,685,277)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90,677,576</w:t>
            </w: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6,675,071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13,869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6,230,803</w:t>
            </w: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229,141,544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1,909,630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(11,930,773)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219,120,401</w:t>
            </w: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33,501,686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168,700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(4,100,674)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29,569,712</w:t>
            </w: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37"/>
        </w:trPr>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362,750,511</w:t>
            </w: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2,282,842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(19,174,861)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345,858,492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9,942,265</w:t>
            </w: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2,688,375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(948,114)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11,682,526</w:t>
            </w:r>
          </w:p>
        </w:tc>
      </w:tr>
      <w:tr>
        <w:trPr>
          <w:trHeight w:val="210"/>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9,942,265</w:t>
            </w: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2,688,375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(948,114)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11,682,526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93,355,623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46,311,955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(1,746,605)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(1,970,311)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(342,860)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 net of accumulated depreciation: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38,437,960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152,890,656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191,328,616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11,161,582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13,095,473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46,942,536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9,479,798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(1,609,951)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70,508,156</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10,299,826</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948,963,125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ectPr>
          <w:pgSz w:w="11900" w:h="16864" w:orient="portrait"/>
          <w:cols w:equalWidth="0" w:num="1">
            <w:col w:w="11240"/>
          </w:cols>
          <w:pgMar w:left="320" w:top="688" w:right="339"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(1) Includes $938,500 of Membership stock and $1,661,800 of Activity stock due to short-term advances and letters of credit.</w:t>
      </w:r>
    </w:p>
    <w:p>
      <w:pPr>
        <w:sectPr>
          <w:pgSz w:w="11900" w:h="16838" w:orient="portrait"/>
          <w:cols w:equalWidth="0" w:num="1">
            <w:col w:w="10079"/>
          </w:cols>
          <w:pgMar w:left="380" w:top="121" w:right="1440" w:bottom="1440" w:gutter="0" w:footer="0" w:header="0"/>
        </w:sect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of more than 10% of shareholders’ equity (before net unrealized gains and losses on equity securities and fixed maturity securities) as of December 31, 2023,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maturities securities available for sale that were carried at estimated fair value as of December 31, 2023 and 2022.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December 31, 2023</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Less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Months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Loss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623"/>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9,436,090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1,387,054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70,885,403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1,416,448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80,321,493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470,325</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308,155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5,284,498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5,754,823</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529,660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32,507,773</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6,615,847</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107,556,216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7,145,507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140,063,989</w:t>
            </w: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29,799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2,260,445</w:t>
            </w:r>
          </w:p>
        </w:tc>
        <w:tc>
          <w:tcPr>
            <w:tcW w:w="1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4,673,106</w:t>
            </w: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22,184,174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4,702,905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24,444,619</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44,674,633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12,984,162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205,910,291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13,584,120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250,584,924</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-1028065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-607695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-333375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40" w:space="420"/>
            <w:col w:w="73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2,685,277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79,400,753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2,685,277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79,400,753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5,467,910</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80,070</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5,896,930</w:t>
            </w: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10,935,114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162,995,969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995,659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5,781,822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11,930,773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168,777,791</w:t>
            </w:r>
          </w:p>
        </w:tc>
      </w:tr>
      <w:tr>
        <w:trPr>
          <w:trHeight w:val="24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2,884,731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19,909,907</w:t>
            </w: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1,215,943</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6,978,745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4,100,674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26,888,652</w:t>
            </w:r>
          </w:p>
        </w:tc>
      </w:tr>
      <w:tr>
        <w:trPr>
          <w:trHeight w:val="223"/>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16,883,189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267,774,539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2,291,672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13,189,587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19,174,861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280,964,126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606 securities with fair values aggregating 94.9% of the aggregated amortized cost as of December 31, 2023. Relevant holdings were comprised of 713 securities with fair values aggregating 93.6% of the aggregated amortized cost as of December 31, 2022. Credit loss provision (release) of $325,314 and nil have been recognized for 2023 and 2022,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98.2% and 97.7% of its fixed maturity securities rated investment grade as of December 31, 2023 and 2022, respectively. The following table summarizes the credit quality, by NAIC designation, of the Company’s fixed maturity securities available for sale, excluding redeemable preferred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31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191"/>
        </w:trPr>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NAIC Designation</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6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221,933,425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216,975,288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197,753,818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189,691,540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161,062,016</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157,346,803</w:t>
            </w:r>
          </w:p>
        </w:tc>
        <w:tc>
          <w:tcPr>
            <w:tcW w:w="2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156,261,804</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148,073,873</w:t>
            </w:r>
          </w:p>
        </w:tc>
      </w:tr>
      <w:tr>
        <w:trPr>
          <w:trHeight w:val="216"/>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6,418,829</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5,953,542</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7,080,305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6,635,786</w:t>
            </w: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982,290</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948,478</w:t>
            </w:r>
          </w:p>
        </w:tc>
        <w:tc>
          <w:tcPr>
            <w:tcW w:w="2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1,377,541</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1,157,454</w:t>
            </w:r>
          </w:p>
        </w:tc>
      </w:tr>
      <w:tr>
        <w:trPr>
          <w:trHeight w:val="216"/>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236,648</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51,875</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25,736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39,155</w:t>
            </w:r>
          </w:p>
        </w:tc>
      </w:tr>
      <w:tr>
        <w:trPr>
          <w:trHeight w:val="243"/>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18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15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390,634,441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381,275,986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362,500,511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345,598,492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a roll forward of the Company’s allowance for credit losses on fixed maturity securities available for sale: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And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of states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 U.S.</w:t>
            </w:r>
          </w:p>
        </w:tc>
        <w:tc>
          <w:tcPr>
            <w:tcW w:w="12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and</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1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Government</w:t>
            </w:r>
          </w:p>
        </w:tc>
        <w:tc>
          <w:tcPr>
            <w:tcW w:w="1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political</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backed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Agencies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utilities</w:t>
            </w:r>
          </w:p>
        </w:tc>
        <w:tc>
          <w:tcPr>
            <w:tcW w:w="12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6,049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267,549</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314,549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cumulative other than temporary credit impairments (“OTTI”) recognized in earnings on fixed maturity securities available for sale which was required to be presented prior to the adoption of ASU 2016-13:</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98919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9891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Securities not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Securities previously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9891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Securities that matured or were sold during the period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Securities due to an increase in expected cash flows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credit-related OTTI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98919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2022</w:t>
      </w:r>
    </w:p>
    <w:p>
      <w:pPr>
        <w:spacing w:after="0" w:line="27" w:lineRule="exact"/>
        <w:rPr>
          <w:sz w:val="20"/>
          <w:szCs w:val="20"/>
          <w:color w:val="auto"/>
        </w:rPr>
      </w:pPr>
    </w:p>
    <w:p>
      <w:pPr>
        <w:ind w:left="921" w:hanging="921"/>
        <w:spacing w:after="0"/>
        <w:tabs>
          <w:tab w:leader="none" w:pos="9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264,977</w:t>
      </w:r>
    </w:p>
    <w:p>
      <w:pPr>
        <w:spacing w:after="0" w:line="200" w:lineRule="exact"/>
        <w:rPr>
          <w:sz w:val="20"/>
          <w:szCs w:val="20"/>
          <w:color w:val="auto"/>
        </w:rPr>
      </w:pPr>
    </w:p>
    <w:p>
      <w:pPr>
        <w:spacing w:after="0" w:line="236" w:lineRule="exact"/>
        <w:rPr>
          <w:sz w:val="20"/>
          <w:szCs w:val="20"/>
          <w:color w:val="auto"/>
        </w:rPr>
      </w:pPr>
    </w:p>
    <w:p>
      <w:pPr>
        <w:ind w:left="1441"/>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41"/>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18"/>
          <w:szCs w:val="18"/>
          <w:color w:val="auto"/>
        </w:rPr>
        <w:t>(39,502)</w:t>
      </w:r>
    </w:p>
    <w:p>
      <w:pPr>
        <w:spacing w:after="0" w:line="36"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51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73" w:lineRule="exact"/>
        <w:rPr>
          <w:sz w:val="20"/>
          <w:szCs w:val="20"/>
          <w:color w:val="auto"/>
        </w:rPr>
      </w:pPr>
    </w:p>
    <w:p>
      <w:pPr>
        <w:ind w:left="921" w:hanging="921"/>
        <w:spacing w:after="0"/>
        <w:tabs>
          <w:tab w:leader="none" w:pos="9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51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79" w:space="720"/>
            <w:col w:w="4941"/>
          </w:cols>
          <w:pgMar w:left="320" w:top="688" w:right="339" w:bottom="1440" w:gutter="0" w:footer="0" w:header="0"/>
          <w:type w:val="continuous"/>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2023,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3"/>
        </w:trPr>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1"/>
                <w:szCs w:val="2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168,831,608</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166,186,132</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95,804,878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95,031,727</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85,638,077</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83,900,556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40,359,878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36,157,571</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260,000</w:t>
            </w:r>
          </w:p>
        </w:tc>
      </w:tr>
      <w:tr>
        <w:trPr>
          <w:trHeight w:val="223"/>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390,884,441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381,535,986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Years Ended December 31,</w:t>
            </w:r>
          </w:p>
        </w:tc>
        <w:tc>
          <w:tcPr>
            <w:tcW w:w="3380" w:type="dxa"/>
            <w:vAlign w:val="bottom"/>
          </w:tcPr>
          <w:p>
            <w:pPr>
              <w:spacing w:after="0"/>
              <w:rPr>
                <w:sz w:val="20"/>
                <w:szCs w:val="20"/>
                <w:color w:val="auto"/>
              </w:rPr>
            </w:pPr>
          </w:p>
        </w:tc>
      </w:tr>
      <w:tr>
        <w:trPr>
          <w:trHeight w:val="236"/>
        </w:trPr>
        <w:tc>
          <w:tcPr>
            <w:tcW w:w="48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380" w:type="dxa"/>
            <w:vAlign w:val="bottom"/>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2,557,074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3,091,105</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11,508</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(57,861)</w:t>
            </w:r>
          </w:p>
        </w:tc>
        <w:tc>
          <w:tcPr>
            <w:tcW w:w="3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(32,976)</w:t>
            </w:r>
          </w:p>
        </w:tc>
        <w:tc>
          <w:tcPr>
            <w:tcW w:w="3380" w:type="dxa"/>
            <w:vAlign w:val="bottom"/>
          </w:tcPr>
          <w:p>
            <w:pPr>
              <w:spacing w:after="0"/>
              <w:rPr>
                <w:sz w:val="18"/>
                <w:szCs w:val="18"/>
                <w:color w:val="auto"/>
              </w:rPr>
            </w:pPr>
          </w:p>
        </w:tc>
      </w:tr>
      <w:tr>
        <w:trPr>
          <w:trHeight w:val="439"/>
        </w:trPr>
        <w:tc>
          <w:tcPr>
            <w:tcW w:w="4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39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178"/>
        </w:trPr>
        <w:tc>
          <w:tcPr>
            <w:tcW w:w="3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6,206,650</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8,817,959</w:t>
            </w:r>
          </w:p>
        </w:tc>
        <w:tc>
          <w:tcPr>
            <w:tcW w:w="40" w:type="dxa"/>
            <w:vAlign w:val="bottom"/>
            <w:shd w:val="clear" w:color="auto" w:fill="CCEEFF"/>
          </w:tcPr>
          <w:p>
            <w:pPr>
              <w:spacing w:after="0"/>
              <w:rPr>
                <w:sz w:val="20"/>
                <w:szCs w:val="20"/>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1,909,215</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2,214,206</w:t>
            </w:r>
          </w:p>
        </w:tc>
        <w:tc>
          <w:tcPr>
            <w:tcW w:w="40" w:type="dxa"/>
            <w:vAlign w:val="bottom"/>
            <w:shd w:val="clear" w:color="auto" w:fill="CCEEFF"/>
          </w:tcPr>
          <w:p>
            <w:pPr>
              <w:spacing w:after="0"/>
              <w:rPr>
                <w:sz w:val="21"/>
                <w:szCs w:val="21"/>
                <w:color w:val="auto"/>
              </w:rPr>
            </w:pPr>
          </w:p>
        </w:tc>
      </w:tr>
      <w:tr>
        <w:trPr>
          <w:trHeight w:val="22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9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8,515,865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11,032,165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39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178"/>
        </w:trPr>
        <w:tc>
          <w:tcPr>
            <w:tcW w:w="3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27,903,952</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27,955,297</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2,101,052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1,866,453</w:t>
            </w:r>
          </w:p>
        </w:tc>
      </w:tr>
      <w:tr>
        <w:trPr>
          <w:trHeight w:val="223"/>
        </w:trPr>
        <w:tc>
          <w:tcPr>
            <w:tcW w:w="3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29,821,750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 See Note 7 of the Notes to the Consolidated Financial Statements for more information about the FHLB.</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6"/>
        </w:trPr>
        <w:tc>
          <w:tcPr>
            <w:tcW w:w="39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178"/>
        </w:trPr>
        <w:tc>
          <w:tcPr>
            <w:tcW w:w="3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6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93,903,089</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93,034,880</w:t>
            </w:r>
          </w:p>
        </w:tc>
        <w:tc>
          <w:tcPr>
            <w:tcW w:w="40" w:type="dxa"/>
            <w:vAlign w:val="bottom"/>
            <w:shd w:val="clear" w:color="auto" w:fill="CCEEFF"/>
          </w:tcPr>
          <w:p>
            <w:pPr>
              <w:spacing w:after="0"/>
              <w:rPr>
                <w:sz w:val="22"/>
                <w:szCs w:val="22"/>
                <w:color w:val="auto"/>
              </w:rPr>
            </w:pPr>
          </w:p>
        </w:tc>
      </w:tr>
      <w:tr>
        <w:trPr>
          <w:trHeight w:val="22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pledged as collateral</w:t>
            </w:r>
          </w:p>
        </w:tc>
        <w:tc>
          <w:tcPr>
            <w:tcW w:w="9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93,903,089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93,034,880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nine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aggregated net book value of commercial real estate serving as collateral for bank loans was $124,381,467 and $129,330,119 as of December 31, 2023 and 2022, respectively. The associated bank loan carrying values totaled $97,807,614 and $97,112,131 as of December 31,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and 2022, the Company did not record any impairment losses on commercial real estate held for investment or held for sale. Impairment losses, if any, are included in gains (losses) on investments and other assets on the consolidated statements of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and 2022, the Company recorded depreciation expense on commercial real estate held for investment of $6,278,828 and $6,090,575,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Net Book Value</w:t>
            </w:r>
          </w:p>
        </w:tc>
        <w:tc>
          <w:tcPr>
            <w:tcW w:w="19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243"/>
        </w:trPr>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21"/>
                <w:szCs w:val="21"/>
                <w:color w:val="auto"/>
              </w:rPr>
            </w:pPr>
          </w:p>
        </w:tc>
        <w:tc>
          <w:tcPr>
            <w:tcW w:w="19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21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$142,475,177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$147,627,946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2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19,250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2,380,847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31,778</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(2)</w:t>
            </w:r>
          </w:p>
        </w:tc>
        <w:tc>
          <w:tcPr>
            <w:tcW w:w="2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2,881,863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19,694</w:t>
            </w:r>
          </w:p>
        </w:tc>
      </w:tr>
      <w:tr>
        <w:trPr>
          <w:trHeight w:val="243"/>
        </w:trPr>
        <w:tc>
          <w:tcPr>
            <w:tcW w:w="2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23"/>
        </w:trPr>
        <w:tc>
          <w:tcPr>
            <w:tcW w:w="2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142,494,427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152,890,656</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627,542</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677,392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Center53</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property was moved to held for sale</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leases arise from the leasing of the Company’s commercial real estate held for investment. Initial lease terms generally range from three to ten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payments expected to be received.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11,816,339</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11,843,124</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10,695,017</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9,198,450</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9,009,534</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46,371,762</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98,934,226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Net Book Value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Total Square Footage</w:t>
            </w:r>
          </w:p>
        </w:tc>
      </w:tr>
      <w:tr>
        <w:trPr>
          <w:trHeight w:val="243"/>
        </w:trPr>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December 31,</w:t>
            </w: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14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09"/>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3,028,973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43"/>
        </w:trPr>
        <w:tc>
          <w:tcPr>
            <w:tcW w:w="14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3,028,973</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60" w:right="20" w:hanging="292"/>
        <w:spacing w:after="0" w:line="282"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approximately 93 acres of undeveloped land for $151,553 for 2023 and 2022. The remaining property for $2,877,420 was sold in February 2024 for a gain of approximately $250,000.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properties are being marketed with the assistance of commercial real estate brokers in Mississippi.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occasionally acquires a small portfolio of residential homes primarily because of loan foreclosures. The Company has the option to sell these properties or to continue to hold them for expected cash flow and price appreciation.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invests in residential subdivision development.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and 2022, the Company recorded impairment losses on residential real estate held for sale of nil and $94,000, respectively. Impairment losses, if any, are included in gains (losses) on investments and other assets on the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and 2022, the Company recorded depreciation expense on residential real estate held for investment of $10,592 and $10,592,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real estate held for investment is stated at cost and is depreciated over the estimated useful life, primarily using the straight-line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included in net investment income on the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2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Net Book Value</w:t>
      </w:r>
    </w:p>
    <w:p>
      <w:pPr>
        <w:spacing w:after="0" w:line="36"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17145</wp:posOffset>
            </wp:positionV>
            <wp:extent cx="1354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$ 40,924,865</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$ 38,437,960</w:t>
            </w:r>
          </w:p>
        </w:tc>
        <w:tc>
          <w:tcPr>
            <w:tcW w:w="60" w:type="dxa"/>
            <w:vAlign w:val="bottom"/>
            <w:tcBorders>
              <w:top w:val="single" w:sz="8" w:color="CCEEFF"/>
            </w:tcBorders>
            <w:shd w:val="clear" w:color="auto" w:fill="CCEEFF"/>
          </w:tcPr>
          <w:p>
            <w:pPr>
              <w:spacing w:after="0"/>
              <w:rPr>
                <w:sz w:val="19"/>
                <w:szCs w:val="19"/>
                <w:color w:val="auto"/>
              </w:rPr>
            </w:pPr>
          </w:p>
        </w:tc>
      </w:tr>
    </w:tbl>
    <w:p>
      <w:pPr>
        <w:ind w:left="3620" w:hanging="183"/>
        <w:spacing w:after="0"/>
        <w:tabs>
          <w:tab w:leader="none" w:pos="3620" w:val="left"/>
        </w:tabs>
        <w:numPr>
          <w:ilvl w:val="1"/>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40,924,865  $ 38,437,960</w:t>
      </w:r>
    </w:p>
    <w:p>
      <w:pPr>
        <w:spacing w:after="0" w:line="314" w:lineRule="exact"/>
        <w:rPr>
          <w:rFonts w:ascii="Times New Roman" w:cs="Times New Roman" w:eastAsia="Times New Roman" w:hAnsi="Times New Roman"/>
          <w:sz w:val="18"/>
          <w:szCs w:val="18"/>
          <w:u w:val="single" w:color="auto"/>
          <w:color w:val="auto"/>
        </w:rPr>
      </w:pPr>
    </w:p>
    <w:p>
      <w:pPr>
        <w:ind w:left="360" w:hanging="29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-299085</wp:posOffset>
            </wp:positionV>
            <wp:extent cx="13544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residential subdivision development in Utah.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24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available for sale</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40,739,201</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38,241,705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25"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color w:val="auto"/>
        </w:rPr>
        <w:t>Net Book Value</w:t>
      </w:r>
    </w:p>
    <w:p>
      <w:pPr>
        <w:spacing w:after="0" w:line="3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wp:posOffset>
            </wp:positionV>
            <wp:extent cx="133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0" w:lineRule="exact"/>
        <w:rPr>
          <w:sz w:val="20"/>
          <w:szCs w:val="20"/>
          <w:color w:val="auto"/>
        </w:rPr>
      </w:pPr>
    </w:p>
    <w:p>
      <w:pPr>
        <w:ind w:left="3600"/>
        <w:spacing w:after="0"/>
        <w:tabs>
          <w:tab w:leader="none" w:pos="472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154305"/>
                    </a:xfrm>
                    <a:prstGeom prst="rect">
                      <a:avLst/>
                    </a:prstGeom>
                    <a:noFill/>
                  </pic:spPr>
                </pic:pic>
              </a:graphicData>
            </a:graphic>
          </wp:anchor>
        </w:drawing>
      </w:r>
    </w:p>
    <w:p>
      <w:pPr>
        <w:spacing w:after="0" w:line="7" w:lineRule="exact"/>
        <w:rPr>
          <w:sz w:val="20"/>
          <w:szCs w:val="20"/>
          <w:color w:val="auto"/>
        </w:rPr>
      </w:pPr>
    </w:p>
    <w:p>
      <w:pPr>
        <w:spacing w:after="0"/>
        <w:tabs>
          <w:tab w:leader="none" w:pos="3280" w:val="left"/>
          <w:tab w:leader="none" w:pos="4180" w:val="left"/>
          <w:tab w:leader="none" w:pos="4400" w:val="left"/>
        </w:tabs>
        <w:rPr>
          <w:sz w:val="20"/>
          <w:szCs w:val="20"/>
          <w:color w:val="auto"/>
        </w:rPr>
      </w:pPr>
      <w:r>
        <w:rPr>
          <w:rFonts w:ascii="Times New Roman" w:cs="Times New Roman" w:eastAsia="Times New Roman" w:hAnsi="Times New Roman"/>
          <w:sz w:val="18"/>
          <w:szCs w:val="18"/>
          <w:color w:val="auto"/>
        </w:rPr>
        <w:t>Utah</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$ 11,010,029</w:t>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22860</wp:posOffset>
            </wp:positionV>
            <wp:extent cx="6089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5" w:lineRule="exact"/>
        <w:rPr>
          <w:sz w:val="20"/>
          <w:szCs w:val="20"/>
          <w:color w:val="auto"/>
        </w:rPr>
      </w:pPr>
    </w:p>
    <w:p>
      <w:pPr>
        <w:ind w:left="3300"/>
        <w:spacing w:after="0"/>
        <w:tabs>
          <w:tab w:leader="none" w:pos="4180" w:val="left"/>
          <w:tab w:leader="none" w:pos="4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$ 11,010,029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wp:posOffset>
            </wp:positionV>
            <wp:extent cx="13373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731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All sold in 2023</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investment or sale was nil and $11,010,029 as of December 31, 2023 and 2022,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commercial real estate owned by the Company. As of December 31, 2023,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Approximate Square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Location</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Business Segment</w:t>
            </w: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Footage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Ascension Way, Floors 4, 5 and 6, Salt</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City, UT - Center53 Building 2 (1)</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 and Sales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River Oaks Dr., Flowood, MS (1) (3)</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19,694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Street, Shreveport, LA (2)</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909</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Foisy Street, Alexandria, LA (2) (4)</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Sheppard Street, Minden, LA (2) (5)</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 3rd Street, Jena, LA (2) (3)</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1,737</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3" w:lineRule="exact"/>
        <w:rPr>
          <w:sz w:val="20"/>
          <w:szCs w:val="20"/>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 and sold during the first quarter of 2024</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 and currently under contract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mortgage loans held for investment pursuant to the accounting policy discussed in Note 1 of the Notes to Consolidated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December 31, 2023, the Company had 44%, 11%, 10%, 7% and 6%, of its mortgage loans from borrowers located in the states of Utah, Florida, California, Texas, and Arizona, respectively. As of December 31, 2022, the Company had 64%, 10%, 5% and 5% of its mortgage loans from borrowers located in the states of Utah, Florida, California, and Texas,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regarding the adoption of ASU 2016-13.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$237,000 and $226,000 as of December 31, 2023 and 2022,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36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December 31, 2023</w:t>
            </w:r>
          </w:p>
        </w:tc>
        <w:tc>
          <w:tcPr>
            <w:tcW w:w="6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1,739,980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43,202</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1,970,311</w:t>
            </w:r>
          </w:p>
        </w:tc>
        <w:tc>
          <w:tcPr>
            <w:tcW w:w="8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555,807</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(192,607)</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301,830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476,717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843,521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(136,926)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1,183,312</w:t>
            </w:r>
          </w:p>
        </w:tc>
        <w:tc>
          <w:tcPr>
            <w:tcW w:w="80" w:type="dxa"/>
            <w:vAlign w:val="bottom"/>
            <w:shd w:val="clear" w:color="auto" w:fill="CCEEFF"/>
          </w:tcPr>
          <w:p>
            <w:pPr>
              <w:spacing w:after="0"/>
              <w:rPr>
                <w:sz w:val="18"/>
                <w:szCs w:val="18"/>
                <w:color w:val="auto"/>
              </w:rPr>
            </w:pPr>
          </w:p>
        </w:tc>
      </w:tr>
      <w:tr>
        <w:trPr>
          <w:trHeight w:val="243"/>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23"/>
        </w:trPr>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1,219,653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2,390,894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3,818,653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3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2022</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1,469,571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43,202</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1,699,902</w:t>
            </w:r>
          </w:p>
        </w:tc>
        <w:tc>
          <w:tcPr>
            <w:tcW w:w="8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270,409</w:t>
            </w:r>
          </w:p>
        </w:tc>
        <w:tc>
          <w:tcPr>
            <w:tcW w:w="18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270,409</w:t>
            </w:r>
          </w:p>
        </w:tc>
        <w:tc>
          <w:tcPr>
            <w:tcW w:w="80" w:type="dxa"/>
            <w:vAlign w:val="bottom"/>
          </w:tcPr>
          <w:p>
            <w:pPr>
              <w:spacing w:after="0"/>
              <w:rPr>
                <w:sz w:val="18"/>
                <w:szCs w:val="18"/>
                <w:color w:val="auto"/>
              </w:rPr>
            </w:pPr>
          </w:p>
        </w:tc>
      </w:tr>
      <w:tr>
        <w:trPr>
          <w:trHeight w:val="243"/>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23"/>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 December 31, 2022</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1,739,980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 of the notes to the consolidated financial statements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36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December 31, 2023</w:t>
            </w: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3,387,673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3,387,673</w:t>
            </w: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3,472,760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3,472,760</w:t>
            </w: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405,000</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3,480,931</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3,885,931</w:t>
            </w:r>
          </w:p>
        </w:tc>
      </w:tr>
      <w:tr>
        <w:trPr>
          <w:trHeight w:val="24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1,241,508</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1,021,790</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2,263,298</w:t>
            </w:r>
          </w:p>
        </w:tc>
      </w:tr>
      <w:tr>
        <w:trPr>
          <w:trHeight w:val="223"/>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1,646,508</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11,363,154</w:t>
            </w:r>
          </w:p>
        </w:tc>
        <w:tc>
          <w:tcPr>
            <w:tcW w:w="3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13,009,662</w:t>
            </w:r>
          </w:p>
        </w:tc>
        <w:tc>
          <w:tcPr>
            <w:tcW w:w="100" w:type="dxa"/>
            <w:vAlign w:val="bottom"/>
            <w:tcBorders>
              <w:bottom w:val="single" w:sz="8" w:color="CCEEFF"/>
            </w:tcBorders>
          </w:tcPr>
          <w:p>
            <w:pPr>
              <w:spacing w:after="0"/>
              <w:rPr>
                <w:sz w:val="19"/>
                <w:szCs w:val="19"/>
                <w:color w:val="auto"/>
              </w:rPr>
            </w:pPr>
          </w:p>
        </w:tc>
      </w:tr>
      <w:tr>
        <w:trPr>
          <w:trHeight w:val="22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72,530,030</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91,790,433</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268,373,211</w:t>
            </w:r>
          </w:p>
        </w:tc>
        <w:tc>
          <w:tcPr>
            <w:tcW w:w="100" w:type="dxa"/>
            <w:vAlign w:val="bottom"/>
            <w:shd w:val="clear" w:color="auto" w:fill="CCEEFF"/>
          </w:tcPr>
          <w:p>
            <w:pPr>
              <w:spacing w:after="0"/>
              <w:rPr>
                <w:sz w:val="19"/>
                <w:szCs w:val="19"/>
                <w:color w:val="auto"/>
              </w:rPr>
            </w:pPr>
          </w:p>
        </w:tc>
      </w:tr>
      <w:tr>
        <w:trPr>
          <w:trHeight w:val="223"/>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74,176,538</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103,153,587</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281,382,873</w:t>
            </w:r>
          </w:p>
        </w:tc>
        <w:tc>
          <w:tcPr>
            <w:tcW w:w="100" w:type="dxa"/>
            <w:vAlign w:val="bottom"/>
            <w:tcBorders>
              <w:bottom w:val="single" w:sz="8" w:color="CCEEFF"/>
            </w:tcBorders>
          </w:tcPr>
          <w:p>
            <w:pPr>
              <w:spacing w:after="0"/>
              <w:rPr>
                <w:sz w:val="19"/>
                <w:szCs w:val="19"/>
                <w:color w:val="auto"/>
              </w:rPr>
            </w:pPr>
          </w:p>
        </w:tc>
      </w:tr>
      <w:tr>
        <w:trPr>
          <w:trHeight w:val="209"/>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(1,219,653)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(2,390,894)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(3,818,653)</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(172,989)</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(1,135,491)</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(314,746)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(1,623,226)</w:t>
            </w:r>
          </w:p>
        </w:tc>
      </w:tr>
      <w:tr>
        <w:trPr>
          <w:trHeight w:val="24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(216,705)</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(107,452)</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(324,157)</w:t>
            </w:r>
          </w:p>
        </w:tc>
      </w:tr>
      <w:tr>
        <w:trPr>
          <w:trHeight w:val="263"/>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72,567,191</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99,519,750</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103,529,896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275,616,837</w:t>
            </w:r>
          </w:p>
        </w:tc>
        <w:tc>
          <w:tcPr>
            <w:tcW w:w="100" w:type="dxa"/>
            <w:vAlign w:val="bottom"/>
            <w:tcBorders>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2022</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3,553,390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4,553,390</w:t>
            </w: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814,184</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814,184</w:t>
            </w: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1,286,211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1,286,211</w:t>
            </w: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405,000</w:t>
            </w:r>
          </w:p>
        </w:tc>
        <w:tc>
          <w:tcPr>
            <w:tcW w:w="2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876,174</w:t>
            </w: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1,281,174</w:t>
            </w:r>
          </w:p>
        </w:tc>
      </w:tr>
      <w:tr>
        <w:trPr>
          <w:trHeight w:val="223"/>
        </w:trPr>
        <w:tc>
          <w:tcPr>
            <w:tcW w:w="36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1,405,000</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6,529,959</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7,934,959</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3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44,906,955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86,825,664</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304,248,744</w:t>
            </w:r>
          </w:p>
        </w:tc>
        <w:tc>
          <w:tcPr>
            <w:tcW w:w="100" w:type="dxa"/>
            <w:vAlign w:val="bottom"/>
            <w:tcBorders>
              <w:bottom w:val="single" w:sz="8" w:color="CCEEFF"/>
            </w:tcBorders>
          </w:tcPr>
          <w:p>
            <w:pPr>
              <w:spacing w:after="0"/>
              <w:rPr>
                <w:sz w:val="19"/>
                <w:szCs w:val="19"/>
                <w:color w:val="auto"/>
              </w:rPr>
            </w:pPr>
          </w:p>
        </w:tc>
      </w:tr>
      <w:tr>
        <w:trPr>
          <w:trHeight w:val="22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46,311,955</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93,355,623</w:t>
            </w: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172,516,125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312,183,703</w:t>
            </w:r>
          </w:p>
        </w:tc>
        <w:tc>
          <w:tcPr>
            <w:tcW w:w="100" w:type="dxa"/>
            <w:vAlign w:val="bottom"/>
            <w:shd w:val="clear" w:color="auto" w:fill="CCEEFF"/>
          </w:tcPr>
          <w:p>
            <w:pPr>
              <w:spacing w:after="0"/>
              <w:rPr>
                <w:sz w:val="19"/>
                <w:szCs w:val="19"/>
                <w:color w:val="auto"/>
              </w:rPr>
            </w:pPr>
          </w:p>
        </w:tc>
      </w:tr>
      <w:tr>
        <w:trPr>
          <w:trHeight w:val="209"/>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(1,739,980)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(1,970,311)</w:t>
            </w: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(199,765)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(1,212,994)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(333,846)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(1,746,605)</w:t>
            </w: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(230,987)</w:t>
            </w:r>
          </w:p>
        </w:tc>
        <w:tc>
          <w:tcPr>
            <w:tcW w:w="22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(111,873)</w:t>
            </w: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(342,860)</w:t>
            </w:r>
          </w:p>
        </w:tc>
      </w:tr>
      <w:tr>
        <w:trPr>
          <w:trHeight w:val="223"/>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45,694,074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90,290,776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172,139,077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800" w:hanging="5472"/>
        <w:spacing w:after="0" w:line="657" w:lineRule="auto"/>
        <w:tabs>
          <w:tab w:leader="none" w:pos="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right="9260" w:firstLine="8"/>
        <w:spacing w:after="0" w:line="500" w:lineRule="auto"/>
        <w:tabs>
          <w:tab w:leader="none" w:pos="1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Credit Quality Indicators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4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8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$34,304,954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13,555,737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3,778,248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$61,169,068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5,115,231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12,602,470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43"/>
        </w:trPr>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63"/>
        </w:trPr>
        <w:tc>
          <w:tcPr>
            <w:tcW w:w="2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35,828,880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18,670,968</w:t>
            </w: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5,233,248</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4,913,313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$ 2,964,740</w:t>
            </w: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$ 6,565,389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74,176,538</w:t>
            </w: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6"/>
        </w:trPr>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6"/>
        </w:trPr>
        <w:tc>
          <w:tcPr>
            <w:tcW w:w="24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$20,990,000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$ 2,612,625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$33,180,678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8,338,880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8,496,127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3,483,248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3,952,764</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24,271,019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16"/>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9,174,841(1)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16,724,841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43"/>
        </w:trPr>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23"/>
        </w:trPr>
        <w:tc>
          <w:tcPr>
            <w:tcW w:w="2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35,828,880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18,670,968</w:t>
            </w: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5,233,248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4,913,313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$ 2,964,740</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$ 6,565,389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74,176,538</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82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(1) Commercial construction loan</w:t>
            </w:r>
          </w:p>
        </w:tc>
        <w:tc>
          <w:tcPr>
            <w:tcW w:w="6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4"/>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2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53,875,389</w:t>
            </w:r>
          </w:p>
        </w:tc>
        <w:tc>
          <w:tcPr>
            <w:tcW w:w="122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$ 7,156,934</w:t>
            </w:r>
          </w:p>
        </w:tc>
        <w:tc>
          <w:tcPr>
            <w:tcW w:w="9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$ 7,453,796</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12,040,357</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98,650,866</w:t>
            </w:r>
          </w:p>
        </w:tc>
        <w:tc>
          <w:tcPr>
            <w:tcW w:w="8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95.63%</w:t>
            </w: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2,202,114</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365,061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4,502,721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3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23"/>
        </w:trPr>
        <w:tc>
          <w:tcPr>
            <w:tcW w:w="2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15,337,828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56,077,503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$ 7,521,995</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$ 8,066,897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2,786,562</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13,362,802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103,153,587</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spacing w:after="0"/>
              <w:rPr>
                <w:sz w:val="19"/>
                <w:szCs w:val="19"/>
                <w:color w:val="auto"/>
              </w:rPr>
            </w:pPr>
          </w:p>
        </w:tc>
        <w:tc>
          <w:tcPr>
            <w:tcW w:w="3960" w:type="dxa"/>
            <w:vAlign w:val="bottom"/>
            <w:gridSpan w:val="1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67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$1,021,790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46"/>
        </w:trPr>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3,280,144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7,049,522</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$ 1,843,286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$ 1,746,970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446,675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5,206,095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19,572,692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10,962,770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44,371,320</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4,269,894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4,222,170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2,339,887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5,711,440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71,877,481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1,094,914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4,656,661</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1,408,815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2,097,757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2,445,267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11,703,414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1080" w:type="dxa"/>
            <w:vAlign w:val="bottom"/>
            <w:gridSpan w:val="3"/>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spacing w:after="0"/>
              <w:rPr>
                <w:sz w:val="21"/>
                <w:szCs w:val="21"/>
                <w:color w:val="auto"/>
              </w:rPr>
            </w:pPr>
          </w:p>
        </w:tc>
        <w:tc>
          <w:tcPr>
            <w:tcW w:w="1220" w:type="dxa"/>
            <w:vAlign w:val="bottom"/>
            <w:gridSpan w:val="3"/>
            <w:shd w:val="clear" w:color="auto" w:fill="CCEEFF"/>
          </w:tcPr>
          <w:p>
            <w:pPr>
              <w:spacing w:after="0"/>
              <w:rPr>
                <w:sz w:val="21"/>
                <w:szCs w:val="21"/>
                <w:color w:val="auto"/>
              </w:rPr>
            </w:pPr>
          </w:p>
        </w:tc>
        <w:tc>
          <w:tcPr>
            <w:tcW w:w="960" w:type="dxa"/>
            <w:vAlign w:val="bottom"/>
            <w:gridSpan w:val="2"/>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116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spacing w:after="0"/>
              <w:rPr>
                <w:sz w:val="21"/>
                <w:szCs w:val="21"/>
                <w:color w:val="auto"/>
              </w:rPr>
            </w:pPr>
          </w:p>
        </w:tc>
      </w:t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15,337,828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56,077,503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$ 7,521,995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$ 8,066,897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2,786,562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13,362,802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103,153,587</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5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of Total</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2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60,311,679</w:t>
            </w:r>
          </w:p>
        </w:tc>
        <w:tc>
          <w:tcPr>
            <w:tcW w:w="380" w:type="dxa"/>
            <w:vAlign w:val="bottom"/>
            <w:tcBorders>
              <w:top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16,624,182</w:t>
            </w: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27,116,887</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104,052,748</w:t>
            </w:r>
          </w:p>
        </w:tc>
        <w:tc>
          <w:tcPr>
            <w:tcW w:w="1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3"/>
        </w:trPr>
        <w:tc>
          <w:tcPr>
            <w:tcW w:w="3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16,624,182</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27,116,887</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56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40,215,360</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8,732,500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20,442,302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69,390,162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16"/>
        </w:trPr>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20,096,319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7,891,682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6,674,585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34,662,586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16,624,182</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27,116,887</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3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Principal Amounts Due</w:t>
            </w:r>
          </w:p>
        </w:tc>
        <w:tc>
          <w:tcPr>
            <w:tcW w:w="2240" w:type="dxa"/>
            <w:vAlign w:val="bottom"/>
            <w:gridSpan w:val="2"/>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700" w:type="dxa"/>
            <w:vAlign w:val="bottom"/>
            <w:tcBorders>
              <w:bottom w:val="single" w:sz="8" w:color="auto"/>
            </w:tcBorders>
            <w:gridSpan w:val="2"/>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contractual payments on mortgage loans held for investment by category as of December 31, 2023. Expected principal payments may differ from contractual obligations because certain borrowers may elect to pay off mortgage obligations with or without early 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Principal</w:t>
            </w:r>
          </w:p>
        </w:tc>
      </w:tr>
      <w:tr>
        <w:trPr>
          <w:trHeight w:val="216"/>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Amounts</w:t>
            </w:r>
          </w:p>
        </w:tc>
        <w:tc>
          <w:tcPr>
            <w:tcW w:w="24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Amounts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Amounts</w:t>
            </w:r>
          </w:p>
        </w:tc>
      </w:tr>
      <w:tr>
        <w:trPr>
          <w:trHeight w:val="234"/>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Due in</w:t>
            </w:r>
          </w:p>
        </w:tc>
        <w:tc>
          <w:tcPr>
            <w:tcW w:w="240" w:type="dxa"/>
            <w:vAlign w:val="bottom"/>
          </w:tcPr>
          <w:p>
            <w:pPr>
              <w:spacing w:after="0"/>
              <w:rPr>
                <w:sz w:val="20"/>
                <w:szCs w:val="20"/>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Due in</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Due</w:t>
            </w:r>
          </w:p>
        </w:tc>
      </w:tr>
      <w:tr>
        <w:trPr>
          <w:trHeight w:val="243"/>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1"/>
                <w:szCs w:val="21"/>
                <w:color w:val="auto"/>
              </w:rPr>
            </w:pPr>
          </w:p>
        </w:tc>
        <w:tc>
          <w:tcPr>
            <w:tcW w:w="15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4"/>
              </w:rPr>
              <w:t>1 Year</w:t>
            </w:r>
          </w:p>
        </w:tc>
        <w:tc>
          <w:tcPr>
            <w:tcW w:w="240" w:type="dxa"/>
            <w:vAlign w:val="bottom"/>
          </w:tcPr>
          <w:p>
            <w:pPr>
              <w:spacing w:after="0"/>
              <w:rPr>
                <w:sz w:val="21"/>
                <w:szCs w:val="21"/>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2-5 Years</w:t>
            </w: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Thereafter</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103,153,587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2,554,380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9,231,545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91,367,662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104,052,748</w:t>
            </w:r>
          </w:p>
        </w:tc>
        <w:tc>
          <w:tcPr>
            <w:tcW w:w="2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88,880,893</w:t>
            </w: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15,171,855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74,176,538</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39,562,489</w:t>
            </w: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19,457,975</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15,156,074</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281,382,873</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130,997,762</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43,861,375</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106,523,736</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34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10,829,629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10,621,443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3,709,754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3,997,484</w:t>
            </w:r>
          </w:p>
        </w:tc>
        <w:tc>
          <w:tcPr>
            <w:tcW w:w="40" w:type="dxa"/>
            <w:vAlign w:val="bottom"/>
          </w:tcPr>
          <w:p>
            <w:pPr>
              <w:spacing w:after="0"/>
              <w:rPr>
                <w:sz w:val="18"/>
                <w:szCs w:val="18"/>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4,329,468</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5,813,013</w:t>
            </w:r>
          </w:p>
        </w:tc>
        <w:tc>
          <w:tcPr>
            <w:tcW w:w="40" w:type="dxa"/>
            <w:vAlign w:val="bottom"/>
            <w:shd w:val="clear" w:color="auto" w:fill="CCEEFF"/>
          </w:tcPr>
          <w:p>
            <w:pPr>
              <w:spacing w:after="0"/>
              <w:rPr>
                <w:sz w:val="21"/>
                <w:szCs w:val="21"/>
                <w:color w:val="auto"/>
              </w:rPr>
            </w:pPr>
          </w:p>
        </w:tc>
      </w:tr>
      <w:tr>
        <w:trPr>
          <w:trHeight w:val="223"/>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4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18,868,851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20,431,941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26,736,471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26,510,594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45,605,322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46,942,536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(1,553,836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(1,609,951</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44,051,486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45,332,585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1 regarding the adoption of ASU 2016-13.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Allowance</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2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1,609,951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891,959</w:t>
            </w: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(948,074)</w:t>
            </w:r>
          </w:p>
        </w:tc>
      </w:tr>
      <w:tr>
        <w:trPr>
          <w:trHeight w:val="26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2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1,553,836</w:t>
            </w:r>
          </w:p>
        </w:tc>
        <w:tc>
          <w:tcPr>
            <w:tcW w:w="80" w:type="dxa"/>
            <w:vAlign w:val="bottom"/>
            <w:tcBorders>
              <w:bottom w:val="single" w:sz="8" w:color="CCEEFF"/>
            </w:tcBorders>
          </w:tcPr>
          <w:p>
            <w:pPr>
              <w:spacing w:after="0"/>
              <w:rPr>
                <w:sz w:val="22"/>
                <w:szCs w:val="22"/>
                <w:color w:val="auto"/>
              </w:rPr>
            </w:pPr>
          </w:p>
        </w:tc>
      </w:tr>
      <w:tr>
        <w:trPr>
          <w:trHeight w:val="196"/>
        </w:trPr>
        <w:tc>
          <w:tcPr>
            <w:tcW w:w="5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2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1,686,218</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889,480</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(965,747)</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2022</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from investments and other 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56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67,686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205,949</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(106,760)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(43,776)</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 release</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(325,314)</w:t>
            </w:r>
          </w:p>
        </w:tc>
        <w:tc>
          <w:tcPr>
            <w:tcW w:w="34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254,917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securities held at the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the period</w:t>
            </w:r>
          </w:p>
        </w:tc>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1,782,219</w:t>
            </w: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(2,109,556)</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197,194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1,239,332</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(71,792)</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(825,593)</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including call and put option derivatives: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214,349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686,703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(175,157)</w:t>
            </w:r>
          </w:p>
        </w:tc>
        <w:tc>
          <w:tcPr>
            <w:tcW w:w="340" w:type="dxa"/>
            <w:vAlign w:val="bottom"/>
          </w:tcPr>
          <w:p>
            <w:pPr>
              <w:spacing w:after="0"/>
              <w:rPr>
                <w:sz w:val="21"/>
                <w:szCs w:val="21"/>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1,837,342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includes gains and losses by the restricted assets and cemetery perpetual care trust investments of the cemeteries and mortuaries of $730,000 in net gains and $817,000 in net losses for 2023 and 2022,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Investments (Continued)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45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16,871,558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12,395,764</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616,989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511,118</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33,242,094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34,949,763</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14,786,017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14,563,269</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816,711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932,362</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18,118,391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18,112,840</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617,420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518,865</w:t>
            </w:r>
          </w:p>
        </w:tc>
      </w:tr>
      <w:tr>
        <w:trPr>
          <w:trHeight w:val="24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4,250,029</w:t>
            </w:r>
          </w:p>
        </w:tc>
        <w:tc>
          <w:tcPr>
            <w:tcW w:w="3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1,666,945</w:t>
            </w:r>
          </w:p>
        </w:tc>
      </w:tr>
      <w:tr>
        <w:trPr>
          <w:trHeight w:val="209"/>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89,319,209</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83,650,926</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(16,976,162)</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(17,453,334)</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72,343,047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66,197,592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and cemetery perpetual care trust investments of the cemeteries and mortuaries of $2,365,378 and $2,404,277 for 2023 and 2022,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6"/>
        </w:trPr>
        <w:tc>
          <w:tcPr>
            <w:tcW w:w="56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3,984,695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3,563,767</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20,451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14,496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2,661,092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3,220,709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3,486,115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3,455,305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18,437</w:t>
            </w:r>
          </w:p>
        </w:tc>
        <w:tc>
          <w:tcPr>
            <w:tcW w:w="3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7,598</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10,170,790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consolidated statement of earnings. Included in loans held for sale are loans in the process of foreclosure with an aggregate unpaid principal balance of $1,636,090 and nil as of December 31, 2023 and 2022, respectively. See Note 17 of the Notes to Consolidated Financial Statements for additional disclosures regarding loans held for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127,185,867</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141,337,811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(636,677)</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(158,191)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0" w:type="dxa"/>
            <w:vAlign w:val="bottom"/>
            <w:gridSpan w:val="5"/>
          </w:tcPr>
          <w:p>
            <w:pPr>
              <w:jc w:val="right"/>
              <w:ind w:right="12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6"/>
        </w:trPr>
        <w:tc>
          <w:tcPr>
            <w:tcW w:w="47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21,724,456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24,184,972</w:t>
            </w:r>
          </w:p>
        </w:tc>
        <w:tc>
          <w:tcPr>
            <w:tcW w:w="2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9,547,741</w:t>
            </w:r>
          </w:p>
        </w:tc>
        <w:tc>
          <w:tcPr>
            <w:tcW w:w="4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9,666,149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68,505,014</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153,870,807(1)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4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(1,123,615)</w:t>
            </w: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(4,308,638)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(478,460)</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(8,834,797)</w:t>
            </w: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4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(27,164)</w:t>
            </w:r>
          </w:p>
        </w:tc>
        <w:tc>
          <w:tcPr>
            <w:tcW w:w="4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(1,078,812)</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98,147,972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173,499,681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right"/>
        <w:ind w:left="5540" w:right="5440" w:hanging="5472"/>
        <w:spacing w:after="0" w:line="475" w:lineRule="auto"/>
        <w:tabs>
          <w:tab w:leader="none" w:pos="36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net gain of $34,051,938 for the sale of mortgage servicing rights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1,725,667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loan originations (1)</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27,164</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1,078,812</w:t>
            </w:r>
          </w:p>
        </w:tc>
        <w:tc>
          <w:tcPr>
            <w:tcW w:w="6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(1,205,598)</w:t>
            </w:r>
          </w:p>
        </w:tc>
        <w:tc>
          <w:tcPr>
            <w:tcW w:w="4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(1,800,284)</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1,725,667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2023, $27,164 in reserves were added at a rate of 4.3 basis points per loan, the equivalent of $430 per $1,000,000 in loans originated. This is a decrease over 2022, when $1,078,812 in reserves were added at a rate of 3.19 basis points per loan originated, the equivalent of $319 per $1,000,000 in loans originated. The Company monitors market data and trends, economic conditions (including forecasts) and its own experience to maintain adequate loss reserves on current production.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26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color w:val="auto"/>
              </w:rPr>
              <w:t>AND SUBSIDIARIES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2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2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 2023 and 2022</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Receivables</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3,252,840</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2,209,185</w:t>
            </w:r>
          </w:p>
        </w:tc>
        <w:tc>
          <w:tcPr>
            <w:tcW w:w="60" w:type="dxa"/>
            <w:vAlign w:val="bottom"/>
          </w:tcPr>
          <w:p>
            <w:pPr>
              <w:spacing w:after="0"/>
              <w:rPr>
                <w:sz w:val="18"/>
                <w:szCs w:val="18"/>
                <w:color w:val="auto"/>
              </w:rPr>
            </w:pPr>
          </w:p>
        </w:tc>
      </w:tr>
      <w:tr>
        <w:trPr>
          <w:trHeight w:val="243"/>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7,658,789</w:t>
            </w: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23,200,919</w:t>
            </w:r>
          </w:p>
        </w:tc>
        <w:tc>
          <w:tcPr>
            <w:tcW w:w="60" w:type="dxa"/>
            <w:vAlign w:val="bottom"/>
            <w:shd w:val="clear" w:color="auto" w:fill="CCEEFF"/>
          </w:tcPr>
          <w:p>
            <w:pPr>
              <w:spacing w:after="0"/>
              <w:rPr>
                <w:sz w:val="21"/>
                <w:szCs w:val="21"/>
                <w:color w:val="auto"/>
              </w:rPr>
            </w:pPr>
          </w:p>
        </w:tc>
      </w:tr>
      <w:tr>
        <w:trPr>
          <w:trHeight w:val="209"/>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17,233,202</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30,802,883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(1,897,887)</w:t>
            </w:r>
          </w:p>
        </w:tc>
        <w:tc>
          <w:tcPr>
            <w:tcW w:w="4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(2,229,791)</w:t>
            </w:r>
          </w:p>
        </w:tc>
      </w:tr>
      <w:tr>
        <w:trPr>
          <w:trHeight w:val="223"/>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24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15,335,315</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28,573,092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records an allowance for credit losses for its receivables in accordance with GAAP. See Note 1 regarding the adoption of ASU 2016-13.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6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Allowance</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(110,935)</w:t>
            </w:r>
          </w:p>
        </w:tc>
      </w:tr>
      <w:tr>
        <w:trPr>
          <w:trHeight w:val="24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(220,969)</w:t>
            </w:r>
          </w:p>
        </w:tc>
      </w:tr>
      <w:tr>
        <w:trPr>
          <w:trHeight w:val="26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10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1,897,887</w:t>
            </w:r>
          </w:p>
        </w:tc>
        <w:tc>
          <w:tcPr>
            <w:tcW w:w="80" w:type="dxa"/>
            <w:vAlign w:val="bottom"/>
            <w:tcBorders>
              <w:bottom w:val="single" w:sz="8" w:color="CCEEFF"/>
            </w:tcBorders>
          </w:tcPr>
          <w:p>
            <w:pPr>
              <w:spacing w:after="0"/>
              <w:rPr>
                <w:sz w:val="22"/>
                <w:szCs w:val="22"/>
                <w:color w:val="auto"/>
              </w:rPr>
            </w:pPr>
          </w:p>
        </w:tc>
      </w:tr>
      <w:tr>
        <w:trPr>
          <w:trHeight w:val="196"/>
        </w:trPr>
        <w:tc>
          <w:tcPr>
            <w:tcW w:w="6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11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1,800,725</w:t>
            </w: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799,888</w:t>
            </w: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(370,822)</w:t>
            </w: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2022</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5540" w:right="4680" w:hanging="5472"/>
        <w:spacing w:after="0" w:line="475" w:lineRule="auto"/>
        <w:tabs>
          <w:tab w:leader="none" w:pos="3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688" w:right="7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right="6220" w:firstLine="8"/>
        <w:spacing w:after="0" w:line="546" w:lineRule="auto"/>
        <w:tabs>
          <w:tab w:leader="none" w:pos="19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Value of Business Acquired, Goodwill and Other Intangible Assets </w:t>
      </w:r>
      <w:r>
        <w:rPr>
          <w:rFonts w:ascii="Times New Roman" w:cs="Times New Roman" w:eastAsia="Times New Roman" w:hAnsi="Times New Roman"/>
          <w:sz w:val="17"/>
          <w:szCs w:val="17"/>
          <w:color w:val="auto"/>
        </w:rPr>
        <w:t>Information regarding value of business acquired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484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r>
      <w:tr>
        <w:trPr>
          <w:trHeight w:val="223"/>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6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9,803,736</w:t>
            </w: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8,421,432</w:t>
            </w:r>
          </w:p>
        </w:tc>
        <w:tc>
          <w:tcPr>
            <w:tcW w:w="320" w:type="dxa"/>
            <w:vAlign w:val="bottom"/>
            <w:tcBorders>
              <w:top w:val="single" w:sz="8" w:color="CCEEFF"/>
            </w:tcBorders>
            <w:shd w:val="clear" w:color="auto" w:fill="CCEEFF"/>
          </w:tcPr>
          <w:p>
            <w:pPr>
              <w:spacing w:after="0"/>
              <w:rPr>
                <w:sz w:val="19"/>
                <w:szCs w:val="19"/>
                <w:color w:val="auto"/>
              </w:rPr>
            </w:pP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6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2,136,085</w:t>
            </w:r>
          </w:p>
        </w:tc>
        <w:tc>
          <w:tcPr>
            <w:tcW w:w="320" w:type="dxa"/>
            <w:vAlign w:val="bottom"/>
            <w:tcBorders>
              <w:bottom w:val="single" w:sz="8" w:color="CCEEFF"/>
            </w:tcBorders>
          </w:tcPr>
          <w:p>
            <w:pPr>
              <w:spacing w:after="0"/>
              <w:rPr>
                <w:sz w:val="19"/>
                <w:szCs w:val="19"/>
                <w:color w:val="auto"/>
              </w:rPr>
            </w:pP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at 7% included in earnings</w:t>
            </w: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626,666(1)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642,919(1)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earnings</w:t>
            </w: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(1,926,668)(1)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(1,907,250)(1)</w:t>
            </w:r>
          </w:p>
        </w:tc>
      </w:tr>
      <w:tr>
        <w:trPr>
          <w:trHeight w:val="198"/>
        </w:trPr>
        <w:tc>
          <w:tcPr>
            <w:tcW w:w="4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Shadow amortization included in other</w:t>
            </w:r>
          </w:p>
        </w:tc>
        <w:tc>
          <w:tcPr>
            <w:tcW w:w="1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61"/>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(36,121)</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510,550</w:t>
            </w: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16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(1,336,123</w:t>
            </w:r>
          </w:p>
        </w:tc>
        <w:tc>
          <w:tcPr>
            <w:tcW w:w="420" w:type="dxa"/>
            <w:vAlign w:val="bottom"/>
            <w:tcBorders>
              <w:bottom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(753,781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6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8,467,613</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9,803,736</w:t>
            </w:r>
          </w:p>
        </w:tc>
        <w:tc>
          <w:tcPr>
            <w:tcW w:w="320" w:type="dxa"/>
            <w:vAlign w:val="bottom"/>
            <w:tcBorders>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Amortization of deferred policy and pre-need acquisition costs and value of business acquired on the consolidated statements of earnings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Presuming no additional acquisitions, net amortization charged to income is expected to approximate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1,219,496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1,112,965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1,030,635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957,074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833,216</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3,314,227</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8,467,613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amortization may vary based on changes in assumptions or experience. As of December 31, 2023, value of business acquired is being amortized over a weighted average life of 5.1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center"/>
        <w:ind w:right="-3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right="4980" w:firstLine="8"/>
        <w:spacing w:after="0" w:line="500" w:lineRule="auto"/>
        <w:tabs>
          <w:tab w:leader="none" w:pos="1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Business Acquired, Goodwill and Other Intangible Assets</w:t>
      </w:r>
      <w:r>
        <w:rPr>
          <w:rFonts w:ascii="Times New Roman" w:cs="Times New Roman" w:eastAsia="Times New Roman" w:hAnsi="Times New Roman"/>
          <w:sz w:val="18"/>
          <w:szCs w:val="18"/>
          <w:color w:val="auto"/>
        </w:rPr>
        <w:t xml:space="preserve"> (Continued) Information regarding goodwill by segment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Cemetery/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20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Mortuary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2,765,570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2,488,213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60" w:type="dxa"/>
            <w:vAlign w:val="bottom"/>
          </w:tcPr>
          <w:p>
            <w:pPr>
              <w:spacing w:after="0"/>
              <w:rPr>
                <w:sz w:val="18"/>
                <w:szCs w:val="18"/>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7"/>
        </w:trPr>
        <w:tc>
          <w:tcPr>
            <w:tcW w:w="43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2,765,570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60" w:type="dxa"/>
            <w:vAlign w:val="bottom"/>
            <w:shd w:val="clear" w:color="auto" w:fill="CCEEFF"/>
          </w:tcPr>
          <w:p>
            <w:pPr>
              <w:spacing w:after="0"/>
              <w:rPr>
                <w:sz w:val="18"/>
                <w:szCs w:val="18"/>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9"/>
        </w:trPr>
        <w:tc>
          <w:tcPr>
            <w:tcW w:w="4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2,765,570</w:t>
            </w: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60" w:type="dxa"/>
            <w:vAlign w:val="bottom"/>
          </w:tcPr>
          <w:p>
            <w:pPr>
              <w:spacing w:after="0"/>
              <w:rPr>
                <w:sz w:val="18"/>
                <w:szCs w:val="18"/>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2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Goodwill is not amortized but is tested annually for impairment. The annual impairment tests resulted in no impairment of goodwill for 2023 and 2022.</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688" w:right="6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Business Acquired, Goodwill and Other Intangible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other intangible assets were as follows which is included in other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5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Useful Life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(1)</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other (1)</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 years</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(2)</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 years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610,000</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 customer lists (3)</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 years</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890,000</w:t>
            </w:r>
          </w:p>
        </w:tc>
        <w:tc>
          <w:tcPr>
            <w:tcW w:w="60" w:type="dxa"/>
            <w:vAlign w:val="bottom"/>
          </w:tcPr>
          <w:p>
            <w:pPr>
              <w:spacing w:after="0"/>
              <w:rPr>
                <w:sz w:val="18"/>
                <w:szCs w:val="18"/>
                <w:color w:val="auto"/>
              </w:rPr>
            </w:pPr>
          </w:p>
        </w:tc>
      </w:tr>
      <w:tr>
        <w:trPr>
          <w:trHeight w:val="24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(807,333)</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(553,333)</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3,256,667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60" w:hanging="29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Rivera Funerals, Cremations and Memorial Gardens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Kilpatrick Life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 Capital Corp</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2023 and 2022 was $254,000 and $256,000, respectively, and is included in other expenses on the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for the other intangible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254,000</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1,732,667</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Property and Equipment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is summarized below:</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09"/>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16,567,819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16,545,799</w:t>
            </w:r>
          </w:p>
        </w:tc>
        <w:tc>
          <w:tcPr>
            <w:tcW w:w="60" w:type="dxa"/>
            <w:vAlign w:val="bottom"/>
            <w:shd w:val="clear" w:color="auto" w:fill="CCEEFF"/>
          </w:tcPr>
          <w:p>
            <w:pPr>
              <w:spacing w:after="0"/>
              <w:rPr>
                <w:sz w:val="18"/>
                <w:szCs w:val="18"/>
                <w:color w:val="auto"/>
              </w:rPr>
            </w:pPr>
          </w:p>
        </w:tc>
      </w:tr>
      <w:tr>
        <w:trPr>
          <w:trHeight w:val="24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16,315,061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17,567,906</w:t>
            </w: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32,882,880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34,113,705</w:t>
            </w: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(13,707,781)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(13,534,056)</w:t>
            </w:r>
          </w:p>
        </w:tc>
      </w:tr>
      <w:tr>
        <w:trPr>
          <w:trHeight w:val="223"/>
        </w:trPr>
        <w:tc>
          <w:tcPr>
            <w:tcW w:w="4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19,175,099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20,579,649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2023 and 2022 was $2,351,661 and $2,496,906, respectively. Property and equipment are stated at cost and are depreciated over their estimated useful lives, primarily using the straight-line method. The Company recognized an impairment loss of $122,229 in 2023 on a property held by the life segment. This property is listed for sale and currently under contract. Impairment losses are included in gains (losses) on the consolidated statements of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Bank and Other Loans Payable</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payable are summarized as follows: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8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Prime rate note payable in monthly installments of $75,108 including principal and</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collateralized by shares of Security National Life Insurance Company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paid in full in</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2023.</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1,690,892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3.85% fixed note payable in monthly installments of $243,781 including principal</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$62,977,000, due June 2032.</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50,129,255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48,613,833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3.30% fixed note payable in monthly installments of $179,562 including principal</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$44,811,000, due April 2031.</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38,478,359</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39,298,298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4.7865% fixed interest only note payable in monthly installments, collateralized by</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property with a book value of approximately $16,594,000, due June 2028.</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9,200,000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9,200,000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$100,000,000, expired December 2023 due to the lender exiting the</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place.</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17,978,527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$100,000,000, matures November 2024.</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114,518</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29,768,762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2.5%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$75,000,000, expired December 2023 due to the lender exiting the</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place.</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15,131,410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$15,000,000, matures May 2024.</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7,617,455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15,550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bank and other loans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105,555,137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161,712,804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(9,543,052)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(65,560,608)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excluding current installments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96,012,085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96,152,196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554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tcBorders>
              <w:bottom w:val="single" w:sz="8" w:color="auto"/>
            </w:tcBorders>
            <w:gridSpan w:val="3"/>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 Membership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Des Moines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amount available for borrowings from the FHLB of Des Moines was approximately $77,324,238, compared with $80,312,445 as of December 31, 2022. United States Treasury fixed maturity securities with an estimated fair value of $88,400,026 as of December 31, 2023 have been pledged at the FHLB of Des Moines as collateral for current and potential borrowings compared with $86,338,880 at December 31, 2022. As of December 31, 2023 and 2022, the Company had no outstanding FHLB borrowings. As of December 31, 2023, the Company’s total investment in FHLB stock was $453,600 compared with $856,800 as of December 31, 2022. As of December 31, 2023, the Company was contingently liable under standby letters of credit aggregating $5,823,496. These letters of credit are to be used to cover any contingency related to additional risk assessments pertaining to the Company’s captive insurance program for $443,758 and for bonding of residential land development for $5,379,738.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Dallas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amount available for borrowings from the FHLB of Dallas was approximately $5,104,610, compared with $5,719,671 as of December 31, 2022. Mortgage-Backed fixed maturity securities with an estimated fair value of $5,503,063 as of December 31, 2023 have been pledged at the FHLB of Dallas as collateral for current and potential borrowings compared with $6,696,100 at December 31, 2022. As of December 31, 2023 and 2022, the Company had no outstanding FHLB borrowings. As of December 31, 2023, the Company’s total investment in FHLB stock was $1,826,200 compared with $1,743,500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Lines of Credit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$2,000,000 revolving line-of-credit with a bank with interest payable at the Prime rate plus 0.75% with a 3% prime floor, secured by the capital stock of Security National Life and maturing March 31, 2024, renewable annually. As of December 31, 2023, the Company was contingently liable under standby letters of credit aggregating $38,290, to be used as collateral for residential subdivision land development. The standby letters of credit will draw on the line of credit if necessary. The Company does not expect any material losses to result from the issuance of the standby letters of credit. As of December 31, 2023, there were no amounts outstanding under the revolving line-of-credit.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a $2,500,000 revolving line-of-credit with a bank with interest payable at the daily simple SOFR plus 2.35%, which includes a mandatory .10% credit spread adjustment, maturing March 31, 2024. As of December 31, 2023, the Company was contingently liable under standby letters of credit aggregating $1,250,000, to be used as collateral for SecurityNational Mortgage’s state licensing. The standby letters of credit will draw on the line of credit if necessary. The Company does not expect any material losses to result from the issuance of the standby letters of credit. As of December 31, 2023, there were no amounts outstanding under the revolving line-of-credit.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for Mortgage Warehouse Lines of Credit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allows SecurityNational Mortgage to borrow up to $100,000,000 for the sole purpose of funding mortgage loans (the “Texas Capital Bank Warehouse Line of Credit”). The agreement charges interest at the 1-Month SOFR rate plus 2.0% and matures on November 30, 2024.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allows SecurityNational Mortgage to borrow up to $15,000,000 for the sole purpose of funding mortgage loans (the “U.S. Bank Warehouse Line of Credit” and, together with the Texas Capital Bank Warehouse Line of Credit, the “Warehouse Lines of Credit”). The agreement charges interest at 2.10% plus the greater of (i) 0%, and (ii) the one-month forward-looking term rate based on SOFR and matures on May 26, 2024.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agreements for the warehouse lines of credit include cross default provisions where certain events of default under other of SecurityNational Mortgage’s obligations constitute events of default under the warehouse lines of credit. As of December 31, 2023, the Company was not in compliance with the net income covenant of the warehouse lines of credit and its operating cash flow covenant for its standby letter of credit with its primary bank. SecurityNational Mortgage has received or is in the process of receiving waivers under the warehouse lines of credit from the warehouse banks. In the unlikely event the Company is required to repay the outstanding advances of approximately $7,732,000 on the warehouse line of credit that has not provided a covenant waiver, the Company has sufficient cash and borrowing capacity on the warehouse lines of credit that have provided covenant waivers to fund its origination activities. The Company has performed an internal analysis of its funding capacities of both internal and external sources and has determined that there are sufficient funds to continue its business model. The Company continues to negotiate other warehouse lines of credit with other lenders.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for Revolving Lines of Credit and Bank Loans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debt covenants on its revolving lines of credit and is required to comply with minimum operating cash flow ratios and minimum net worth for each of its business segments. The Company also has debt covenants for one of its loans on real estate for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December 31, 2023, the Company was in compliance with all these debt covenants.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center"/>
        <w:ind w:right="-110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tabulation shows the combined maturities of bank and other loans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9,543,052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1,881,631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1,952,430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2,026,547</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11,296,737</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78,854,740</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105,555,137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2023 and 2022 was $4,865,327 and $7,830,443, respectively.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4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477,797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477,525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115,792</w:t>
            </w:r>
          </w:p>
        </w:tc>
        <w:tc>
          <w:tcPr>
            <w:tcW w:w="3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110,678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60" w:type="dxa"/>
            <w:vAlign w:val="bottom"/>
            <w:gridSpan w:val="2"/>
            <w:vMerge w:val="continue"/>
          </w:tcPr>
          <w:p>
            <w:pPr>
              <w:spacing w:after="0"/>
              <w:rPr>
                <w:sz w:val="15"/>
                <w:szCs w:val="15"/>
                <w:color w:val="auto"/>
              </w:rPr>
            </w:pPr>
          </w:p>
        </w:tc>
        <w:tc>
          <w:tcPr>
            <w:tcW w:w="420" w:type="dxa"/>
            <w:vAlign w:val="bottom"/>
            <w:gridSpan w:val="2"/>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647,261</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(5,859)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641,704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42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4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3,614,392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859,680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(146,771)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4,327,301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247,360</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246,865</w:t>
            </w: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2,867,047</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8,082,917</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(5,326,196)</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4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2,756,721</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Amortized Cost</w:t>
            </w:r>
          </w:p>
        </w:tc>
        <w:tc>
          <w:tcPr>
            <w:tcW w:w="2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2022:</w:t>
            </w:r>
          </w:p>
        </w:tc>
        <w:tc>
          <w:tcPr>
            <w:tcW w:w="2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89,004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89,008</w:t>
            </w:r>
          </w:p>
        </w:tc>
        <w:tc>
          <w:tcPr>
            <w:tcW w:w="0" w:type="dxa"/>
            <w:vAlign w:val="bottom"/>
          </w:tcPr>
          <w:p>
            <w:pPr>
              <w:spacing w:after="0"/>
              <w:rPr>
                <w:sz w:val="1"/>
                <w:szCs w:val="1"/>
                <w:color w:val="auto"/>
              </w:rPr>
            </w:pPr>
          </w:p>
        </w:tc>
      </w:tr>
      <w:tr>
        <w:trPr>
          <w:trHeight w:val="243"/>
        </w:trPr>
        <w:tc>
          <w:tcPr>
            <w:tcW w:w="3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174,201</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165,723</w:t>
            </w:r>
          </w:p>
        </w:tc>
        <w:tc>
          <w:tcPr>
            <w:tcW w:w="0" w:type="dxa"/>
            <w:vAlign w:val="bottom"/>
          </w:tcPr>
          <w:p>
            <w:pPr>
              <w:spacing w:after="0"/>
              <w:rPr>
                <w:sz w:val="1"/>
                <w:szCs w:val="1"/>
                <w:color w:val="auto"/>
              </w:rPr>
            </w:pPr>
          </w:p>
        </w:tc>
      </w:tr>
      <w:tr>
        <w:trPr>
          <w:trHeight w:val="178"/>
        </w:trPr>
        <w:tc>
          <w:tcPr>
            <w:tcW w:w="3760" w:type="dxa"/>
            <w:vAlign w:val="bottom"/>
            <w:tcBorders>
              <w:top w:val="single" w:sz="8" w:color="CCEEFF"/>
            </w:tcBorders>
            <w:gridSpan w:val="3"/>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263,205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254,731</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3,195,942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584,383</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(175,163)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3,605,162</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3,195,942</w:t>
            </w:r>
          </w:p>
        </w:tc>
        <w:tc>
          <w:tcPr>
            <w:tcW w:w="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584,383</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3,605,162</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1,506,517</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investment: Residential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(16,178)</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1,925,978</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7,276,210</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(5,099,542)</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2,176,668</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2023 and 2022. The unrealized losses were primarily related to interest rate fluctuations.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Less than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Twelve</w:t>
            </w:r>
          </w:p>
        </w:tc>
        <w:tc>
          <w:tcPr>
            <w:tcW w:w="10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Pr>
          <w:p>
            <w:pPr>
              <w:spacing w:after="0"/>
              <w:rPr>
                <w:sz w:val="20"/>
                <w:szCs w:val="20"/>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69"/>
        </w:trPr>
        <w:tc>
          <w:tcPr>
            <w:tcW w:w="38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At December 31, 2023</w:t>
            </w: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143,448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143,448</w:t>
            </w:r>
          </w:p>
        </w:tc>
        <w:tc>
          <w:tcPr>
            <w:tcW w:w="60" w:type="dxa"/>
            <w:vAlign w:val="bottom"/>
          </w:tcPr>
          <w:p>
            <w:pPr>
              <w:spacing w:after="0"/>
              <w:rPr>
                <w:sz w:val="20"/>
                <w:szCs w:val="20"/>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110,678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110,678</w:t>
            </w:r>
          </w:p>
        </w:tc>
        <w:tc>
          <w:tcPr>
            <w:tcW w:w="60" w:type="dxa"/>
            <w:vAlign w:val="bottom"/>
            <w:shd w:val="clear" w:color="auto" w:fill="CCEEFF"/>
          </w:tcPr>
          <w:p>
            <w:pPr>
              <w:spacing w:after="0"/>
              <w:rPr>
                <w:sz w:val="18"/>
                <w:szCs w:val="18"/>
                <w:color w:val="auto"/>
              </w:rPr>
            </w:pPr>
          </w:p>
        </w:tc>
      </w:tr>
      <w:tr>
        <w:trPr>
          <w:trHeight w:val="24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53,501</w:t>
            </w:r>
          </w:p>
        </w:tc>
        <w:tc>
          <w:tcPr>
            <w:tcW w:w="60" w:type="dxa"/>
            <w:vAlign w:val="bottom"/>
          </w:tcPr>
          <w:p>
            <w:pPr>
              <w:spacing w:after="0"/>
              <w:rPr>
                <w:sz w:val="21"/>
                <w:szCs w:val="21"/>
                <w:color w:val="auto"/>
              </w:rPr>
            </w:pPr>
          </w:p>
        </w:tc>
      </w:tr>
      <w:tr>
        <w:trPr>
          <w:trHeight w:val="223"/>
        </w:trPr>
        <w:tc>
          <w:tcPr>
            <w:tcW w:w="3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143,448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164,179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307,627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38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2022</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59,392</w:t>
            </w:r>
          </w:p>
        </w:tc>
        <w:tc>
          <w:tcPr>
            <w:tcW w:w="60" w:type="dxa"/>
            <w:vAlign w:val="bottom"/>
          </w:tcPr>
          <w:p>
            <w:pPr>
              <w:spacing w:after="0"/>
              <w:rPr>
                <w:sz w:val="20"/>
                <w:szCs w:val="20"/>
                <w:color w:val="auto"/>
              </w:rPr>
            </w:pPr>
          </w:p>
        </w:tc>
      </w:tr>
      <w:tr>
        <w:trPr>
          <w:trHeight w:val="24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94,612</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71,112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165,724</w:t>
            </w:r>
          </w:p>
        </w:tc>
        <w:tc>
          <w:tcPr>
            <w:tcW w:w="60" w:type="dxa"/>
            <w:vAlign w:val="bottom"/>
            <w:shd w:val="clear" w:color="auto" w:fill="CCEEFF"/>
          </w:tcPr>
          <w:p>
            <w:pPr>
              <w:spacing w:after="0"/>
              <w:rPr>
                <w:sz w:val="21"/>
                <w:szCs w:val="2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154,004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225,116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four securities with fair values aggregating 98.1% of aggregate amortized cost as of December 31, 2023. There were five securities with fair values aggregating 96.4% of aggregate amortized cost as of December 31, 2022. No credit losses have been recognized for 2023 and 2022, since the increase in unrealized losses is primarily a result of increases in interest rates. See Note 2 for additional information regarding the Company’s evaluation of the allowance for credit losses for fixed maturity securities available for sale.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333,775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334,077</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259,814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254,126</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53,501</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641,704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-753745</wp:posOffset>
            </wp:positionV>
            <wp:extent cx="4989195"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-470535</wp:posOffset>
            </wp:positionV>
            <wp:extent cx="49891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7"/>
              </w:rPr>
              <w:t>Amortized Cost</w:t>
            </w:r>
          </w:p>
        </w:tc>
        <w:tc>
          <w:tcPr>
            <w:tcW w:w="2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23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932,737</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1,433</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933,170</w:t>
            </w: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648,533</w:t>
            </w:r>
          </w:p>
        </w:tc>
      </w:tr>
      <w:tr>
        <w:trPr>
          <w:trHeight w:val="243"/>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274,688</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272,157</w:t>
            </w:r>
          </w:p>
        </w:tc>
      </w:tr>
      <w:tr>
        <w:trPr>
          <w:trHeight w:val="178"/>
        </w:trPr>
        <w:tc>
          <w:tcPr>
            <w:tcW w:w="3860" w:type="dxa"/>
            <w:vAlign w:val="bottom"/>
            <w:gridSpan w:val="2"/>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01"/>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1,860,195</w:t>
            </w:r>
          </w:p>
        </w:tc>
        <w:tc>
          <w:tcPr>
            <w:tcW w:w="2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1,947</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1,853,860</w:t>
            </w: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6,516,044</w:t>
            </w:r>
          </w:p>
        </w:tc>
        <w:tc>
          <w:tcPr>
            <w:tcW w:w="2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1,117,155</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(247,996)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7,385,203</w:t>
            </w:r>
          </w:p>
        </w:tc>
      </w:tr>
      <w:tr>
        <w:trPr>
          <w:trHeight w:val="223"/>
        </w:trPr>
        <w:tc>
          <w:tcPr>
            <w:tcW w:w="38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7,385,203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3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676,572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63"/>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675,219</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10,114,694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20,028,976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5540" w:right="3920" w:hanging="5472"/>
        <w:spacing w:after="0" w:line="657" w:lineRule="auto"/>
        <w:tabs>
          <w:tab w:leader="none" w:pos="3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$6,930,933 for the life insurance and mortgage segments.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right="4260" w:firstLine="8"/>
        <w:spacing w:after="0" w:line="500" w:lineRule="auto"/>
        <w:tabs>
          <w:tab w:leader="none" w:pos="1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 Restricted assets as of December 31, 2022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Gross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2022:</w:t>
            </w:r>
          </w:p>
        </w:tc>
        <w:tc>
          <w:tcPr>
            <w:tcW w:w="23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1,033,047</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1,018,553</w:t>
            </w: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201,771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198,755</w:t>
            </w:r>
          </w:p>
        </w:tc>
      </w:tr>
      <w:tr>
        <w:trPr>
          <w:trHeight w:val="178"/>
        </w:trPr>
        <w:tc>
          <w:tcPr>
            <w:tcW w:w="386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1,234,818</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1,217,308</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4,955,360</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703,049</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(310,165)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5,348,244</w:t>
            </w:r>
          </w:p>
        </w:tc>
      </w:tr>
      <w:tr>
        <w:trPr>
          <w:trHeight w:val="263"/>
        </w:trPr>
        <w:tc>
          <w:tcPr>
            <w:tcW w:w="3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4,955,360</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703,049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(310,165</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5,348,244</w:t>
            </w:r>
          </w:p>
        </w:tc>
        <w:tc>
          <w:tcPr>
            <w:tcW w:w="8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1,731,469</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63"/>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10,638,034</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18,935,055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Including cash and cash equivalents of $8,527,620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surplus note receivable in the amount of $4,000,000 at December 31, 2023 and 2022, from Security National Life, was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2023 and 2022. The unrealized losses were primarily related to interest rate fluctuations.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Twelve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Months</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Loss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At December 31, 2023</w:t>
            </w: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249,877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249,877</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451,985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451,985</w:t>
            </w: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221,334</w:t>
            </w:r>
          </w:p>
        </w:tc>
        <w:tc>
          <w:tcPr>
            <w:tcW w:w="16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221,334</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760,255</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818,327</w:t>
            </w: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3,016</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198,755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198,755</w:t>
            </w: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1,017,082</w:t>
            </w:r>
          </w:p>
        </w:tc>
        <w:tc>
          <w:tcPr>
            <w:tcW w:w="10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200" w:hanging="192"/>
        <w:spacing w:after="0"/>
        <w:tabs>
          <w:tab w:leader="none" w:pos="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12 securities with fair values aggregating 99.1% of aggregate amortized cost as of December 31, 2023. Relevant holdings were comprised of 17 securities with fair values aggregating of 98.2% of aggregate amortized cost at December 31, 2022. No credit losses have been recognized for 2023 and 2022,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681,860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683,293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457,618</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147,422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147,121</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568,724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565,828</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1,853,860</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-753745</wp:posOffset>
            </wp:positionV>
            <wp:extent cx="498919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-471170</wp:posOffset>
            </wp:positionV>
            <wp:extent cx="498919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See Notes 1, 2 and 17 for additional information regarding restricted assets and cemetery perpetual care trust investments.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3" w:name="page94"/>
    <w:bookmarkEnd w:id="93"/>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Income Taxes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liability is summarized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16,352,190</w:t>
            </w:r>
          </w:p>
        </w:tc>
        <w:tc>
          <w:tcPr>
            <w:tcW w:w="80" w:type="dxa"/>
            <w:vAlign w:val="bottom"/>
            <w:shd w:val="clear" w:color="auto" w:fill="CCEEFF"/>
          </w:tcPr>
          <w:p>
            <w:pPr>
              <w:spacing w:after="0"/>
              <w:rPr>
                <w:sz w:val="18"/>
                <w:szCs w:val="18"/>
                <w:color w:val="auto"/>
              </w:rPr>
            </w:pPr>
          </w:p>
        </w:tc>
      </w:tr>
      <w:tr>
        <w:trPr>
          <w:trHeight w:val="24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13,506,544</w:t>
            </w:r>
          </w:p>
        </w:tc>
        <w:tc>
          <w:tcPr>
            <w:tcW w:w="4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14,358,337</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13,752,981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30,710,527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approximately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14,902,816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14,605,453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reserve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142,281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448,673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534,203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582,459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1,050,770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237,855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2,138,385</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2,166,593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unrealized appreciation</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491,271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2,590,726</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917,335</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601,335</w:t>
            </w: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(1,506,144)</w:t>
            </w: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20,177,061</w:t>
            </w:r>
          </w:p>
        </w:tc>
        <w:tc>
          <w:tcPr>
            <w:tcW w:w="26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19,726,950</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18,478,562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17,511,778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Basis difference in property, equipment and real estate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11,054,092</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11,959,391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1,778,199</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2,058,785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1,308,365</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1,490,946</w:t>
            </w: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1,064,387</w:t>
            </w: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1,064,387</w:t>
            </w: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33,683,605</w:t>
            </w:r>
          </w:p>
        </w:tc>
        <w:tc>
          <w:tcPr>
            <w:tcW w:w="26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34,085,287</w:t>
            </w:r>
          </w:p>
        </w:tc>
        <w:tc>
          <w:tcPr>
            <w:tcW w:w="80" w:type="dxa"/>
            <w:vAlign w:val="bottom"/>
            <w:tcBorders>
              <w:bottom w:val="single" w:sz="8" w:color="CCEEFF"/>
            </w:tcBorders>
          </w:tcPr>
          <w:p>
            <w:pPr>
              <w:spacing w:after="0"/>
              <w:rPr>
                <w:sz w:val="19"/>
                <w:szCs w:val="19"/>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13,506,544</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14,358,337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relates to differences between recorded deferred tax assets and liabilities and ultimate anticipated realization.</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Income Taxes (Continued)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expense is summarized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4,091,306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15,346,331</w:t>
            </w:r>
          </w:p>
        </w:tc>
        <w:tc>
          <w:tcPr>
            <w:tcW w:w="60" w:type="dxa"/>
            <w:vAlign w:val="bottom"/>
          </w:tcPr>
          <w:p>
            <w:pPr>
              <w:spacing w:after="0"/>
              <w:rPr>
                <w:sz w:val="18"/>
                <w:szCs w:val="18"/>
                <w:color w:val="auto"/>
              </w:rPr>
            </w:pPr>
          </w:p>
        </w:tc>
      </w:tr>
      <w:tr>
        <w:trPr>
          <w:trHeight w:val="243"/>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209,537</w:t>
            </w:r>
          </w:p>
        </w:tc>
        <w:tc>
          <w:tcPr>
            <w:tcW w:w="4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3,294,234</w:t>
            </w:r>
          </w:p>
        </w:tc>
        <w:tc>
          <w:tcPr>
            <w:tcW w:w="60" w:type="dxa"/>
            <w:vAlign w:val="bottom"/>
            <w:shd w:val="clear" w:color="auto" w:fill="CCEEFF"/>
          </w:tcPr>
          <w:p>
            <w:pPr>
              <w:spacing w:after="0"/>
              <w:rPr>
                <w:sz w:val="21"/>
                <w:szCs w:val="21"/>
                <w:color w:val="auto"/>
              </w:rPr>
            </w:pPr>
          </w:p>
        </w:tc>
      </w:tr>
      <w:tr>
        <w:trPr>
          <w:trHeight w:val="210"/>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4,300,843</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18,640,565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(2,139,124)</w:t>
            </w:r>
          </w:p>
        </w:tc>
        <w:tc>
          <w:tcPr>
            <w:tcW w:w="4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(7,400,620)</w:t>
            </w:r>
          </w:p>
        </w:tc>
      </w:tr>
      <w:tr>
        <w:trPr>
          <w:trHeight w:val="243"/>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(356,365)</w:t>
            </w:r>
          </w:p>
        </w:tc>
        <w:tc>
          <w:tcPr>
            <w:tcW w:w="48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(2,553,385)</w:t>
            </w:r>
          </w:p>
        </w:tc>
      </w:tr>
      <w:tr>
        <w:trPr>
          <w:trHeight w:val="223"/>
        </w:trPr>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(2,495,489</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(9,954,005</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1,805,354</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expense at the U.S. federal statutory rates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expense at statutory rate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3,423,086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7,219,141</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 tax expense (benefit), net of federal tax benefit</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(115,994)</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585,269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(1,506,144)</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623,609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4,406</w:t>
            </w:r>
          </w:p>
        </w:tc>
        <w:tc>
          <w:tcPr>
            <w:tcW w:w="4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258,541</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overall effective tax rate for 2023 and 2022 was 11.1% and 25.3% respectively. The Company’s effective tax rates differ from the U.S. federal statutory rate of 21% partially due to its provision for state income taxes and a decrease to the valuation allowance related to Kilpatrick Life Insurance Company. The decrease in the effective tax rate when compared to the prior year is partially due to a decrease to the valuation allowance in the current period when compared to the prior period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 significant unrecognized tax benefits. As of December 31, 2023, the Company does not expect any material changes to the estimated amount of unrecognized tax benefits in the next twelve months. Federal and state income tax returns for 2020 through 2023 are subject to examination by taxing authorities.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Year of Expiration</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 up through 2038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903,042</w:t>
            </w:r>
          </w:p>
        </w:tc>
      </w:tr>
      <w:tr>
        <w:trPr>
          <w:trHeight w:val="24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 carryforwards</w:t>
            </w:r>
          </w:p>
        </w:tc>
        <w:tc>
          <w:tcPr>
            <w:tcW w:w="3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2,396,389</w:t>
            </w:r>
          </w:p>
        </w:tc>
      </w:tr>
      <w:tr>
        <w:trPr>
          <w:trHeight w:val="223"/>
        </w:trPr>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3,299,431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various life companies and has assets held in trust related to certain agreements. The Company is ultimately liable for these reinsured amounts in the event such reinsurers are unable to pay their portion of the claims. The Company evaluates the financial condition of reinsurers and monitors the concentration of credit risk. The Company had a significant concentration of credit risk with a single reinsurer of 94.0% and 93.7% of ceded life insurance in force as of December 31, 2023 and 2022, respectively. This represented approximately 8.8% and 11.3% of the Company’s total life insurance in force as of December 31, 2023 and 2022, respectively. See Financial Statement Schedule IV for information regarding life insurance in force and premiums for reinsurance.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potential losses on loans sold. See Note 3 for additional information about the Company’s loan loss reserve.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Non-Cancelable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and equipment under various non-cancelable agreements. See Note 23 regarding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December 31, 2023, the Company’s commitments were approximately $146,953,000 for these loans, of which $104,977,000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The Company believes that none of the actions, if adversely determined, will have a material effect on the Company’s financial position or results of operations. Based on the Company’s assessment and legal counsel’s representations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Retirement Plans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401(k) savings plans covering all eligible employees which include employer participation in accordance with the provisions of Section 401(k) of the Internal Revenue Code. The plans allow participants to make pretax contributions up to a maximum of $22,500 and $20,500 for the years 2023 and 2022, respectively or the statutory limits. The Company matched 100% of up to 3% of an employee’s total annual compensation and matched 50% of 4% to 5% of an employee’s annual compensation. The match was in Company stock. The Company’s contribution for 2023 and 2022 was $1,819,275 and $2,573,956, respectively under the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Non-Qualified Deferred Compensation Plan.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2023 and 2022.</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December 2, 2022, the Board members approved a motion to extend the Chief Executive Officer’s employment agreement, dated December 4, 2012, for an additional two-year term ending December 2024.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If the Chief Executive Officer dies prior to receiving all retirement benefits thereunder, the remaining benefits are to be paid to his heirs. The Company expensed nil and nil during 2023 and 2022, respectively, to cover the present value of anticipated retirement benefits under the employment agreement. The liability accrued was $7,556,363 and $7,556,363 as of December 31, 2023 and 2022, respectively.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through its wholly owned subsidiary, SecurityNational Mortgage,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If this individual dies prior to receiving all his retirement benefits under his employment agreement, the remaining benefits will be made to his heirs. The company paid $133,843 and $133,843 in retirement compensation to this individual during 2023 and 2022, respectively. The liability accrued was $267,686 and $401,529 as of December 31, 2023 and 2022, respectively and is included in other liabilities and accrued expenses on the consolidated balance sheets.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class of preferred stock of $1.00 par value, 5,000,000 shares authorized, of which none are issued. The preferred stock is non-voting.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one-to-one ratio.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both Class A and Class C common stock have received 5% stock dividends in the years 1990 through 2019, a 7.5% stock dividend in the year 2020, and a 5% stock dividend in the years 2021 through 2023, as authorized by the Company’s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9"/>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Class A</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Class C</w:t>
            </w:r>
          </w:p>
        </w:tc>
        <w:tc>
          <w:tcPr>
            <w:tcW w:w="3380" w:type="dxa"/>
            <w:vAlign w:val="bottom"/>
          </w:tcPr>
          <w:p>
            <w:pPr>
              <w:spacing w:after="0"/>
              <w:rPr>
                <w:sz w:val="24"/>
                <w:szCs w:val="24"/>
                <w:color w:val="auto"/>
              </w:rPr>
            </w:pP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2,866,565</w:t>
            </w:r>
          </w:p>
        </w:tc>
        <w:tc>
          <w:tcPr>
            <w:tcW w:w="33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109,587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889,554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116,168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3380" w:type="dxa"/>
            <w:vAlign w:val="bottom"/>
          </w:tcPr>
          <w:p>
            <w:pPr>
              <w:spacing w:after="0"/>
              <w:rPr>
                <w:sz w:val="18"/>
                <w:szCs w:val="18"/>
                <w:color w:val="auto"/>
              </w:rPr>
            </w:pPr>
          </w:p>
        </w:tc>
      </w:tr>
      <w:tr>
        <w:trPr>
          <w:trHeight w:val="243"/>
        </w:trPr>
        <w:tc>
          <w:tcPr>
            <w:tcW w:w="49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380" w:type="dxa"/>
            <w:vAlign w:val="bottom"/>
          </w:tcPr>
          <w:p>
            <w:pPr>
              <w:spacing w:after="0"/>
              <w:rPr>
                <w:sz w:val="21"/>
                <w:szCs w:val="21"/>
                <w:color w:val="auto"/>
              </w:rPr>
            </w:pPr>
          </w:p>
        </w:tc>
      </w:tr>
      <w:tr>
        <w:trPr>
          <w:trHeight w:val="22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2022</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18,758,031</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2,889,859</w:t>
            </w:r>
          </w:p>
        </w:tc>
        <w:tc>
          <w:tcPr>
            <w:tcW w:w="33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279,177</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949,980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141,594</w:t>
            </w:r>
          </w:p>
        </w:tc>
        <w:tc>
          <w:tcPr>
            <w:tcW w:w="3380" w:type="dxa"/>
            <w:vAlign w:val="bottom"/>
          </w:tcPr>
          <w:p>
            <w:pPr>
              <w:spacing w:after="0"/>
              <w:rPr>
                <w:sz w:val="18"/>
                <w:szCs w:val="18"/>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59,599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3380" w:type="dxa"/>
            <w:vAlign w:val="bottom"/>
          </w:tcPr>
          <w:p>
            <w:pPr>
              <w:spacing w:after="0"/>
              <w:rPr>
                <w:sz w:val="21"/>
                <w:szCs w:val="21"/>
                <w:color w:val="auto"/>
              </w:rPr>
            </w:pPr>
          </w:p>
        </w:tc>
      </w:tr>
      <w:tr>
        <w:trPr>
          <w:trHeight w:val="236"/>
        </w:trPr>
        <w:tc>
          <w:tcPr>
            <w:tcW w:w="49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right w:val="single" w:sz="8" w:color="CCEEFF"/>
            </w:tcBorders>
            <w:shd w:val="clear" w:color="auto" w:fill="CCEEFF"/>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shares at December 31, 2023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20,048,002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2,971,854</w:t>
            </w:r>
          </w:p>
        </w:tc>
        <w:tc>
          <w:tcPr>
            <w:tcW w:w="33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4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14,495,058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25,690,302</w:t>
            </w:r>
          </w:p>
        </w:tc>
      </w:tr>
      <w:tr>
        <w:trPr>
          <w:trHeight w:val="196"/>
        </w:trPr>
        <w:tc>
          <w:tcPr>
            <w:tcW w:w="4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share-weighted-average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1"/>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22,083,772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22,187,410</w:t>
            </w:r>
          </w:p>
        </w:tc>
      </w:tr>
      <w:tr>
        <w:trPr>
          <w:trHeight w:val="210"/>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options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848,323</w:t>
            </w:r>
          </w:p>
        </w:tc>
      </w:tr>
      <w:tr>
        <w:trPr>
          <w:trHeight w:val="243"/>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848,718</w:t>
            </w:r>
          </w:p>
        </w:tc>
        <w:tc>
          <w:tcPr>
            <w:tcW w:w="60" w:type="dxa"/>
            <w:vAlign w:val="bottom"/>
            <w:tcBorders>
              <w:bottom w:val="single" w:sz="8" w:color="CCEEFF"/>
            </w:tcBorders>
          </w:tcPr>
          <w:p>
            <w:pPr>
              <w:spacing w:after="0"/>
              <w:rPr>
                <w:sz w:val="19"/>
                <w:szCs w:val="19"/>
                <w:color w:val="auto"/>
              </w:rPr>
            </w:pPr>
          </w:p>
        </w:tc>
      </w:tr>
      <w:tr>
        <w:trPr>
          <w:trHeight w:val="210"/>
        </w:trPr>
        <w:tc>
          <w:tcPr>
            <w:tcW w:w="4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4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share-adjusted weighted-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1"/>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shares and assumed conversions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22,677,968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23,036,128</w:t>
            </w:r>
          </w:p>
        </w:tc>
      </w:tr>
      <w:tr>
        <w:trPr>
          <w:trHeight w:val="196"/>
        </w:trPr>
        <w:tc>
          <w:tcPr>
            <w:tcW w:w="4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8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197"/>
        </w:trPr>
        <w:tc>
          <w:tcPr>
            <w:tcW w:w="48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and 2022, there were nil and 339,150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$601,058 and $929,321 has been recognized under these plans for 2023 and 2022, respectively, and is included in personnel expenses on the consolidated statements of earnings. As of December 31, 2023, the total unrecognized compensation expense related to the stock options issued was $677,948, which is expected to be recognized over the remaining vesting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estimating the fair value of each stock option granted along with the weighted-average fair value of the stock options granted.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w:t>
            </w: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Assumptions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Fair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5"/>
              </w:rPr>
              <w:t>Value of</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Underlying</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Risk-Free</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Expected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Each</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Life</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Date</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Yield (1)</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FMV</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 2023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30, 2023</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All Plans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8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18, 2023</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All Plans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36.79%</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8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 2022</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All Plans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8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Stock dividend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Weighted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1,024,351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4.38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821,146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Adjustment for the effect of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976,605</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1,157,203</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Adjustment for the effect of stock</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833,570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1,520,062</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739,070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1,215,062</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 years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 years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 years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3,149,704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4,765,559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3,049,987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4,483,509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Company used a stock price of $9.00 as of December 31, 2023 to derive intrinsic value.</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2023 and 2022 was $657,354 and $619,064,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RSUs issued of $304 and $371 has been recognized under these plans for the 2023 and 2022, respectively, and is included in personnel expenses on the consolidated statements of earnings. As of December 31, 2023, the total unrecognized compensation expense related to the RSUs issued was $3,263, which is expected to be recognized over the remaining vesting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Activity of the RSUs is summarized as follows: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Class A Shares</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1,840</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states in which the Company’s life insurance subsidiaries are domiciled require the preparation of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Statutory Net Income</w:t>
            </w:r>
          </w:p>
        </w:tc>
        <w:tc>
          <w:tcPr>
            <w:tcW w:w="320" w:type="dxa"/>
            <w:vAlign w:val="bottom"/>
          </w:tcPr>
          <w:p>
            <w:pPr>
              <w:spacing w:after="0"/>
              <w:rPr>
                <w:sz w:val="20"/>
                <w:szCs w:val="20"/>
                <w:color w:val="auto"/>
              </w:rPr>
            </w:pPr>
          </w:p>
        </w:tc>
        <w:tc>
          <w:tcPr>
            <w:tcW w:w="30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Statutory Capital and Surplus</w:t>
            </w:r>
          </w:p>
        </w:tc>
      </w:tr>
      <w:tr>
        <w:trPr>
          <w:trHeight w:val="243"/>
        </w:trPr>
        <w:tc>
          <w:tcPr>
            <w:tcW w:w="3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Years Ended December 31,</w:t>
            </w:r>
          </w:p>
        </w:tc>
        <w:tc>
          <w:tcPr>
            <w:tcW w:w="320" w:type="dxa"/>
            <w:vAlign w:val="bottom"/>
          </w:tcPr>
          <w:p>
            <w:pPr>
              <w:spacing w:after="0"/>
              <w:rPr>
                <w:sz w:val="21"/>
                <w:szCs w:val="21"/>
                <w:color w:val="auto"/>
              </w:rPr>
            </w:pPr>
          </w:p>
        </w:tc>
        <w:tc>
          <w:tcPr>
            <w:tcW w:w="18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by insurance subsidiary:</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7,419,511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9,126,955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76,330,794</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66,753,938</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Kilpatrick Life Insurance Company</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2,967,779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2,373,682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20,535,591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17,300,717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First Guaranty Insurance Company</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958,497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1,007,026</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8,427,355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8,107,405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(2,691)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1,578,322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1,579,971</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Trans-Western Life Insurance Company</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4,008</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512,570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512,555</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11,345,837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12,508,980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107,384,632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94,254,586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Utah,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2023. The Company does not have any guarantees to maintain the capital and surplus of any affiliates except for the Company’s agreement to provide additional capital to Security National Life Insurance Company in the event risk-based capital drops below 350% of the authorized control level.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2023, the maximum aggregate amount of dividends and distributions that it could pay or make in 2024 and which would not constitute an “extraordinary” dividend or distribution under Utah law and would therefore not require notice and approval or lack of disproval from the Utah Commissioner, would be approximately $7,357,000.</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2023, the maximum aggregate amount of dividends and distributions that it could pay or make in 2024 and which would not constitute an “extraordinary” dividend or distribution under Louisiana law and would therefore not require notice and approval or lack of disproval from the Louisiana Commissioner, would be approximately $742,000 for First Guaranty Insurance Company and $1,973,000 for Kilpatrick Life Insurance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 and Services by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Segment Profit or Loss and Segment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Management Used to Identify the Enterprise’s Reportable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Life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Cemetery/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Insurance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114,735,304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27,864,811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98,071,104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240,671,219</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67,811,926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2,951,577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1,579,544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72,343,047</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962,824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717,312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157,206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1,837,342</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1,666,020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404,256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1,575,606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3,645,882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8,203,306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340,001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531,406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(9,074,713)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193,379,380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32,277,957</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101,914,866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(9,074,713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318,497,490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surrenders and other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66,002,863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66,002,863</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34,008,997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34,008,997</w:t>
            </w:r>
          </w:p>
        </w:tc>
      </w:tr>
      <w:tr>
        <w:trPr>
          <w:trHeight w:val="198"/>
        </w:trPr>
        <w:tc>
          <w:tcPr>
            <w:tcW w:w="3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17,485,699</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538,639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18,024,338</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3,963,185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1,777,071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34,189,300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39,929,556</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26,769,211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9,722,659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46,649,889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83,141,759</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638,071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663,113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2,409,261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3,710,445</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414,564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6,282,696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6,857,137</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880,116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812,641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658,904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2,351,661</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6,440,439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6,440,439</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310,689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143,652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1,930,370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(2,384,711)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12,991,888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4,961,320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14,105,648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32,058,856</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560,718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247,664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5,881,620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(6,690,002)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4,081,348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783,024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4,865,327</w:t>
            </w:r>
          </w:p>
        </w:tc>
      </w:tr>
      <w:tr>
        <w:trPr>
          <w:trHeight w:val="198"/>
        </w:trPr>
        <w:tc>
          <w:tcPr>
            <w:tcW w:w="3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sold-mortuaries and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cemeteries</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4,805,700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4,805,700</w:t>
            </w:r>
          </w:p>
        </w:tc>
      </w:tr>
      <w:tr>
        <w:trPr>
          <w:trHeight w:val="22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168,107,349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23,833,291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119,331,151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(9,074,713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302,197,078</w:t>
            </w:r>
          </w:p>
        </w:tc>
        <w:tc>
          <w:tcPr>
            <w:tcW w:w="100" w:type="dxa"/>
            <w:vAlign w:val="bottom"/>
            <w:tcBorders>
              <w:bottom w:val="single" w:sz="8" w:color="CCEEFF"/>
            </w:tcBorders>
          </w:tcPr>
          <w:p>
            <w:pPr>
              <w:spacing w:after="0"/>
              <w:rPr>
                <w:sz w:val="19"/>
                <w:szCs w:val="19"/>
                <w:color w:val="auto"/>
              </w:rPr>
            </w:pPr>
          </w:p>
        </w:tc>
      </w:tr>
      <w:tr>
        <w:trPr>
          <w:trHeight w:val="22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25,272,031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8,444,666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(17,416,285</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16,300,412</w:t>
            </w:r>
          </w:p>
        </w:tc>
        <w:tc>
          <w:tcPr>
            <w:tcW w:w="100" w:type="dxa"/>
            <w:vAlign w:val="bottom"/>
            <w:shd w:val="clear" w:color="auto" w:fill="CCEEFF"/>
          </w:tcPr>
          <w:p>
            <w:pPr>
              <w:spacing w:after="0"/>
              <w:rPr>
                <w:sz w:val="19"/>
                <w:szCs w:val="19"/>
                <w:color w:val="auto"/>
              </w:rPr>
            </w:pPr>
          </w:p>
        </w:tc>
      </w:tr>
      <w:tr>
        <w:trPr>
          <w:trHeight w:val="22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(3,655,148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(2,131,289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3,981,083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21,616,883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6,313,377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(13,435,202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14,495,058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1,325,287,933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95,059,724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97,018,754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(93,063,440)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1,424,302,971</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2,765,570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5,253,783</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Business Segment Information (Continued)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3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right"/>
              <w:ind w:right="981"/>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Cemetery/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Mortuary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09"/>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105,144,646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26,993,855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173,356,675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305,495,176</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62,565,021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2,444,599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1,187,972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66,197,592</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(796,096)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398,098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(857,460)</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1,932,402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305,073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16,579,545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18,817,020</w:t>
            </w: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6,601,132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451,139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356,574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(7,408,845)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175,783,739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29,398,570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191,878,864</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(7,408,845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389,652,328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surrenders and other policy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64,066,432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64,066,432</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28,858,969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28,858,969</w:t>
            </w:r>
          </w:p>
        </w:tc>
      </w:tr>
      <w:tr>
        <w:trPr>
          <w:trHeight w:val="198"/>
        </w:trPr>
        <w:tc>
          <w:tcPr>
            <w:tcW w:w="3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17,352,803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597,399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17,950,202</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4,097,680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1,372,200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57,851,212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63,321,092</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26,285,207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9,305,429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64,520,887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100,111,523</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1,649,273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628,114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3,420,611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5,697,998</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384,908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163,182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6,334,923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6,883,013</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1,036,521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759,415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700,970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2,496,906</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7,540,041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7,540,041</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232,915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160,690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1,795,507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(2,189,112)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13,190,827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5,321,730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27,285,196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45,797,753</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462,753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274,911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4,482,069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(5,219,733)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3,969,905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3,859,828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7,830,443</w:t>
            </w:r>
          </w:p>
        </w:tc>
      </w:tr>
      <w:tr>
        <w:trPr>
          <w:trHeight w:val="198"/>
        </w:trPr>
        <w:tc>
          <w:tcPr>
            <w:tcW w:w="38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sold-mortuaries and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cemeteries</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4,721,094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4,721,094</w:t>
            </w:r>
          </w:p>
        </w:tc>
      </w:tr>
      <w:tr>
        <w:trPr>
          <w:trHeight w:val="22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161,588,193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23,304,874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177,791,244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(7,408,845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355,275,466</w:t>
            </w:r>
          </w:p>
        </w:tc>
        <w:tc>
          <w:tcPr>
            <w:tcW w:w="100" w:type="dxa"/>
            <w:vAlign w:val="bottom"/>
            <w:tcBorders>
              <w:bottom w:val="single" w:sz="8" w:color="CCEEFF"/>
            </w:tcBorders>
          </w:tcPr>
          <w:p>
            <w:pPr>
              <w:spacing w:after="0"/>
              <w:rPr>
                <w:sz w:val="19"/>
                <w:szCs w:val="19"/>
                <w:color w:val="auto"/>
              </w:rPr>
            </w:pPr>
          </w:p>
        </w:tc>
      </w:tr>
      <w:tr>
        <w:trPr>
          <w:trHeight w:val="22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6,093,696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14,087,620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34,376,862</w:t>
            </w:r>
          </w:p>
        </w:tc>
        <w:tc>
          <w:tcPr>
            <w:tcW w:w="100" w:type="dxa"/>
            <w:vAlign w:val="bottom"/>
            <w:shd w:val="clear" w:color="auto" w:fill="CCEEFF"/>
          </w:tcPr>
          <w:p>
            <w:pPr>
              <w:spacing w:after="0"/>
              <w:rPr>
                <w:sz w:val="19"/>
                <w:szCs w:val="19"/>
                <w:color w:val="auto"/>
              </w:rPr>
            </w:pPr>
          </w:p>
        </w:tc>
      </w:tr>
      <w:tr>
        <w:trPr>
          <w:trHeight w:val="223"/>
        </w:trPr>
        <w:tc>
          <w:tcPr>
            <w:tcW w:w="3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(4,034,979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(1,523,954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(3,127,627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(8,686,560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10,160,567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4,569,742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10,959,993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25,690,302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1,246,840,586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82,320,929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219,872,163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(93,174,569)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1,455,859,109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2,765,570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5,253,783</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 written procedure, which requires disclosure to the Board of any material interest or any affiliation on the part of any of its officers, directors or employees that is in conflict or may conflict with the interests of the Company. The Company and its Board of Directors are unaware of any related party transactions that require disclosure as of December 31, 2023.</w:t>
      </w:r>
    </w:p>
    <w:p>
      <w:pPr>
        <w:spacing w:after="0" w:line="176" w:lineRule="exact"/>
        <w:rPr>
          <w:sz w:val="20"/>
          <w:szCs w:val="20"/>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Call and Put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quoted market prices to value its call and put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3 are valued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 properties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MSRs at their estimated fair values derived from the net cash flows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contracts, where the Company assumes the obligation to service the loan in the sale transaction.</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381,535,986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380,297,330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13,636,071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13,636,071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126,549,190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1,853,860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1,853,860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7,385,203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7,385,203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641,704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641,704</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4,327,301</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4,327,301</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4,995,486</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4,995,486</w:t>
            </w:r>
          </w:p>
        </w:tc>
        <w:tc>
          <w:tcPr>
            <w:tcW w:w="100" w:type="dxa"/>
            <w:vAlign w:val="bottom"/>
            <w:shd w:val="clear" w:color="auto" w:fill="CCEEFF"/>
          </w:tcPr>
          <w:p>
            <w:pPr>
              <w:spacing w:after="0"/>
              <w:rPr>
                <w:sz w:val="21"/>
                <w:szCs w:val="21"/>
                <w:color w:val="auto"/>
              </w:rPr>
            </w:pPr>
          </w:p>
        </w:tc>
      </w:tr>
      <w:tr>
        <w:trPr>
          <w:trHeight w:val="178"/>
        </w:trPr>
        <w:tc>
          <w:tcPr>
            <w:tcW w:w="37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540,924,801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25,348,575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382,792,894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132,783,332</w:t>
            </w:r>
          </w:p>
        </w:tc>
        <w:tc>
          <w:tcPr>
            <w:tcW w:w="100" w:type="dxa"/>
            <w:vAlign w:val="bottom"/>
          </w:tcPr>
          <w:p>
            <w:pPr>
              <w:spacing w:after="0"/>
              <w:rPr>
                <w:sz w:val="24"/>
                <w:szCs w:val="24"/>
                <w:color w:val="auto"/>
              </w:rPr>
            </w:pPr>
          </w:p>
        </w:tc>
      </w:tr>
      <w:tr>
        <w:trPr>
          <w:trHeight w:val="196"/>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(3,412,224)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178"/>
        </w:trPr>
        <w:tc>
          <w:tcPr>
            <w:tcW w:w="37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(3,412,224)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5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345,858,492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344,422,973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11,682,526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11,682,526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141,179,620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1,217,308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1,217,308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5,348,244</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5,348,244</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254,731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254,731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3,605,162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3,605,162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4,089,856</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4,089,856</w:t>
            </w:r>
          </w:p>
        </w:tc>
        <w:tc>
          <w:tcPr>
            <w:tcW w:w="100" w:type="dxa"/>
            <w:vAlign w:val="bottom"/>
            <w:shd w:val="clear" w:color="auto" w:fill="CCEEFF"/>
          </w:tcPr>
          <w:p>
            <w:pPr>
              <w:spacing w:after="0"/>
              <w:rPr>
                <w:sz w:val="21"/>
                <w:szCs w:val="21"/>
                <w:color w:val="auto"/>
              </w:rPr>
            </w:pPr>
          </w:p>
        </w:tc>
      </w:tr>
      <w:tr>
        <w:trPr>
          <w:trHeight w:val="178"/>
        </w:trPr>
        <w:tc>
          <w:tcPr>
            <w:tcW w:w="37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513,235,939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20,635,932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345,895,012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146,704,995</w:t>
            </w:r>
          </w:p>
        </w:tc>
        <w:tc>
          <w:tcPr>
            <w:tcW w:w="100" w:type="dxa"/>
            <w:vAlign w:val="bottom"/>
          </w:tcPr>
          <w:p>
            <w:pPr>
              <w:spacing w:after="0"/>
              <w:rPr>
                <w:sz w:val="24"/>
                <w:szCs w:val="24"/>
                <w:color w:val="auto"/>
              </w:rPr>
            </w:pPr>
          </w:p>
        </w:tc>
      </w:tr>
      <w:tr>
        <w:trPr>
          <w:trHeight w:val="197"/>
        </w:trPr>
        <w:tc>
          <w:tcPr>
            <w:tcW w:w="3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(29,715)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(13,888)</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(13,888)</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(1,382,979)</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(1,382,979)</w:t>
            </w:r>
          </w:p>
        </w:tc>
      </w:tr>
      <w:tr>
        <w:trPr>
          <w:trHeight w:val="178"/>
        </w:trPr>
        <w:tc>
          <w:tcPr>
            <w:tcW w:w="37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5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(1,426,582)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(43,603)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(1,382,979)</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60" w:hanging="29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2023,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2"/>
                <w:szCs w:val="22"/>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8"/>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00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12/31/2023</w:t>
            </w:r>
          </w:p>
        </w:tc>
        <w:tc>
          <w:tcPr>
            <w:tcW w:w="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Technique</w:t>
            </w: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Investor contract pricing</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percentage of</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$ 126,549,190</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1,583,262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 bps</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1,238,656</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22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99.86</w:t>
            </w:r>
          </w:p>
        </w:tc>
      </w:tr>
      <w:tr>
        <w:trPr>
          <w:trHeight w:val="439"/>
        </w:trPr>
        <w:tc>
          <w:tcPr>
            <w:tcW w:w="2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2022,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color w:val="auto"/>
              </w:rPr>
              <w:t>Range of Inputs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8"/>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Minimum</w:t>
            </w:r>
          </w:p>
        </w:tc>
        <w:tc>
          <w:tcPr>
            <w:tcW w:w="100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12/31/2022</w:t>
            </w:r>
          </w:p>
        </w:tc>
        <w:tc>
          <w:tcPr>
            <w:tcW w:w="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Technique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2"/>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Investor contract pricing</w:t>
            </w: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$ 141,179,620</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unpaid principal balance</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2,706,877</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Pull-through rate</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Initial-Value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 bps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 bps</w:t>
            </w: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1,435,519</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 quotes</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111.11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w:t>
            </w:r>
          </w:p>
        </w:tc>
      </w:tr>
      <w:tr>
        <w:trPr>
          <w:trHeight w:val="432"/>
        </w:trPr>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Derivatives Loan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Commitments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2,706,877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141,179,620</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1,435,519</w:t>
            </w: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Originations/purchases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2,173,080,584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5"/>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(2,224,454,040)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(129,521)</w:t>
            </w:r>
          </w:p>
        </w:tc>
      </w:tr>
      <w:tr>
        <w:trPr>
          <w:trHeight w:val="216"/>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(3,017,626)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ind w:left="1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earnings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(1,123,615(1)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39,760,652(1)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(67,234)</w:t>
            </w:r>
          </w:p>
        </w:tc>
      </w:tr>
      <w:tr>
        <w:trPr>
          <w:trHeight w:val="243"/>
        </w:trPr>
        <w:tc>
          <w:tcPr>
            <w:tcW w:w="2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spacing w:after="0"/>
              <w:rPr>
                <w:sz w:val="21"/>
                <w:szCs w:val="21"/>
                <w:color w:val="auto"/>
              </w:rPr>
            </w:pPr>
          </w:p>
        </w:tc>
        <w:tc>
          <w:tcPr>
            <w:tcW w:w="1500" w:type="dxa"/>
            <w:vAlign w:val="bottom"/>
            <w:tcBorders>
              <w:bottom w:val="single" w:sz="8" w:color="auto"/>
            </w:tcBorders>
            <w:gridSpan w:val="3"/>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2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29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p>
      <w:pPr>
        <w:sectPr>
          <w:pgSz w:w="11900" w:h="16838" w:orient="portrait"/>
          <w:cols w:equalWidth="0" w:num="1">
            <w:col w:w="11240"/>
          </w:cols>
          <w:pgMar w:left="320" w:top="688" w:right="3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maturities and paydowns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to mortgage loans held for investment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gains (losses):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comprehensive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2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Net Derivatives Loan</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Commitments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Sale</w:t>
            </w:r>
          </w:p>
        </w:tc>
        <w:tc>
          <w:tcPr>
            <w:tcW w:w="60" w:type="dxa"/>
            <w:vAlign w:val="bottom"/>
          </w:tcPr>
          <w:p>
            <w:pPr>
              <w:spacing w:after="0"/>
              <w:rPr>
                <w:sz w:val="20"/>
                <w:szCs w:val="20"/>
                <w:color w:val="auto"/>
              </w:rPr>
            </w:pPr>
          </w:p>
        </w:tc>
      </w:tr>
      <w:tr>
        <w:trPr>
          <w:trHeight w:val="407"/>
        </w:trPr>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7,015,515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302,776,827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3,373,554,484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(3,549,405,402)</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(528,980)</w:t>
            </w:r>
          </w:p>
        </w:tc>
      </w:tr>
      <w:tr>
        <w:trPr>
          <w:trHeight w:val="234"/>
        </w:trPr>
        <w:tc>
          <w:tcPr>
            <w:tcW w:w="200" w:type="dxa"/>
            <w:vAlign w:val="bottom"/>
          </w:tcPr>
          <w:p>
            <w:pPr>
              <w:spacing w:after="0"/>
              <w:rPr>
                <w:sz w:val="20"/>
                <w:szCs w:val="20"/>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(51,691,213)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414"/>
        </w:trPr>
        <w:tc>
          <w:tcPr>
            <w:tcW w:w="200" w:type="dxa"/>
            <w:vAlign w:val="bottom"/>
          </w:tcPr>
          <w:p>
            <w:pPr>
              <w:spacing w:after="0"/>
              <w:rPr>
                <w:sz w:val="24"/>
                <w:szCs w:val="24"/>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(4,308,638(1)</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65,944,924 (1)</w:t>
            </w:r>
          </w:p>
        </w:tc>
        <w:tc>
          <w:tcPr>
            <w:tcW w:w="1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1,957 (2)</w:t>
            </w:r>
          </w:p>
        </w:tc>
      </w:tr>
      <w:tr>
        <w:trPr>
          <w:trHeight w:val="234"/>
        </w:trPr>
        <w:tc>
          <w:tcPr>
            <w:tcW w:w="200" w:type="dxa"/>
            <w:vAlign w:val="bottom"/>
          </w:tcPr>
          <w:p>
            <w:pPr>
              <w:spacing w:after="0"/>
              <w:rPr>
                <w:sz w:val="20"/>
                <w:szCs w:val="20"/>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(60,806)</w:t>
            </w:r>
          </w:p>
        </w:tc>
      </w:tr>
      <w:tr>
        <w:trPr>
          <w:trHeight w:val="243"/>
        </w:trPr>
        <w:tc>
          <w:tcPr>
            <w:tcW w:w="20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2,706,877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6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-1430655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-1156335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-882015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-471170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-179705</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720"/>
            <w:col w:w="5880"/>
          </w:cols>
          <w:pgMar w:left="320" w:top="688" w:right="339" w:bottom="609" w:gutter="0" w:footer="0" w:header="0"/>
          <w:type w:val="continuous"/>
        </w:sectPr>
      </w:pPr>
    </w:p>
    <w:p>
      <w:pPr>
        <w:ind w:left="360" w:hanging="292"/>
        <w:spacing w:after="0"/>
        <w:tabs>
          <w:tab w:leader="none" w:pos="3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609"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December 31, 2023.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nonrecurring basis by their classification in the consolidated balance sheet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Active Markets for</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Unobservable</w:t>
            </w:r>
          </w:p>
        </w:tc>
      </w:tr>
      <w:tr>
        <w:trPr>
          <w:trHeight w:val="216"/>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Identical Assets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Observable 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3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3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basis</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794,224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9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794,224</w:t>
            </w:r>
          </w:p>
        </w:tc>
      </w:tr>
      <w:tr>
        <w:trPr>
          <w:trHeight w:val="178"/>
        </w:trPr>
        <w:tc>
          <w:tcPr>
            <w:tcW w:w="3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w:t>
            </w: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nonrecurring basis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794,224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794,224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3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December 31, 2023 and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99,519,750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96,998,106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96,998,106</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103,529,896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103,529,896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103,529,896</w:t>
            </w: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72,567,191</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72,149,530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72,149,530</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275,616,837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272,677,532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272,677,532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13,264,183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13,264,183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44,051,486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44,051,486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44,051,486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675,219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675,219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675,219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246,865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246,865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246,865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3,461,146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4,543,657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4,543,657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(105,555,137)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(105,555,137)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(105,555,137)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(39,245,123)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(48,920,691)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(48,920,691)</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(106,285,010)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(102,177,585)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(102,177,585)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90,290,776</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88,575,293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88,575,293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172,139,077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172,139,077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172,139,077</w:t>
            </w: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45,694,074</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44,079,537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44,079,537</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308,123,927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304,793,907</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304,793,907</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13,095,473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13,095,473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13,095,473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45,332,585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45,332,585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45,332,585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1,731,469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1,731,469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1,731,469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1,506,517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1,506,517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1,506,517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3,039,765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3,927,877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3,927,877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(161,712,804)</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(161,712,804)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(161,712,804)</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(41,146,171)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(42,181,089)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(42,181,089)</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(106,637,094)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(126,078,031)</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(126,078,031)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color w:val="auto"/>
        </w:rPr>
        <w:t>: 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of mortgage loans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consolidated balance sheet for these financial instruments approximate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short in maturity. Accordingly, the carrying amounts reported in the accompanying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consolidated balance sheet for the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carrying amounts reported in the accompanying consolidated balance sheet for the bank loans collateralized by real estate approximate their fair values due to the non-assumable fixed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300" w:hanging="292"/>
        <w:spacing w:after="0"/>
        <w:tabs>
          <w:tab w:leader="none" w:pos="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accumulated other comprehensive income (loss):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8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7,853,398</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(39,493,861)</w:t>
            </w: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1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(39,074)</w:t>
            </w:r>
          </w:p>
        </w:tc>
        <w:tc>
          <w:tcPr>
            <w:tcW w:w="5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162,173</w:t>
            </w:r>
          </w:p>
        </w:tc>
        <w:tc>
          <w:tcPr>
            <w:tcW w:w="60" w:type="dxa"/>
            <w:vAlign w:val="bottom"/>
          </w:tcPr>
          <w:p>
            <w:pPr>
              <w:spacing w:after="0"/>
              <w:rPr>
                <w:sz w:val="21"/>
                <w:szCs w:val="2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1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7,814,324</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(39,331,688)</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(1,640,186)</w:t>
            </w:r>
          </w:p>
        </w:tc>
        <w:tc>
          <w:tcPr>
            <w:tcW w:w="5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8,259,656</w:t>
            </w:r>
          </w:p>
        </w:tc>
        <w:tc>
          <w:tcPr>
            <w:tcW w:w="60" w:type="dxa"/>
            <w:vAlign w:val="bottom"/>
          </w:tcPr>
          <w:p>
            <w:pPr>
              <w:spacing w:after="0"/>
              <w:rPr>
                <w:sz w:val="21"/>
                <w:szCs w:val="21"/>
                <w:color w:val="auto"/>
              </w:rPr>
            </w:pPr>
          </w:p>
        </w:tc>
      </w:tr>
      <w:tr>
        <w:trPr>
          <w:trHeight w:val="223"/>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6,174,138</w:t>
            </w:r>
          </w:p>
        </w:tc>
        <w:tc>
          <w:tcPr>
            <w:tcW w:w="3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(31,072,032</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(71,035)</w:t>
            </w:r>
          </w:p>
        </w:tc>
        <w:tc>
          <w:tcPr>
            <w:tcW w:w="80" w:type="dxa"/>
            <w:vAlign w:val="bottom"/>
            <w:gridSpan w:val="2"/>
          </w:tcPr>
          <w:p>
            <w:pPr>
              <w:spacing w:after="0"/>
              <w:rPr>
                <w:sz w:val="18"/>
                <w:szCs w:val="18"/>
                <w:color w:val="auto"/>
              </w:rPr>
            </w:pPr>
          </w:p>
        </w:tc>
      </w:tr>
      <w:tr>
        <w:trPr>
          <w:trHeight w:val="24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(2,784)</w:t>
            </w:r>
          </w:p>
        </w:tc>
        <w:tc>
          <w:tcPr>
            <w:tcW w:w="5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60" w:type="dxa"/>
            <w:vAlign w:val="bottom"/>
            <w:shd w:val="clear" w:color="auto" w:fill="CCEEFF"/>
          </w:tcPr>
          <w:p>
            <w:pPr>
              <w:spacing w:after="0"/>
              <w:rPr>
                <w:sz w:val="21"/>
                <w:szCs w:val="21"/>
                <w:color w:val="auto"/>
              </w:rPr>
            </w:pPr>
          </w:p>
        </w:tc>
      </w:tr>
      <w:tr>
        <w:trPr>
          <w:trHeight w:val="22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w:t>
            </w:r>
          </w:p>
        </w:tc>
        <w:tc>
          <w:tcPr>
            <w:tcW w:w="1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3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80" w:type="dxa"/>
            <w:vAlign w:val="bottom"/>
            <w:gridSpan w:val="2"/>
            <w:shd w:val="clear" w:color="auto" w:fill="CCEEFF"/>
          </w:tcPr>
          <w:p>
            <w:pPr>
              <w:spacing w:after="0"/>
              <w:rPr>
                <w:sz w:val="18"/>
                <w:szCs w:val="18"/>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w:t>
            </w:r>
          </w:p>
        </w:tc>
        <w:tc>
          <w:tcPr>
            <w:tcW w:w="5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60" w:type="dxa"/>
            <w:vAlign w:val="bottom"/>
          </w:tcPr>
          <w:p>
            <w:pPr>
              <w:spacing w:after="0"/>
              <w:rPr>
                <w:sz w:val="21"/>
                <w:szCs w:val="21"/>
                <w:color w:val="auto"/>
              </w:rPr>
            </w:pPr>
          </w:p>
        </w:tc>
      </w:tr>
      <w:tr>
        <w:trPr>
          <w:trHeight w:val="223"/>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3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Beginning Balance</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December 31, 2022</w:t>
            </w: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Change for the period</w:t>
            </w:r>
          </w:p>
        </w:tc>
        <w:tc>
          <w:tcPr>
            <w:tcW w:w="18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(13,050,767)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6,174,138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(6,876,629)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(13,148)</w:t>
            </w:r>
          </w:p>
        </w:tc>
        <w:tc>
          <w:tcPr>
            <w:tcW w:w="5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8,391</w:t>
            </w:r>
          </w:p>
        </w:tc>
        <w:tc>
          <w:tcPr>
            <w:tcW w:w="1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care trust investments (1)</w:t>
            </w:r>
          </w:p>
        </w:tc>
        <w:tc>
          <w:tcPr>
            <w:tcW w:w="1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(6,362)</w:t>
            </w:r>
          </w:p>
        </w:tc>
        <w:tc>
          <w:tcPr>
            <w:tcW w:w="5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 2021</w:t>
            </w:r>
          </w:p>
        </w:tc>
        <w:tc>
          <w:tcPr>
            <w:tcW w:w="20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Change for the period</w:t>
            </w:r>
          </w:p>
        </w:tc>
        <w:tc>
          <w:tcPr>
            <w:tcW w:w="1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18,021,265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(31,072,032)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(13,050,767)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40,192</w:t>
            </w:r>
          </w:p>
        </w:tc>
        <w:tc>
          <w:tcPr>
            <w:tcW w:w="44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(53,340)</w:t>
            </w:r>
          </w:p>
        </w:tc>
        <w:tc>
          <w:tcPr>
            <w:tcW w:w="1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(13,148)</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care trust investments (1)</w:t>
            </w:r>
          </w:p>
        </w:tc>
        <w:tc>
          <w:tcPr>
            <w:tcW w:w="1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8,991</w:t>
            </w:r>
          </w:p>
        </w:tc>
        <w:tc>
          <w:tcPr>
            <w:tcW w:w="4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(15,353)</w:t>
            </w:r>
          </w:p>
        </w:tc>
        <w:tc>
          <w:tcPr>
            <w:tcW w:w="18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18,070,448</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(31,140,725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derivative instruments pursuant to the accounting policy discussed in Note 1 of the 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00" w:type="dxa"/>
            <w:vAlign w:val="bottom"/>
          </w:tcPr>
          <w:p>
            <w:pPr>
              <w:spacing w:after="0"/>
              <w:rPr>
                <w:sz w:val="16"/>
                <w:szCs w:val="16"/>
                <w:color w:val="auto"/>
              </w:rPr>
            </w:pPr>
          </w:p>
        </w:tc>
        <w:tc>
          <w:tcPr>
            <w:tcW w:w="10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Liability Fair</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0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Liability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Location</w:t>
            </w: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1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w:t>
            </w: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as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w:t>
            </w:r>
          </w:p>
        </w:tc>
        <w:tc>
          <w:tcPr>
            <w:tcW w:w="14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Other assets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161,832,250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4,995,486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3,412,224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453,371,808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4,089,856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1,382,979</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654,500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23"/>
        </w:trPr>
        <w:tc>
          <w:tcPr>
            <w:tcW w:w="1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161,832,250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4,995,486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3,412,224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454,894,908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4,089,856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Derivative</w:t>
            </w:r>
          </w:p>
        </w:tc>
        <w:tc>
          <w:tcPr>
            <w:tcW w:w="220" w:type="dxa"/>
            <w:vAlign w:val="bottom"/>
            <w:tcBorders>
              <w:bottom w:val="single" w:sz="8" w:color="CCEEFF"/>
            </w:tcBorders>
          </w:tcPr>
          <w:p>
            <w:pPr>
              <w:spacing w:after="0"/>
              <w:rPr>
                <w:sz w:val="20"/>
                <w:szCs w:val="20"/>
                <w:color w:val="auto"/>
              </w:rPr>
            </w:pPr>
          </w:p>
        </w:tc>
        <w:tc>
          <w:tcPr>
            <w:tcW w:w="37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Classification</w:t>
            </w:r>
          </w:p>
        </w:tc>
        <w:tc>
          <w:tcPr>
            <w:tcW w:w="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20" w:type="dxa"/>
            <w:vAlign w:val="bottom"/>
            <w:shd w:val="clear" w:color="auto" w:fill="CCEEFF"/>
          </w:tcPr>
          <w:p>
            <w:pPr>
              <w:spacing w:after="0"/>
              <w:rPr>
                <w:sz w:val="20"/>
                <w:szCs w:val="20"/>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fee income</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(1,123,615</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(4,308,638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49,963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202,886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MSRs pursuant to the accounting policy discussed in Note 1 of the 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282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3,039,765</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53,060,455</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1,009,312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10,243,922</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(587,931)</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(9,078,706)</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(51,185,906)</w:t>
            </w: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4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year end</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3,039,765</w:t>
            </w:r>
          </w:p>
        </w:tc>
        <w:tc>
          <w:tcPr>
            <w:tcW w:w="80" w:type="dxa"/>
            <w:vAlign w:val="bottom"/>
            <w:tcBorders>
              <w:top w:val="single" w:sz="8" w:color="CCEEFF"/>
            </w:tcBorders>
            <w:shd w:val="clear" w:color="auto" w:fill="CCEEFF"/>
          </w:tcPr>
          <w:p>
            <w:pPr>
              <w:spacing w:after="0"/>
              <w:rPr>
                <w:sz w:val="19"/>
                <w:szCs w:val="19"/>
                <w:color w:val="auto"/>
              </w:rPr>
            </w:pPr>
          </w:p>
        </w:tc>
      </w:tr>
      <w:tr>
        <w:trPr>
          <w:trHeight w:val="209"/>
        </w:trPr>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4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 end</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3,039,765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year end</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4,543,657</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3,927,877</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6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Included in other expenses on the</w:t>
            </w: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December 31, 2023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3360" w:type="dxa"/>
            <w:vAlign w:val="bottom"/>
          </w:tcPr>
          <w:p>
            <w:pPr>
              <w:spacing w:after="0"/>
              <w:rPr>
                <w:sz w:val="20"/>
                <w:szCs w:val="20"/>
                <w:color w:val="auto"/>
              </w:rPr>
            </w:pP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342,170</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306,597</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271,773</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242,596</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1,907,879</w:t>
            </w:r>
          </w:p>
        </w:tc>
      </w:tr>
      <w:tr>
        <w:trPr>
          <w:trHeight w:val="22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consolidated statements of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6"/>
        </w:trPr>
        <w:tc>
          <w:tcPr>
            <w:tcW w:w="48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bottom w:val="single" w:sz="8" w:color="CCEEFF"/>
            </w:tcBorders>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15,792,105</w:t>
            </w:r>
          </w:p>
        </w:tc>
        <w:tc>
          <w:tcPr>
            <w:tcW w:w="60" w:type="dxa"/>
            <w:vAlign w:val="bottom"/>
            <w:shd w:val="clear" w:color="auto" w:fill="CCEEFF"/>
          </w:tcPr>
          <w:p>
            <w:pPr>
              <w:spacing w:after="0"/>
              <w:rPr>
                <w:sz w:val="18"/>
                <w:szCs w:val="18"/>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97,300</w:t>
            </w:r>
          </w:p>
        </w:tc>
        <w:tc>
          <w:tcPr>
            <w:tcW w:w="3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398,754</w:t>
            </w: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16,190,859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6"/>
        </w:trPr>
        <w:tc>
          <w:tcPr>
            <w:tcW w:w="4200" w:type="dxa"/>
            <w:vAlign w:val="bottom"/>
          </w:tcPr>
          <w:p>
            <w:pPr>
              <w:spacing w:after="0"/>
              <w:rPr>
                <w:sz w:val="20"/>
                <w:szCs w:val="20"/>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414,147,436</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360,023,384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Prepayment</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Discount</w:t>
            </w:r>
          </w:p>
        </w:tc>
      </w:tr>
      <w:tr>
        <w:trPr>
          <w:trHeight w:val="234"/>
        </w:trPr>
        <w:tc>
          <w:tcPr>
            <w:tcW w:w="35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Speeds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Life(Years)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Rate</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7.79</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w:t>
            </w:r>
          </w:p>
        </w:tc>
        <w:tc>
          <w:tcPr>
            <w:tcW w:w="13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8.49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 Substantially all the consideration was received by the Company with the remainder subject to certain holdbacks during transfer of the MSRs. The Company completed the physical transfer of files prior to its deadline. The holdbacks were received in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reports future policy benefits and unpaid claims pursuant to the accounting policy discussed in Note 1 of the Notes to Consolidated Financial Statements.</w:t>
      </w:r>
    </w:p>
    <w:p>
      <w:pPr>
        <w:spacing w:after="0" w:line="162" w:lineRule="exact"/>
        <w:rPr>
          <w:sz w:val="20"/>
          <w:szCs w:val="20"/>
          <w:color w:val="auto"/>
        </w:rPr>
      </w:pPr>
    </w:p>
    <w:p>
      <w:pPr>
        <w:ind w:left="6740" w:right="1500" w:hanging="6737"/>
        <w:spacing w:after="0" w:line="289" w:lineRule="auto"/>
        <w:rPr>
          <w:sz w:val="20"/>
          <w:szCs w:val="20"/>
          <w:color w:val="auto"/>
        </w:rPr>
      </w:pPr>
      <w:r>
        <w:rPr>
          <w:rFonts w:ascii="Times New Roman" w:cs="Times New Roman" w:eastAsia="Times New Roman" w:hAnsi="Times New Roman"/>
          <w:sz w:val="18"/>
          <w:szCs w:val="18"/>
          <w:color w:val="auto"/>
        </w:rPr>
        <w:t>The following table provides information regarding future policy benefits and unpaid claims and the related receivable from reinsurers.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-12700</wp:posOffset>
            </wp:positionV>
            <wp:extent cx="20999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6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756,936,902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726,462,594</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Annuities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106,285,010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106,637,094</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39,245,123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41,146,171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572,689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603,526</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policyholder funds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4,411,108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4,279,218</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3,525,774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5,651,030</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5,062,010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4,547,670</w:t>
            </w:r>
          </w:p>
        </w:tc>
      </w:tr>
      <w:tr>
        <w:trPr>
          <w:trHeight w:val="243"/>
        </w:trPr>
        <w:tc>
          <w:tcPr>
            <w:tcW w:w="196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2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future policy benefits and unpaid claims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916,038,616</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889,327,303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6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10,478,863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10,600,613</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Annuities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4,238,934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4,225,873</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77,917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79,467</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48,345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110,985</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17,000</w:t>
            </w:r>
          </w:p>
        </w:tc>
      </w:tr>
      <w:tr>
        <w:trPr>
          <w:trHeight w:val="243"/>
        </w:trPr>
        <w:tc>
          <w:tcPr>
            <w:tcW w:w="196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14,857,059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15,033,938</w:t>
            </w:r>
          </w:p>
        </w:tc>
        <w:tc>
          <w:tcPr>
            <w:tcW w:w="80" w:type="dxa"/>
            <w:vAlign w:val="bottom"/>
            <w:shd w:val="clear" w:color="auto" w:fill="CCEEFF"/>
          </w:tcPr>
          <w:p>
            <w:pPr>
              <w:spacing w:after="0"/>
              <w:rPr>
                <w:sz w:val="18"/>
                <w:szCs w:val="18"/>
                <w:color w:val="auto"/>
              </w:rPr>
            </w:pPr>
          </w:p>
        </w:tc>
      </w:tr>
      <w:tr>
        <w:trPr>
          <w:trHeight w:val="243"/>
        </w:trPr>
        <w:tc>
          <w:tcPr>
            <w:tcW w:w="196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2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future policy benefits and unpaid claims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901,181,557</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874,293,365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2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unpaid claims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8,526,439</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10,070,715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Company’s liability for reported but unpaid claims and incurred but not reported claims, net of the related receivable from reinsurers.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Accident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Life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Annuities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Health</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12/31/2021</w:t>
            </w:r>
          </w:p>
        </w:tc>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8,015,101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8,797,983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59,377,962(1)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13,987,576(2)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73,406,282</w:t>
            </w:r>
          </w:p>
        </w:tc>
      </w:tr>
      <w:tr>
        <w:trPr>
          <w:trHeight w:val="24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1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(57,988,800)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(14,016,502)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(128,248)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(72,133,550)</w:t>
            </w:r>
          </w:p>
        </w:tc>
      </w:tr>
      <w:tr>
        <w:trPr>
          <w:trHeight w:val="223"/>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12/31/2022</w:t>
            </w:r>
          </w:p>
        </w:tc>
        <w:tc>
          <w:tcPr>
            <w:tcW w:w="1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9,404,263</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649,452</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10,070,715</w:t>
            </w:r>
          </w:p>
        </w:tc>
        <w:tc>
          <w:tcPr>
            <w:tcW w:w="100" w:type="dxa"/>
            <w:vAlign w:val="bottom"/>
            <w:tcBorders>
              <w:bottom w:val="single" w:sz="8" w:color="CCEEFF"/>
            </w:tcBorders>
          </w:tcPr>
          <w:p>
            <w:pPr>
              <w:spacing w:after="0"/>
              <w:rPr>
                <w:sz w:val="19"/>
                <w:szCs w:val="19"/>
                <w:color w:val="auto"/>
              </w:rPr>
            </w:pP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61,390,517(1)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12,669,463(2)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74,090,388</w:t>
            </w:r>
          </w:p>
        </w:tc>
        <w:tc>
          <w:tcPr>
            <w:tcW w:w="100" w:type="dxa"/>
            <w:vAlign w:val="bottom"/>
            <w:shd w:val="clear" w:color="auto" w:fill="CCEEFF"/>
          </w:tcPr>
          <w:p>
            <w:pPr>
              <w:spacing w:after="0"/>
              <w:rPr>
                <w:sz w:val="18"/>
                <w:szCs w:val="18"/>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(62,665,619)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(12,939,637)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(75,634,664)</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12/31/2023</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death benefits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increase in future benefits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surrender and other policy benefits on the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revenues from contracts with customers pursuant to ASC No. 606, Revenue from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Performance Obligations and Contract Balances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2023 and 2022, the balances were $18,237,246 and $16,226,836,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As of December 31, 2023 and 2022, the balances were $17,424,764 and $15,289,901, respectively.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 As of December 31, 2023 and 2022, the balances were $812,482 and $936,935, respectively. Deferred revenue for at-need specialty revenue is not placed in trust.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As of December 31, 2023 and 2022, the balances were nil and nil, respectively. Deferred pre-need land revenue is not placed in trust.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Contract Balances</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Receivables (1)</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Contract Asset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(12/31/2023)</w:t>
            </w:r>
          </w:p>
        </w:tc>
        <w:tc>
          <w:tcPr>
            <w:tcW w:w="16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6,321,573</w:t>
            </w:r>
          </w:p>
        </w:tc>
        <w:tc>
          <w:tcPr>
            <w:tcW w:w="144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18,237,246</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928,794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4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Contract Balances</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Receivables (1)</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Contract Asset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Liability</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5,298,636</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48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Closing (12/31/2022)</w:t>
            </w:r>
          </w:p>
        </w:tc>
        <w:tc>
          <w:tcPr>
            <w:tcW w:w="16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5,392,779</w:t>
            </w:r>
          </w:p>
        </w:tc>
        <w:tc>
          <w:tcPr>
            <w:tcW w:w="144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16,226,836</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Receivables, net on the consolidated balance sheets</w:t>
      </w:r>
    </w:p>
    <w:p>
      <w:pPr>
        <w:spacing w:after="0" w:line="200" w:lineRule="exact"/>
        <w:rPr>
          <w:sz w:val="20"/>
          <w:szCs w:val="20"/>
          <w:color w:val="auto"/>
        </w:rPr>
      </w:pPr>
    </w:p>
    <w:p>
      <w:pPr>
        <w:spacing w:after="0" w:line="3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opening and closing balances of the Company’s contract balances.</w:t>
      </w:r>
    </w:p>
    <w:p>
      <w:pPr>
        <w:spacing w:after="0" w:line="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Contract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0999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Contract Liability</w:t>
            </w:r>
          </w:p>
        </w:tc>
        <w:tc>
          <w:tcPr>
            <w:tcW w:w="2260" w:type="dxa"/>
            <w:vAlign w:val="bottom"/>
          </w:tcPr>
          <w:p>
            <w:pPr>
              <w:spacing w:after="0"/>
              <w:rPr>
                <w:sz w:val="20"/>
                <w:szCs w:val="20"/>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6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15,289,901</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936,935</w:t>
            </w:r>
          </w:p>
        </w:tc>
        <w:tc>
          <w:tcPr>
            <w:tcW w:w="2260" w:type="dxa"/>
            <w:vAlign w:val="bottom"/>
          </w:tcPr>
          <w:p>
            <w:pPr>
              <w:spacing w:after="0"/>
              <w:rPr>
                <w:sz w:val="18"/>
                <w:szCs w:val="18"/>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6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Opening (1/1/2023)</w:t>
            </w:r>
          </w:p>
        </w:tc>
        <w:tc>
          <w:tcPr>
            <w:tcW w:w="16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4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17,424,764</w:t>
            </w:r>
          </w:p>
        </w:tc>
        <w:tc>
          <w:tcPr>
            <w:tcW w:w="22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812,482</w:t>
            </w:r>
          </w:p>
        </w:tc>
        <w:tc>
          <w:tcPr>
            <w:tcW w:w="2260" w:type="dxa"/>
            <w:vAlign w:val="bottom"/>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(12/31/2023)</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910"/>
              <w:spacing w:after="0"/>
              <w:rPr>
                <w:sz w:val="20"/>
                <w:szCs w:val="20"/>
                <w:color w:val="auto"/>
              </w:rPr>
            </w:pPr>
            <w:r>
              <w:rPr>
                <w:rFonts w:ascii="Times New Roman" w:cs="Times New Roman" w:eastAsia="Times New Roman" w:hAnsi="Times New Roman"/>
                <w:sz w:val="18"/>
                <w:szCs w:val="18"/>
                <w:color w:val="auto"/>
              </w:rPr>
              <w:t>Contract Balances</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6"/>
        </w:trPr>
        <w:tc>
          <w:tcPr>
            <w:tcW w:w="4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Contract Liability</w:t>
            </w:r>
          </w:p>
        </w:tc>
        <w:tc>
          <w:tcPr>
            <w:tcW w:w="2260" w:type="dxa"/>
            <w:vAlign w:val="bottom"/>
          </w:tcPr>
          <w:p>
            <w:pPr>
              <w:spacing w:after="0"/>
              <w:rPr>
                <w:sz w:val="20"/>
                <w:szCs w:val="20"/>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6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13,722,348</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785,674</w:t>
            </w:r>
          </w:p>
        </w:tc>
        <w:tc>
          <w:tcPr>
            <w:tcW w:w="2260" w:type="dxa"/>
            <w:vAlign w:val="bottom"/>
          </w:tcPr>
          <w:p>
            <w:pPr>
              <w:spacing w:after="0"/>
              <w:rPr>
                <w:sz w:val="18"/>
                <w:szCs w:val="18"/>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6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160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4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9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15,289,901</w:t>
            </w:r>
          </w:p>
        </w:tc>
        <w:tc>
          <w:tcPr>
            <w:tcW w:w="22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936,935</w:t>
            </w:r>
          </w:p>
        </w:tc>
        <w:tc>
          <w:tcPr>
            <w:tcW w:w="2260" w:type="dxa"/>
            <w:vAlign w:val="bottom"/>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21"/>
                <w:szCs w:val="2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(12/31/2022)</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center"/>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2023 and 2022 that was included in the opening contract liability balance was $4,539,540 and $4,588,290,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37"/>
        </w:trPr>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189"/>
        </w:trPr>
        <w:tc>
          <w:tcPr>
            <w:tcW w:w="52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33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19,957,735</w:t>
            </w: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21,283,237</w:t>
            </w:r>
          </w:p>
        </w:tc>
      </w:tr>
      <w:tr>
        <w:trPr>
          <w:trHeight w:val="243"/>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7,907,076</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5,710,618</w:t>
            </w: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27,864,811</w:t>
            </w:r>
          </w:p>
        </w:tc>
        <w:tc>
          <w:tcPr>
            <w:tcW w:w="2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26,993,855</w:t>
            </w:r>
          </w:p>
        </w:tc>
        <w:tc>
          <w:tcPr>
            <w:tcW w:w="80" w:type="dxa"/>
            <w:vAlign w:val="bottom"/>
            <w:tcBorders>
              <w:bottom w:val="single" w:sz="8" w:color="CCEEFF"/>
            </w:tcBorders>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5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17,560,899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16,412,963</w:t>
            </w:r>
          </w:p>
        </w:tc>
      </w:tr>
      <w:tr>
        <w:trPr>
          <w:trHeight w:val="24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3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10,303,912</w:t>
            </w: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10,580,892</w:t>
            </w: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27,864,811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26,993,855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for when revenue should be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elected to use any of the practical expedients under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cemetery and mortuary segment defers certain costs associated with obtaining a contract on future obligations.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Pre-need merchandise and service revenues are deferred until the goods or services are delivered.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is ordered from a third-party manufacturer. Generally, at-need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is ordered and received within 90 days of order. These orders are also short-term in nature and are deferred until the product is received from the manufacturer and the obligation is satisfied.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Revenue is recognized on pre-need land sales when the customer has paid at least 10% toward the land price. In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customers pay less than 10% the revenue and associated commissions are deferred until such a time when 10% of the contract price is received.</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contract costs that are included in the deferred policy and pre-need contract acquisition costs on the consolidated balances sheets.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merchandise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At-need specialty merchandise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land sales</w:t>
      </w:r>
    </w:p>
    <w:p>
      <w:pPr>
        <w:spacing w:after="0" w:line="200" w:lineRule="exact"/>
        <w:rPr>
          <w:sz w:val="20"/>
          <w:szCs w:val="20"/>
          <w:color w:val="auto"/>
        </w:rPr>
      </w:pPr>
    </w:p>
    <w:p>
      <w:pPr>
        <w:spacing w:after="0" w:line="317" w:lineRule="exact"/>
        <w:rPr>
          <w:sz w:val="20"/>
          <w:szCs w:val="20"/>
          <w:color w:val="auto"/>
        </w:rPr>
      </w:pPr>
    </w:p>
    <w:p>
      <w:pPr>
        <w:ind w:left="300" w:hanging="292"/>
        <w:spacing w:after="0"/>
        <w:tabs>
          <w:tab w:leader="none" w:pos="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9716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3,951,267</w:t>
            </w:r>
          </w:p>
        </w:tc>
        <w:tc>
          <w:tcPr>
            <w:tcW w:w="24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3,780,173</w:t>
            </w:r>
          </w:p>
        </w:tc>
      </w:tr>
      <w:tr>
        <w:trPr>
          <w:trHeight w:val="234"/>
        </w:trPr>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23,090</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r>
      <w:tr>
        <w:trPr>
          <w:trHeight w:val="243"/>
        </w:trPr>
        <w:tc>
          <w:tcPr>
            <w:tcW w:w="32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3,974,357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3,815,544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-616585</wp:posOffset>
            </wp:positionV>
            <wp:extent cx="534924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-334010</wp:posOffset>
            </wp:positionV>
            <wp:extent cx="534924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520" w:space="720"/>
            <w:col w:w="6000"/>
          </w:cols>
          <w:pgMar w:left="320" w:top="688" w:right="3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identified property, plant, or equipment (an identified asset) for a period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Nature of Leases and Subleases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equipment from third 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that have not Commenced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leases that have not commenced that create significant rights or obligations for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Lease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related party lease transactions that require disclosure as of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right-of-use assets and cash flows from lease transactions.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16"/>
              <w:spacing w:after="0"/>
              <w:rPr>
                <w:sz w:val="20"/>
                <w:szCs w:val="20"/>
                <w:color w:val="auto"/>
              </w:rPr>
            </w:pPr>
            <w:r>
              <w:rPr>
                <w:rFonts w:ascii="Times New Roman" w:cs="Times New Roman" w:eastAsia="Times New Roman" w:hAnsi="Times New Roman"/>
                <w:sz w:val="18"/>
                <w:szCs w:val="18"/>
                <w:color w:val="auto"/>
              </w:rPr>
              <w:t>Years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8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7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 (1)</w:t>
            </w:r>
          </w:p>
        </w:tc>
        <w:tc>
          <w:tcPr>
            <w:tcW w:w="180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25,573</w:t>
            </w:r>
          </w:p>
        </w:tc>
        <w:tc>
          <w:tcPr>
            <w:tcW w:w="120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30,163</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 (2)</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(3)</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3,914,954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4,498,894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 (3)(4)</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1,874,556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1,135,003</w:t>
            </w:r>
          </w:p>
        </w:tc>
      </w:tr>
      <w:tr>
        <w:trPr>
          <w:trHeight w:val="24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(3)</w:t>
            </w: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(323,272)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(209,455)</w:t>
            </w: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5,493,524</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5,457,378</w:t>
            </w:r>
          </w:p>
        </w:tc>
        <w:tc>
          <w:tcPr>
            <w:tcW w:w="160" w:type="dxa"/>
            <w:vAlign w:val="bottom"/>
            <w:tcBorders>
              <w:bottom w:val="single" w:sz="8" w:color="CCEEFF"/>
            </w:tcBorders>
          </w:tcPr>
          <w:p>
            <w:pPr>
              <w:spacing w:after="0"/>
              <w:rPr>
                <w:sz w:val="22"/>
                <w:szCs w:val="22"/>
                <w:color w:val="auto"/>
              </w:rPr>
            </w:pPr>
          </w:p>
        </w:tc>
      </w:tr>
      <w:tr>
        <w:trPr>
          <w:trHeight w:val="197"/>
        </w:trPr>
        <w:tc>
          <w:tcPr>
            <w:tcW w:w="5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2"/>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4,007,919</w:t>
            </w:r>
          </w:p>
        </w:tc>
        <w:tc>
          <w:tcPr>
            <w:tcW w:w="120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4,250,630</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2,773</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27,868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31,685</w:t>
            </w:r>
          </w:p>
        </w:tc>
      </w:tr>
      <w:tr>
        <w:trPr>
          <w:trHeight w:val="216"/>
        </w:trPr>
        <w:tc>
          <w:tcPr>
            <w:tcW w:w="5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160,348</w:t>
            </w:r>
          </w:p>
        </w:tc>
        <w:tc>
          <w:tcPr>
            <w:tcW w:w="120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2,054,534</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5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60" w:hanging="292"/>
        <w:spacing w:after="0"/>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on property and equipment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Rent and rent related expenses on the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leases with a term of 12 months or less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maturity analysis of the Company’s lease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due in:</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3,187,826</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2,073,045</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1,443,598</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340,112</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6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195,695</w:t>
            </w:r>
          </w:p>
        </w:tc>
        <w:tc>
          <w:tcPr>
            <w:tcW w:w="60" w:type="dxa"/>
            <w:vAlign w:val="bottom"/>
            <w:shd w:val="clear" w:color="auto" w:fill="CCEEFF"/>
          </w:tcPr>
          <w:p>
            <w:pPr>
              <w:spacing w:after="0"/>
              <w:rPr>
                <w:sz w:val="21"/>
                <w:szCs w:val="21"/>
                <w:color w:val="auto"/>
              </w:rPr>
            </w:pP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7,369,130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on cash flows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(480,588</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6,888,542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right-of-use assets and lease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Balance Sheet Location</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169"/>
        </w:trPr>
        <w:tc>
          <w:tcPr>
            <w:tcW w:w="272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2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6,374,336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9,987,699</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2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6,888,542</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10,596,471</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27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Finance Leases</w:t>
            </w:r>
          </w:p>
        </w:tc>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130,367</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228,221</w:t>
            </w:r>
          </w:p>
        </w:tc>
      </w:tr>
      <w:tr>
        <w:trPr>
          <w:trHeight w:val="243"/>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(200,178)</w:t>
            </w:r>
          </w:p>
        </w:tc>
      </w:tr>
      <w:tr>
        <w:trPr>
          <w:trHeight w:val="223"/>
        </w:trPr>
        <w:tc>
          <w:tcPr>
            <w:tcW w:w="2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280" w:type="dxa"/>
            <w:vAlign w:val="bottom"/>
            <w:tcBorders>
              <w:top w:val="single" w:sz="8" w:color="CCEEFF"/>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2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31,082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also a lessor and has operating lease agreements with various tenants that lease its commercial properties. See Note 2 for information about the Company’s real estate held for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Management’s annual report on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the Company’s internal control over financial reporting as of December 31, 2023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2023. Based on that assessment management believes that as of December 31, 2023, the Company’s internal control over financial reporting was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in the fourth quarter 2023 that has materially affected, or is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portion of the Company’s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 During the three months ended December 31, 2023, no directors or officers adopted or terminated a “Rule 10b5-1 trading arrangement” or a “non-Rule 10b5-1 trading arrangement”, as each term is defined in Item 408(a) of Regulation 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these items is incorporated by reference to the Company’s definitive proxy statement relating to its 2024 Annual Meeting of Shareholders. The Company currently anticipates that its definitive proxy statement will be filed with the SEC not later than 120 days after December 31, 2023, pursuant to Regulation 14A of the Securities and Exchange Act of 1934, as amended.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Consolidated Financial Statements” under Item 8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Reinsurance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60" w:type="dxa"/>
            <w:vAlign w:val="bottom"/>
            <w:gridSpan w:val="8"/>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Amended and Restated Articles of Incorporation (4)</w:t>
              </w:r>
            </w:hyperlink>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Amended and Restated Bylaws (6)</w:t>
              </w:r>
            </w:hyperlink>
          </w:p>
        </w:tc>
        <w:tc>
          <w:tcPr>
            <w:tcW w:w="124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Specimen Class A Stock Certificate (1)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Specimen Class C Stock Certificate (1)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Specimen Preferred Stock Certificate and Certificate of Designation of Preferred Stock (1)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Employee Stock Ownership Plan, as amended and restated (ESOP) and Trust Agreement (1)</w:t>
            </w: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6660" w:type="dxa"/>
            <w:vAlign w:val="bottom"/>
            <w:gridSpan w:val="8"/>
          </w:tcPr>
          <w:p>
            <w:pPr>
              <w:spacing w:after="0" w:line="194"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Amended and Restated 2013 Stock Option and Other Equity Incentive Awards Plan (3)</w:t>
              </w:r>
            </w:hyperlink>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2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Amended and Restated 2014 Director Stock Option Plan (7)</w:t>
              </w:r>
            </w:hyperlink>
          </w:p>
        </w:tc>
        <w:tc>
          <w:tcPr>
            <w:tcW w:w="38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3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Employment Agreement with Scott M. Quist (2)</w:t>
              </w:r>
            </w:hyperlink>
          </w:p>
        </w:tc>
        <w:tc>
          <w:tcPr>
            <w:tcW w:w="2320" w:type="dxa"/>
            <w:vAlign w:val="bottom"/>
            <w:gridSpan w:val="2"/>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5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Stock Repurchase Plan (5)</w:t>
              </w:r>
            </w:hyperlink>
          </w:p>
        </w:tc>
        <w:tc>
          <w:tcPr>
            <w:tcW w:w="3160" w:type="dxa"/>
            <w:vAlign w:val="bottom"/>
            <w:gridSpan w:val="4"/>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9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2022 Equity Incentive Plan</w:t>
            </w:r>
          </w:p>
        </w:tc>
        <w:tc>
          <w:tcPr>
            <w:tcW w:w="4680" w:type="dxa"/>
            <w:vAlign w:val="bottom"/>
            <w:gridSpan w:val="6"/>
          </w:tcPr>
          <w:p>
            <w:pPr>
              <w:spacing w:after="0"/>
              <w:rPr>
                <w:sz w:val="17"/>
                <w:szCs w:val="17"/>
                <w:color w:val="auto"/>
              </w:rPr>
            </w:pPr>
          </w:p>
        </w:tc>
      </w:tr>
    </w:tbl>
    <w:p>
      <w:pPr>
        <w:spacing w:after="0" w:line="9" w:lineRule="exact"/>
        <w:rPr>
          <w:sz w:val="20"/>
          <w:szCs w:val="20"/>
          <w:color w:val="auto"/>
        </w:rPr>
      </w:pPr>
    </w:p>
    <w:p>
      <w:pPr>
        <w:ind w:left="1620" w:hanging="964"/>
        <w:spacing w:after="0"/>
        <w:tabs>
          <w:tab w:leader="none" w:pos="1620" w:val="left"/>
        </w:tabs>
        <w:numPr>
          <w:ilvl w:val="0"/>
          <w:numId w:val="120"/>
        </w:numPr>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Code of Business Conduct and Ethics (6)</w:t>
        </w:r>
      </w:hyperlink>
    </w:p>
    <w:p>
      <w:pPr>
        <w:spacing w:after="0" w:line="27" w:lineRule="exact"/>
        <w:rPr>
          <w:sz w:val="20"/>
          <w:szCs w:val="20"/>
          <w:color w:val="auto"/>
        </w:rPr>
      </w:pPr>
    </w:p>
    <w:p>
      <w:pPr>
        <w:ind w:left="1620" w:hanging="964"/>
        <w:spacing w:after="0"/>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p>
    <w:p>
      <w:pPr>
        <w:spacing w:after="0" w:line="9"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Clawback Policy</w:t>
      </w:r>
    </w:p>
    <w:p>
      <w:pPr>
        <w:spacing w:after="0" w:line="9"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185"/>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31"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6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SECURITY NATIONAL FINANCIAL CORPORATION</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2024</w:t>
            </w: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M. Quist</w:t>
            </w:r>
          </w:p>
        </w:tc>
      </w:tr>
      <w:tr>
        <w:trPr>
          <w:trHeight w:val="191"/>
        </w:trPr>
        <w:tc>
          <w:tcPr>
            <w:tcW w:w="26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34"/>
        </w:trPr>
        <w:tc>
          <w:tcPr>
            <w:tcW w:w="26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SIGNATURE</w:t>
            </w:r>
          </w:p>
        </w:tc>
        <w:tc>
          <w:tcPr>
            <w:tcW w:w="240" w:type="dxa"/>
            <w:vAlign w:val="bottom"/>
          </w:tcPr>
          <w:p>
            <w:pPr>
              <w:spacing w:after="0"/>
              <w:rPr>
                <w:sz w:val="20"/>
                <w:szCs w:val="20"/>
                <w:color w:val="auto"/>
              </w:rPr>
            </w:pPr>
          </w:p>
        </w:tc>
        <w:tc>
          <w:tcPr>
            <w:tcW w:w="53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r>
      <w:tr>
        <w:trPr>
          <w:trHeight w:val="27"/>
        </w:trPr>
        <w:tc>
          <w:tcPr>
            <w:tcW w:w="3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President,</w:t>
            </w:r>
          </w:p>
        </w:tc>
        <w:tc>
          <w:tcPr>
            <w:tcW w:w="2240" w:type="dxa"/>
            <w:vAlign w:val="bottom"/>
          </w:tcPr>
          <w:p>
            <w:pPr>
              <w:spacing w:after="0"/>
              <w:rPr>
                <w:sz w:val="24"/>
                <w:szCs w:val="24"/>
                <w:color w:val="auto"/>
              </w:rPr>
            </w:pP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c>
          <w:tcPr>
            <w:tcW w:w="562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and Chief Executive Officer</w:t>
            </w:r>
          </w:p>
        </w:tc>
        <w:tc>
          <w:tcPr>
            <w:tcW w:w="2240" w:type="dxa"/>
            <w:vAlign w:val="bottom"/>
          </w:tcPr>
          <w:p>
            <w:pPr>
              <w:spacing w:after="0"/>
              <w:rPr>
                <w:sz w:val="16"/>
                <w:szCs w:val="16"/>
                <w:color w:val="auto"/>
              </w:rPr>
            </w:pPr>
          </w:p>
        </w:tc>
      </w:tr>
      <w:tr>
        <w:trPr>
          <w:trHeight w:val="234"/>
        </w:trPr>
        <w:tc>
          <w:tcPr>
            <w:tcW w:w="3380" w:type="dxa"/>
            <w:vAlign w:val="bottom"/>
          </w:tcPr>
          <w:p>
            <w:pPr>
              <w:spacing w:after="0"/>
              <w:rPr>
                <w:sz w:val="20"/>
                <w:szCs w:val="20"/>
                <w:color w:val="auto"/>
              </w:rPr>
            </w:pP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4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2240" w:type="dxa"/>
            <w:vAlign w:val="bottom"/>
          </w:tcPr>
          <w:p>
            <w:pPr>
              <w:spacing w:after="0"/>
              <w:rPr>
                <w:sz w:val="24"/>
                <w:szCs w:val="24"/>
                <w:color w:val="auto"/>
              </w:rPr>
            </w:pP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c>
          <w:tcPr>
            <w:tcW w:w="562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Treasurer (Principal Financial</w:t>
            </w:r>
          </w:p>
        </w:tc>
        <w:tc>
          <w:tcPr>
            <w:tcW w:w="2240" w:type="dxa"/>
            <w:vAlign w:val="bottom"/>
          </w:tcPr>
          <w:p>
            <w:pPr>
              <w:spacing w:after="0"/>
              <w:rPr>
                <w:sz w:val="16"/>
                <w:szCs w:val="16"/>
                <w:color w:val="auto"/>
              </w:rPr>
            </w:pPr>
          </w:p>
        </w:tc>
      </w:tr>
      <w:tr>
        <w:trPr>
          <w:trHeight w:val="234"/>
        </w:trPr>
        <w:tc>
          <w:tcPr>
            <w:tcW w:w="3380" w:type="dxa"/>
            <w:vAlign w:val="bottom"/>
          </w:tcPr>
          <w:p>
            <w:pPr>
              <w:spacing w:after="0"/>
              <w:rPr>
                <w:sz w:val="20"/>
                <w:szCs w:val="20"/>
                <w:color w:val="auto"/>
              </w:rPr>
            </w:pP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43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Jason G. Overbaugh</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 Andrew Quist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Adam G. Quist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L. Cook</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John L. Cook</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Gilbert A. Fuller</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G. Hunter</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Robert G. Hunter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Ludmya B. Love</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Ludmya B. Love</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Shital A. Mehta</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 Craig Moody</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29,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in force ($000)</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Times New Roman" w:cs="Times New Roman" w:eastAsia="Times New Roman" w:hAnsi="Times New Roman"/>
          <w:sz w:val="18"/>
          <w:szCs w:val="18"/>
          <w:color w:val="auto"/>
        </w:rPr>
        <w:t>Schedule IV</w:t>
      </w:r>
    </w:p>
    <w:p>
      <w:pPr>
        <w:spacing w:after="0" w:line="2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39"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Reinsurance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Percentage</w:t>
            </w:r>
          </w:p>
        </w:tc>
      </w:tr>
      <w:tr>
        <w:trPr>
          <w:trHeight w:val="216"/>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Ceded to</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Assumed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of Amount</w:t>
            </w:r>
          </w:p>
        </w:tc>
      </w:tr>
      <w:tr>
        <w:trPr>
          <w:trHeight w:val="234"/>
        </w:trPr>
        <w:tc>
          <w:tcPr>
            <w:tcW w:w="16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Direct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from Other</w:t>
            </w:r>
          </w:p>
        </w:tc>
        <w:tc>
          <w:tcPr>
            <w:tcW w:w="160" w:type="dxa"/>
            <w:vAlign w:val="bottom"/>
          </w:tcPr>
          <w:p>
            <w:pPr>
              <w:spacing w:after="0"/>
              <w:rPr>
                <w:sz w:val="20"/>
                <w:szCs w:val="20"/>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Net</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Assumed</w:t>
            </w:r>
          </w:p>
        </w:tc>
      </w:tr>
      <w:tr>
        <w:trPr>
          <w:trHeight w:val="243"/>
        </w:trPr>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Companies</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4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Net</w:t>
            </w:r>
          </w:p>
        </w:tc>
        <w:tc>
          <w:tcPr>
            <w:tcW w:w="140" w:type="dxa"/>
            <w:vAlign w:val="bottom"/>
            <w:gridSpan w:val="2"/>
          </w:tcPr>
          <w:p>
            <w:pPr>
              <w:spacing w:after="0"/>
              <w:rPr>
                <w:sz w:val="21"/>
                <w:szCs w:val="21"/>
                <w:color w:val="auto"/>
              </w:rPr>
            </w:pPr>
          </w:p>
        </w:tc>
      </w:tr>
      <w:tr>
        <w:trPr>
          <w:trHeight w:val="45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3,517,812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34,742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3,219,343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-325120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720"/>
            <w:col w:w="770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116,141,852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1,938,610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239,744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114,442,986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140" w:type="dxa"/>
            <w:vAlign w:val="bottom"/>
          </w:tcPr>
          <w:p>
            <w:pPr>
              <w:spacing w:after="0"/>
              <w:rPr>
                <w:sz w:val="21"/>
                <w:szCs w:val="21"/>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215,442</w:t>
            </w:r>
          </w:p>
        </w:tc>
        <w:tc>
          <w:tcPr>
            <w:tcW w:w="2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215,450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premiums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116,357,294</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239,752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114,658,436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2022</w:t>
            </w:r>
          </w:p>
        </w:tc>
        <w:tc>
          <w:tcPr>
            <w:tcW w:w="3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83"/>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Life Insurance in force ($000)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3,322,062(1)</w:t>
            </w: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346,749</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124,774</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3,100,087(1)</w:t>
            </w:r>
          </w:p>
        </w:tc>
        <w:tc>
          <w:tcPr>
            <w:tcW w:w="1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7"/>
        </w:trPr>
        <w:tc>
          <w:tcPr>
            <w:tcW w:w="36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105,697,658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2,004,925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766,529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104,459,262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140" w:type="dxa"/>
            <w:vAlign w:val="bottom"/>
          </w:tcPr>
          <w:p>
            <w:pPr>
              <w:spacing w:after="0"/>
              <w:rPr>
                <w:sz w:val="21"/>
                <w:szCs w:val="21"/>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542,370</w:t>
            </w:r>
          </w:p>
        </w:tc>
        <w:tc>
          <w:tcPr>
            <w:tcW w:w="2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542,378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premiums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106,240,028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105,001,640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480" w:right="2320" w:hanging="5412"/>
        <w:spacing w:after="0" w:line="657" w:lineRule="auto"/>
        <w:tabs>
          <w:tab w:leader="none" w:pos="3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has been adjusted to include accidental death benefit insurance in force that was inadvertently excluded.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Security National Financial Corporation (the “Company”), a Utah corporation, hereby establishes and adopts the First Amended and Restated Security National Financial Corporation 2022 Equity Incentive Plan (the “Plan”) effective as of the date specified in Section 13.13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 OF THE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Plan is to assist the Company and its Subsidiaries in attracting and retaining selected individuals to serve as directors, employees, consultants and/or advisors of the Company who are expected to contribute to the Company’s success and to achieve long-term objectives which will inure to the benefit of all shareholders of the Company through the additional incentives inherent in the Awards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shall mean (i) the Board; or (ii) to the extent (A) the Board has delegated such power and authority to the Committee (which delegation may be revoked by the Board at any time), or (B) otherwise required pursuant to Section 4 of the Plan, the Committee.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shall mean any Option, Stock Appreciation Right, Restricted Stock Award, Restricted Stock Unit Award, Other Share-Based Award or any other right, interest or option relating to Shares or other property (including cash) granted pursuant to the provisions of the Plan.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shall mean any written agreement, contract or other instrument or document evidencing any Award granted by the Administrator hereunder, including through an electronic medium.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Amount</w:t>
      </w:r>
      <w:r>
        <w:rPr>
          <w:rFonts w:ascii="Times New Roman" w:cs="Times New Roman" w:eastAsia="Times New Roman" w:hAnsi="Times New Roman"/>
          <w:sz w:val="18"/>
          <w:szCs w:val="18"/>
          <w:color w:val="auto"/>
        </w:rPr>
        <w:t>” has the meaning set forth in Section 6.2(b).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mean with respect to any Employee or Consultant (unless the applicable Award Agreement states otherwise), any such Employee’s or Consultant’s: (i) commission of, or plea of guilty or no contest to, a felony or a crime involving moral turpitude or commission of any other act involving willful malfeasance or material fiduciary breach with respect to the Company or a Subsidiary; (ii) conduct that results in or is reasonably likely to result in material harm to the reputation or business of the Company or any Subsidiary; (iii) gross negligence or willful misconduct with respect to the Company or a Subsidiary; (iv) material violation of state or federal securities laws or any applicable written employment-related policy of the Company or Subsidiary; or (v) conduct, violation or other action that would be considered Cause pursuant to a definition of Cause in any employment or service agreement, if any, between any such Employee or Consultant and the Company or any of its Subsidiaries. With respect to any Director, unless the applicable Award Agreement states otherwise, “Cause” means the commission of, or plea of guilty or no contest to, a felony or a crime involving moral turpitude, malfeasance in office, gross misconduct or neglect of duties as a Director, false or fraudulent misrepresentation inducing the Director’s appointment, or repeated failure to participate in Board meetings on a regular basis despite having received proper notice of the meetings in advance. The Administrator, in its absolute discretion, shall determine the effect of all matters and questions relating to whether a Participant has been discharged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have the meaning set forth in Section 11.4.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shall mean Class A Common Stock, par value $2.00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shall mean Class C Common Stock, par value $2.00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shall have the meaning set forth in Section 13.5(b).</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shall mean the Internal Revenue Code of 1986, as amended from time to time. Any reference to a section of the Code shall be deemed to include a reference to any regulations promulgated thereunder.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shall mean the Compensation Committee of the Board consisting of no fewer than two Directors, each of whom is: (i) a “Non-Employee Director” within the meaning of Rule 16b-3 of the Exchange Act; and (ii) an “independent director” for purpose of the rules and regulations of the NASDAQ Global Market (or such other principal securities market on which the Class A Shares are traded).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mean Security National Financial Corporation, a Utah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Voting Securities</w:t>
      </w:r>
      <w:r>
        <w:rPr>
          <w:rFonts w:ascii="Times New Roman" w:cs="Times New Roman" w:eastAsia="Times New Roman" w:hAnsi="Times New Roman"/>
          <w:sz w:val="18"/>
          <w:szCs w:val="18"/>
          <w:color w:val="auto"/>
        </w:rPr>
        <w:t>” shall have the meaning set forth in Section 11.4(b).</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Consultant</w:t>
      </w:r>
      <w:r>
        <w:rPr>
          <w:rFonts w:ascii="Times New Roman" w:cs="Times New Roman" w:eastAsia="Times New Roman" w:hAnsi="Times New Roman"/>
          <w:sz w:val="18"/>
          <w:szCs w:val="18"/>
          <w:color w:val="auto"/>
        </w:rPr>
        <w:t>” shall mean any individual or entity which performs bona fide services to the Company or a Subsidiary, other than as an Employee or Director, and who may be offered Shares under the Plan registerable pursuant to a registration statement on Form S-8 under the Securities Act; provided such services are not in connection with the offer or sale of securities in a capital-raising transaction.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Continuous Service</w:t>
      </w:r>
      <w:r>
        <w:rPr>
          <w:rFonts w:ascii="Times New Roman" w:cs="Times New Roman" w:eastAsia="Times New Roman" w:hAnsi="Times New Roman"/>
          <w:sz w:val="18"/>
          <w:szCs w:val="18"/>
          <w:color w:val="auto"/>
        </w:rPr>
        <w:t>” shall mean that the Participant’s service with the Company or a Subsidiary, whether as an Employee, Consultant or Director, is not terminated. The Participant’s Continuous Service shall not be deemed to have terminated merely because of a change in the capacity in which the Participant renders service to the Company or a Subsidiary as an Employee, Consultant or Director or a change in the entity for which the Participant renders such service; provided that (i) there is no interruption or termination of the Participant’s Continuous Service; and (ii) that if any Award is subject to Section 409A of the Code, this sentence shall only be given effect to the extent consistent with Section 409A of the Code. For example, a change in status from an Employee of the Company to a Director of a Subsidiary will not constitute an interruption of Continuous Service. The Administrator or its delegate, in its sole discretion, may determine whether Continuous Service shall be considered interrupted in the case of any leave of absence approved by that party, including sick leave, military leave or any other personal or family leave of absence. The Administrator or its delegate, in its sole discretion, may also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Stock Unit</w:t>
      </w:r>
      <w:r>
        <w:rPr>
          <w:rFonts w:ascii="Times New Roman" w:cs="Times New Roman" w:eastAsia="Times New Roman" w:hAnsi="Times New Roman"/>
          <w:sz w:val="18"/>
          <w:szCs w:val="18"/>
          <w:color w:val="auto"/>
        </w:rPr>
        <w:t>” shall have the meaning set forth in Section 8.2.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shall mean a non-employee member of the Board.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shall mean, unless the applicable Award Agreement says otherwise, that the Participant is unable to engage in any substantial gainful activity by reason of any medically determinable physical or mental impairment; provided, that for purposes of determining the term of an Incentive Stock Option, the term Disability shall have the meaning ascribed to it under Section 22(e)(3) of the Code. The determination of whether an individual has a Disability shall be determined under procedures established by the Administrator. Except in situations where the Administrator is determining Disability for purposes of the term of an Incentive Stock Option, the Administrator may rely on any determination that a Participant is disabled for purposes of benefits under any long-term disability plan maintained by the Company or any Subsidiary in which the Participant participates.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shall have the meaning set forth in Section 8.3(b).</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shall mean any employee of the Company or any Subsidiary and any prospective employee conditioned upon, and effective not earlier than, such person’s becoming an employee of the Company or 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shall mean, with respect to any property other than Shares, the market value of such property determined by such methods or procedures as shall be established from time to time by the Administrator. The Fair Market Value of Shares as of any date shall be the closing trading price of the Shares as reported on the NASDAQ Global Market on that date (or if there were no reported closing prices on such date, on the last preceding date as of which the closing price per Share was reported) or, if the Company is not then listed on the NASDAQ Global Market, on such other principal securities exchange on which the Shares are traded. If the Company is not listed on the NASDAQ Global Market or any other securities exchange, the Fair Market Value of Shares shall be determined by the Administrator in good faith using such criteria as it determines in its discretion, and such determination shall be conclusive and binding on all persons.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Freestanding Stock Appreciation Right</w:t>
      </w:r>
      <w:r>
        <w:rPr>
          <w:rFonts w:ascii="Times New Roman" w:cs="Times New Roman" w:eastAsia="Times New Roman" w:hAnsi="Times New Roman"/>
          <w:sz w:val="18"/>
          <w:szCs w:val="18"/>
          <w:color w:val="auto"/>
        </w:rPr>
        <w:t>” shall have the meaning set forth in Section 6.1.</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shall mean the date on which the Administrator adopts a resolution, or takes other appropriate action, expressly granting an Award to a Participant that specifies the material terms and conditions of the Award or, if a later date is set forth in such resolution, then such later date as is set forth in such resolution.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5" w:name="page136"/>
    <w:bookmarkEnd w:id="13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shall mean an Option that is designated by the Administrator as an incentive stock option within the meaning of Section 422 of the Code and that meets the requirements set out in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Incumbent Directors</w:t>
      </w:r>
      <w:r>
        <w:rPr>
          <w:rFonts w:ascii="Times New Roman" w:cs="Times New Roman" w:eastAsia="Times New Roman" w:hAnsi="Times New Roman"/>
          <w:sz w:val="18"/>
          <w:szCs w:val="18"/>
          <w:color w:val="auto"/>
        </w:rPr>
        <w:t>” shall have the meaning set forth in Section 11.4(a).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Non-qualifying Transaction</w:t>
      </w:r>
      <w:r>
        <w:rPr>
          <w:rFonts w:ascii="Times New Roman" w:cs="Times New Roman" w:eastAsia="Times New Roman" w:hAnsi="Times New Roman"/>
          <w:sz w:val="18"/>
          <w:szCs w:val="18"/>
          <w:color w:val="auto"/>
        </w:rPr>
        <w:t>” shall have the meaning set forth in Section 11.4(c).</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shall mean any right granted to a Participant under the Plan allowing such Participant to purchase Shares at such price or prices and during such period or periods as the Administrator shall determine.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 Exercise Price</w:t>
      </w:r>
      <w:r>
        <w:rPr>
          <w:rFonts w:ascii="Times New Roman" w:cs="Times New Roman" w:eastAsia="Times New Roman" w:hAnsi="Times New Roman"/>
          <w:sz w:val="18"/>
          <w:szCs w:val="18"/>
          <w:color w:val="auto"/>
        </w:rPr>
        <w:t>” shall mean the price at which a Share may be purchased upon the exercise of an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Plan</w:t>
      </w:r>
      <w:r>
        <w:rPr>
          <w:rFonts w:ascii="Times New Roman" w:cs="Times New Roman" w:eastAsia="Times New Roman" w:hAnsi="Times New Roman"/>
          <w:sz w:val="18"/>
          <w:szCs w:val="18"/>
          <w:color w:val="auto"/>
        </w:rPr>
        <w:t>” shall mean the Security National Financial Corporation Amended and Restated 2014 Director Stock Option Plan.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Share-Based Award</w:t>
      </w:r>
      <w:r>
        <w:rPr>
          <w:rFonts w:ascii="Times New Roman" w:cs="Times New Roman" w:eastAsia="Times New Roman" w:hAnsi="Times New Roman"/>
          <w:sz w:val="18"/>
          <w:szCs w:val="18"/>
          <w:color w:val="auto"/>
        </w:rPr>
        <w:t>” shall mean an Award that (i) is not an Option, Stock Appreciation Right, Restricted Stock or Restricted Stock Unit, (ii) is granted under Section 9; and (iii) is payable by delivery of Shares and/or which is measured by reference to the value of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shall mean an Employee, Consultant or Director who is selected by the Administrator to receive an Award under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Payee</w:t>
      </w:r>
      <w:r>
        <w:rPr>
          <w:rFonts w:ascii="Times New Roman" w:cs="Times New Roman" w:eastAsia="Times New Roman" w:hAnsi="Times New Roman"/>
          <w:sz w:val="18"/>
          <w:szCs w:val="18"/>
          <w:color w:val="auto"/>
        </w:rPr>
        <w:t>” shall have the meaning set forth in Section 13.1.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shall mean any Award the exercisability, vesting, payment or settlement of which is subject to or conditioned upon satisfaction in whole or in part of specific Performance Goals established by the Administrator and set forth in the applicable Award Agreement. For clarity, Options and other Awards that become exercisable, vest, or otherwise are earned and become payable based solely on conditions relating to Continuous Service are not Performance Awards.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shall mean, as to a Performance Award, the specified levels of attainment of designated Performance Measures established by the Administrator and set forth in the applicable Award Agreement at which the Performance Award will vest, become exercisable, or otherwise become payable or earned.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6" w:name="page137"/>
    <w:bookmarkEnd w:id="1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Measures</w:t>
      </w:r>
      <w:r>
        <w:rPr>
          <w:rFonts w:ascii="Times New Roman" w:cs="Times New Roman" w:eastAsia="Times New Roman" w:hAnsi="Times New Roman"/>
          <w:sz w:val="18"/>
          <w:szCs w:val="18"/>
          <w:color w:val="auto"/>
        </w:rPr>
        <w:t>” shall mean the measures or criteria that the Administrator shall select for purposes of establishing the performance-based conditions for a Performance Award. The Performance Measures may be based on the attainment of specific levels of performance of the Company (or any Subsidiary, division, business unit or operational unit of the Company) and may include the following: (i) net earnings or net income (before or after taxes); (ii) basic or diluted earnings per share (before or after taxes); (iii) net revenue or net revenue growth; (iv) gross revenue, gross profit or gross profit growth; (v) net operating profit (before or after taxes); (vi) return on assets, capital, invested capital, equity, or sales; (vii) cash flow (including, but not limited to, operating cash flow, free cash flow, and cash flow return on capital); (viii) earnings before or after taxes, interest, depreciation and/or amortization; (ix) gross or operating margins; (x) improvements in capital structure; (xi) budget and expense management; (xii) productivity ratios; (xiii) economic value added or other value added measurements; (xiv) Share price (including, but not limited to, growth measures and total shareholder return);</w:t>
      </w:r>
    </w:p>
    <w:p>
      <w:pPr>
        <w:spacing w:after="0" w:line="3" w:lineRule="exact"/>
        <w:rPr>
          <w:sz w:val="20"/>
          <w:szCs w:val="20"/>
          <w:color w:val="auto"/>
        </w:rPr>
      </w:pPr>
    </w:p>
    <w:p>
      <w:pPr>
        <w:ind w:firstLine="8"/>
        <w:spacing w:after="0" w:line="260" w:lineRule="auto"/>
        <w:tabs>
          <w:tab w:leader="none" w:pos="3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targets; (xvi) margins; (xvii) operating efficiency; (xix) working capital targets; (xx) enterprise value; and (xxi) completion of acquisitions or business expansions.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Stock Unit</w:t>
      </w:r>
      <w:r>
        <w:rPr>
          <w:rFonts w:ascii="Times New Roman" w:cs="Times New Roman" w:eastAsia="Times New Roman" w:hAnsi="Times New Roman"/>
          <w:sz w:val="18"/>
          <w:szCs w:val="18"/>
          <w:color w:val="auto"/>
        </w:rPr>
        <w:t>” shall have the meaning set forth in Section 8.1.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Assignee</w:t>
      </w:r>
      <w:r>
        <w:rPr>
          <w:rFonts w:ascii="Times New Roman" w:cs="Times New Roman" w:eastAsia="Times New Roman" w:hAnsi="Times New Roman"/>
          <w:sz w:val="18"/>
          <w:szCs w:val="18"/>
          <w:color w:val="auto"/>
        </w:rPr>
        <w:t>” shall have the meaning set forth in Section 12.3.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shall mean the Security National Financial Corporation 2022 Equity Incentive Plan, as amended from time to time.</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Plan</w:t>
      </w:r>
      <w:r>
        <w:rPr>
          <w:rFonts w:ascii="Times New Roman" w:cs="Times New Roman" w:eastAsia="Times New Roman" w:hAnsi="Times New Roman"/>
          <w:sz w:val="18"/>
          <w:szCs w:val="18"/>
          <w:color w:val="auto"/>
        </w:rPr>
        <w:t>” shall mean the Security National Financial Corporation Amended and Restated 2013 Stock Option and Other Equity Incentive Awards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Right</w:t>
      </w:r>
      <w:r>
        <w:rPr>
          <w:rFonts w:ascii="Times New Roman" w:cs="Times New Roman" w:eastAsia="Times New Roman" w:hAnsi="Times New Roman"/>
          <w:sz w:val="18"/>
          <w:szCs w:val="18"/>
          <w:color w:val="auto"/>
        </w:rPr>
        <w:t>” shall have the meaning set forth in Section 6.1.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shall mean any Share issued with the restriction that the holder may not sell, transfer, pledge or assign such Share and with such other restrictions as the Administrator, in its sole discretion, may impose (including any restriction on the right to vote such Share and the right to receive any dividends), which restrictions may lapse separately or in combination at such time or times, in installments or otherwise, or upon the attainment of such specified Performance Goals as the Administrator may deem appropriate.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shall have the meaning set forth in Section 7.1.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shall mean an Award of a contractual right to a future payment that is valued by reference to a Share, which value may be paid to the Participant in Shares or cash as determined by the Administrator in its sole discretion upon the satisfaction of such vesting restrictions as the Administrator may establish, which restrictions may lapse separately or in combination at such time or times, in installments or otherwise, as the Administrator may deem appropriate.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 Award</w:t>
      </w:r>
      <w:r>
        <w:rPr>
          <w:rFonts w:ascii="Times New Roman" w:cs="Times New Roman" w:eastAsia="Times New Roman" w:hAnsi="Times New Roman"/>
          <w:sz w:val="18"/>
          <w:szCs w:val="18"/>
          <w:color w:val="auto"/>
        </w:rPr>
        <w:t>” shall have the meaning set forth in Section 8.1.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shall mean Class A Shares and Class C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shall mean the right granted to a Participant pursuant to Section 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Subcommittee</w:t>
      </w:r>
      <w:r>
        <w:rPr>
          <w:rFonts w:ascii="Times New Roman" w:cs="Times New Roman" w:eastAsia="Times New Roman" w:hAnsi="Times New Roman"/>
          <w:sz w:val="18"/>
          <w:szCs w:val="18"/>
          <w:color w:val="auto"/>
        </w:rPr>
        <w:t>” shall mean a subcommittee of the Committee designated by the Committee under Section 4.2(c) of the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7" w:name="page138"/>
    <w:bookmarkEnd w:id="1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shall mean any (i) corporation (other than the Company) in an unbroken chain of corporations beginning with the Company if, at the time of the granting of the Award, each of the corporations other than the last corporation in the unbroken chain owns stock possessing more than 50% of the total combined voting power of all classes of stock in one of the other corporations in the chain; and (ii) any other entity in which the Company has a greater than 50% direct or indirect voting and economic equity interest.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shall mean Awards granted or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Ten Percent Shareholder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of any of its Subsidiaries.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shall have the meaning set forth in Section 7.1 in the case of Restricted Stock or Section 8.1 in the case of Restricted Stock Units, as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Vested Unit</w:t>
      </w:r>
      <w:r>
        <w:rPr>
          <w:rFonts w:ascii="Times New Roman" w:cs="Times New Roman" w:eastAsia="Times New Roman" w:hAnsi="Times New Roman"/>
          <w:sz w:val="18"/>
          <w:szCs w:val="18"/>
          <w:color w:val="auto"/>
        </w:rPr>
        <w:t>” shall have the meaning set forth in Section 8.5.</w:t>
      </w:r>
    </w:p>
    <w:p>
      <w:pPr>
        <w:spacing w:after="0" w:line="223" w:lineRule="exact"/>
        <w:rPr>
          <w:sz w:val="20"/>
          <w:szCs w:val="20"/>
          <w:color w:val="auto"/>
        </w:rPr>
      </w:pPr>
    </w:p>
    <w:p>
      <w:pPr>
        <w:ind w:left="660" w:right="8220" w:hanging="652"/>
        <w:spacing w:after="0" w:line="503" w:lineRule="auto"/>
        <w:tabs>
          <w:tab w:leader="none" w:pos="19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SUBJECT TO THE PLAN 3.1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w:t>
      </w:r>
    </w:p>
    <w:p>
      <w:pPr>
        <w:jc w:val="both"/>
        <w:ind w:firstLine="1304"/>
        <w:spacing w:after="0" w:line="255" w:lineRule="auto"/>
        <w:tabs>
          <w:tab w:leader="none" w:pos="15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12.2, a total of one million (1,000,000) Shares shall be authorized for grant and issuance under the Plan. Any Shares that are subject to Awards of Options or Stock Appreciation Rights shall be counted against this limit as one (1) Share for every one (1) Share granted. Any Shares that are subject to Awards other than Options or Stock Appreciation Rights shall be counted against this limit as two (2) Shares for every one (1) Share granted.</w:t>
      </w:r>
    </w:p>
    <w:p>
      <w:pPr>
        <w:spacing w:after="0" w:line="2"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Award under this Plan are forfeited or any Options awarded under this Plan expire unexercised, the Shares underlying such Award shall, to the extent of such forfeiture or expiration, again be available for Awards under the Plan, subject to Section 3.1(d) below. For clarity, the following Shares shall not be added to the Shares authorized for grant under Section 3.1(a): (i) Shares tendered by the Participant or withheld by the Company in payment of the purchase price of an Option, (ii) Shares tendered by the Participant or withheld by the Company to satisfy any tax withholding obligation with respect to an Award, (iii) Shares repurchased by the Company with Option proceeds, (iv) Shares subject to a Stock Appreciation Right that are not issued in connection with the settlement of the Stock Appreciation Right on exercise thereof; (v) Shares authorized for issuance or subject to awards under the Prior Plan, including Shares subject to awards under the Prior Plan which are forfeited or expire unexercised under the Prior Plan; and (vi) Shares authorized for issuance or subject to awards under the Other Plan, including Shares subject to awards under the Other Plan which are forfeited or expire unexercised under the Other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18"/>
          <w:szCs w:val="18"/>
          <w:color w:val="auto"/>
        </w:rPr>
        <w:t>(c) Substitute Awards shall not reduce the Shares authorized for grant under the Plan or authorized for grant to a Participant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calendar year.</w:t>
      </w:r>
    </w:p>
    <w:p>
      <w:pPr>
        <w:spacing w:after="0" w:line="207" w:lineRule="exact"/>
        <w:rPr>
          <w:sz w:val="20"/>
          <w:szCs w:val="20"/>
          <w:color w:val="auto"/>
        </w:rPr>
      </w:pPr>
    </w:p>
    <w:p>
      <w:pPr>
        <w:jc w:val="both"/>
        <w:ind w:firstLine="1304"/>
        <w:spacing w:after="0" w:line="266" w:lineRule="auto"/>
        <w:tabs>
          <w:tab w:leader="none" w:pos="154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that again become available for grant pursuant to this Section 3.1 shall be added back as one (1) Share if such Shares were subject to Options or Stock Appreciation Rights granted under the Plan, or as two (2) Shares if such Shares were subject to Awards other than Options or Stock Appreciation Rights granted under the Plan.</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i w:val="1"/>
          <w:iCs w:val="1"/>
          <w:color w:val="auto"/>
        </w:rPr>
        <w:t>Character of Shares</w:t>
      </w:r>
      <w:r>
        <w:rPr>
          <w:rFonts w:ascii="Times New Roman" w:cs="Times New Roman" w:eastAsia="Times New Roman" w:hAnsi="Times New Roman"/>
          <w:sz w:val="18"/>
          <w:szCs w:val="18"/>
          <w:color w:val="auto"/>
        </w:rPr>
        <w:t>. Any Shares issued hereunder may consist, in whole or in part, of authorized and unissued Shares, treasury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purchased in the open market or otherwise. The Administrator shall determine in connection with each Award whether the underlying Shares are Class A Shares or Class C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ELIGIBILITY AND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persons eligible to receive Awards are the Employees, Consultants and Directors of the Company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1" w:lineRule="auto"/>
        <w:tabs>
          <w:tab w:leader="none" w:pos="157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Administrator. To the extent required, necessary or desirable to satisfy applicable laws, including to satisfy the requirements for exemption under Rule 16b-3, the Administrator shall be the Committee. Subject to the foregoing and the other provisions of the Plan, (x) the Board may delegate authority to the Committee to make recommendations to the Board on any or all aspects of administering the Plan while the Board retains all of the authority of the Administrator, and (y) different Administrators (e.g., the Board and the Committee) may administer the Plan with respect to different groups of Participants. Subject to Section 4.2(c) below, the other provisions of the Plan and such orders or resolutions not inconsistent with the provisions of the Plan as may from time to time be adopted by the Board, the Administrator shall have full power and authority to: (i) select the Employees, Consultants and Directors to whom Awards may from time to time be granted hereunder; (ii) determine the type or types of Awards, not inconsistent with the provisions of the Plan, to be granted to each Participant hereunder; (iii) determine the number and class of Shares to be covered by each Award granted hereunder; (iv) determine the terms and conditions, not inconsistent with the provisions of the Plan, of any Award granted hereunder, including conditions on exercisability and vesting; (v) determine whether, to what extent and under what circumstances Awards may be settled in cash, Shares or other property; (vi) determine whether, to what extent, and under what circumstances cash, Shares, other property and other amounts payable with respect to an Award made under the Plan shall be deferred either automatically or at the election of the Participant; (vii) determine whether, to what extent and under what circumstances any Award shall be canceled or suspended; (viii) interpret and administer the Plan and any instrument or agreement entered into under or in connection with the Plan, including any Award Agreement; (ix) correct any defect, supply any omission or reconcile any inconsistency in the Plan or any Award in the manner and to the extent that the Administrator shall deem desirable to carry it into effect; (x) establish such rules and regulations and appoint such agents as it shall deem appropriate for the proper administration of the Plan and authorize any person to execute, on behalf of the Company, any instrument required to carry out the purposes of the Plan; (xi) determine whether any Award, other than an Option or Stock Appreciation Right, will have Dividend Equivalents; (xii) determine whether any Option is intended to be treated as an Incentive Stock Option or Non-qualified Stock Option; (xiii) accelerate, on a case-by-case basis, the exercisability or vesting of a Participant’s Awards, in whole or in part, upon such Participant’s death, Disability or other termination of Continuous Service occurring at least one year after the Grant Date of the Award; (xiv) extend, on a case-by-case basis, the period during which a Participant’s Options can be exercised upon such Participant’s death, Disability or other termination of Continuous Service; provided that the extension will not allow any Option to be exercised after the Option’s original expiration date; (xv) make all determinations for purposes of the Plan with respect to the occurrence, time and basis of any termination of a Participant’s Continuous Service; (xvi) determine the Performance Measures, performance periods and Performance Goals, if any, that apply to vesting, exercisability or settlement of a Performance Awards, the degree to which the applicable Performance Goals have been timely attained, and the portion of any Performance Award that has become vested, exercisable, earned or payable; (xvii) make decisions with respect to outstanding Awards that may become necessary upon a Change in Control or an event that triggers anti-dilution adjustments; and (xviii) exercise full discretion and make any other determinations and take any other action that the Administrator deems necessary or desirable for administration of the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ind w:firstLine="1304"/>
        <w:spacing w:after="0" w:line="261" w:lineRule="auto"/>
        <w:tabs>
          <w:tab w:leader="none" w:pos="15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the Administrator shall be final, conclusive and binding on all persons, including the Company, any Participant, and any Subsidiary. A Participant or other holder of an Award may contest a decision or action of the Administrator with respect to such person or Award only on the grounds that such decision is arbitrary and capricious or unlawful, and any review of such decision or action shall be limited to determining whether the Administrator’s decision or action was arbitrary and capricious or unlawful.</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or the full Committee to the extent it has been delegated the authority by the Board or otherwise has the authority pursuant to the Plan, may also delegate to a Subcommittee the right to authorize the grant of Options to Employees who are not directors or officers of the Company and the authority to take action on behalf of the Committee pursuant to the Plan to cancel or suspend Awards to Employees who are not directors or officers of the Company. Additionally, to the extent not inconsistent with applicable law and the rules and regulations of any securities exchange on which the Company’s Shares are traded, the Administrator may delegate in writing to the Company’s Chief Executive Officer, so long as he is also a director of the Company, any of the authority of the Administrator under the Plan to grant Options to such Employees and on such Plan-compliant terms as are determined by the Chief Executive Officer, other than to Employees who are officers or other persons subject to Section 16(b) of the Exchange Act. Any such delegation of authority shall be revocable prospectively by the Administrator at any time and shall be subject to such limitations, including on the number of Options that can be granted in a specified period, and procedures as the Administrator may specify.</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within the scope of its or his authority by a Subcommittee or the Chief Executive Officer under Section 4.2(c) shall be deemed for all purposes under the Plan to have been taken by the full Committee or Administrator and references in the Plan to the “Committee” or “Administrator” shall be deemed to include the Subcommittee or the Chief Executive Officer acting within the scope of its or his delegated authority under Section 4.2(c), as applicable, unless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ind w:firstLine="1304"/>
        <w:spacing w:after="0" w:line="261" w:lineRule="auto"/>
        <w:tabs>
          <w:tab w:leader="none" w:pos="154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Administrator may establish and follow such rules and regulations for the conduct of its business as it may determine to be advisable.</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i w:val="1"/>
          <w:iCs w:val="1"/>
          <w:color w:val="auto"/>
        </w:rPr>
        <w:t>Grant of Options</w:t>
      </w:r>
      <w:r>
        <w:rPr>
          <w:rFonts w:ascii="Times New Roman" w:cs="Times New Roman" w:eastAsia="Times New Roman" w:hAnsi="Times New Roman"/>
          <w:sz w:val="18"/>
          <w:szCs w:val="18"/>
          <w:color w:val="auto"/>
        </w:rPr>
        <w:t>. Options may be granted hereunder to Participants either alone or in addition to other Awards under the Plan.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terms and conditions of this Article 5 and to such additional terms and conditions, not inconsistent with the provisions of the Plan, as the Administrator shall deem desirable.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All Options granted pursuant to this Article 5 shall be evidenced by a written Award Agreement in such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containing such terms and conditions as the Administrator shall determine which are not inconsistent with the provisions of the Plan. All Options shall be separately designated as Incentive Stock Options or as Non-qualified Stock Options at the time of grant in the Award Agreement. The terms of Options need not be the same with respect to each Participant. Granting an Option pursuant to the Plan shall impose no obligation on the recipient to exercise such Option. Any individual who is granted an Option pursuant to this Article may hold more than one Option granted pursuant to the Plan at the same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i w:val="1"/>
          <w:iCs w:val="1"/>
          <w:color w:val="auto"/>
        </w:rPr>
        <w:t>Option Exercise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Exercise Price per Share purchasable under any Option shall not be less than 100% of the Fair Market Value of such Share on the Grant Date of such Option. Notwithstanding the foregoing, an Option may be granted with an Option Exercise Price lower than that set forth in the preceding sentence if such Option is a Substitute Award granted pursuant to an assumption or substitution for another option in a manner satisfying the provisions of Section 409A of the Code, and Option Exercise Prices may be adjusted as provided in Section 12.2.</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Section 12.2, the Administrator shall not without the approval of the Company’s shareholders: (a) lower the Option Exercise Price per Share of an Option after it is granted; (b) cancel an Option when the Option Exercise Price per Share exceeds the Fair Market Value of the underlying Shares in exchange for another Award (other than in connection with Substitute Awards); or (c) take any other action with respect to an Option that may be treated as a repricing under the rules and regulations of the NASDAQ Global Market (or such other principal securities market on which the Shares in question are traded).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i w:val="1"/>
          <w:iCs w:val="1"/>
          <w:color w:val="auto"/>
        </w:rPr>
        <w:t>Option Term and Vesting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4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shall be fixed by the Administrator in its sole discretion; provided that no Option shall be exercisable after the expiration of ten (10) years from the Option’s Grant Date, except in the event of death or Disability.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subject to such terms and conditions on the time or times when it may be exercised (which conditions may be based on Continuing Service, Performance Goals or a combination thereof) as the Administrator may deem appropriate and set forth in the applicable Award Agreement. The vesting provisions of individual Options may vary from Award to Award.</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Vested Options granted under the Plan shall be exercised by the Participant or by a Permitted Assignee thereof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executors, administrators, guardian or legal representative, as may be provided in an Award Agreement) as to all or any part of the Shares covered thereby, by the giving of written notice of exercise to the Company or its designated agent, specifying the number of Shares to be purchased, accompanied by payment of the full Option Exercise Price for the Shares being purchased. Unless otherwise provided in an Award Agreement, full payment of such Option Exercise Price plus any applicable withholding taxes shall be due and payable in full at the time of exercise and shall be made (a) by certified check or bank check or wire transfer of immediately available funds; or (b) if permitted by the applicable Award Agreement or otherwise with the consent of the Administrator in its discretion, and to the extent permitted by applicable statutes and regulations: (i) by tendering previously acquired Shares (either actually or by attestation, valued at their then Fair Market Value) provided such previously acquired Shares have been held for more than six months (or such longer or shorter period of time required to avoid a charge to earnings for financial accounting purposes), (ii) by withholding Shares otherwise issuable in connection with the exercise of the Option; (iii) through a “cashless” exercise program established with a broker, (iv) by any combination of any of the foregoing, or (v) through delivery of any other form of legal consideration that may be acceptable to the Administrator. The notice of exercise, accompanied by such payment, shall be delivered to the Company at its principal business office or such other office as the Administrator may from time to time direct, and shall be in such form, containing such further provisions consistent with the provisions of the Plan, as the Administrator may from time to time prescribe. In no event may any Option granted hereunder be exercised for a fraction of a Share. No adjustment shall be made for cash dividends or other rights for which the record date is prior to the date of such issuance of the underlying Shares. Notwithstanding any provision to the contrary, during any period for which the Class A Shares are publicly traded (i.e., the Class A Shares are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19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i w:val="1"/>
          <w:iCs w:val="1"/>
          <w:color w:val="auto"/>
        </w:rPr>
        <w:t>Form of Settlement</w:t>
      </w:r>
      <w:r>
        <w:rPr>
          <w:rFonts w:ascii="Times New Roman" w:cs="Times New Roman" w:eastAsia="Times New Roman" w:hAnsi="Times New Roman"/>
          <w:sz w:val="18"/>
          <w:szCs w:val="18"/>
          <w:color w:val="auto"/>
        </w:rPr>
        <w:t>. In its sole discretion, the Administrator may provide, at the time of grant, that the Shares to be issued upon an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shall be in the form of Restricted Stock or other similar securities, or may reserve the right so to provide after the time of grant.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2" w:name="page143"/>
    <w:bookmarkEnd w:id="14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grant Options intended to qualify as Incentive Stock Options to any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corporation, subject to the requirements of Section 422 of the Code. Solely for the purposes of determining whether Shares are available for the grant of Incentive Stock Options under the Plan, the maximum aggregate number of Shares with respect to which Incentive Stock Options may be issued under the Plan shall be one million (1,000,000) Class A Shares, subject to adjustment under Section 12.2. Additionally, a Ten Percent Shareholder shall not be granted an Incentive Stock Option unless the Option Exercise Price is at least 110% of the Fair Market Value of the underlying Shares at the Grant Date and the Option is not exercisable after the expiration of five years from the Grant Date. To the extent that the aggregate Fair Market Value (determined at the Grant Date) of Shares with respect to which Incentive Stock Options are exercisable for the first time by any Employee during any calendar year (under all plans of the Company and its Subsidiaries) exceeds $100,000, the Options or portions thereof which exceed such limit (according to the order in which they were granted) shall be treated as Non-qualified Stock Options regardless of any designation in an Award Agreement to be treated as Incentive Stock Options. Any Participant who shall make a “disposition” (as defined in Section 424 of the Code) of all or any portion of Shares acquired upon exercise of an Incentive Stock Option within two (2) years from the date of grant of such Incentive Stock Option or within one (1) year after the issuance of Shares acquired upon exercise of such Incentive Stock Option shall be required to immediately advise the Company in writing as to the occurrence of the sale and the price realized upon the sale of such Shares.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5.8. </w:t>
      </w:r>
      <w:r>
        <w:rPr>
          <w:rFonts w:ascii="Times New Roman" w:cs="Times New Roman" w:eastAsia="Times New Roman" w:hAnsi="Times New Roman"/>
          <w:sz w:val="17"/>
          <w:szCs w:val="17"/>
          <w:i w:val="1"/>
          <w:iCs w:val="1"/>
          <w:color w:val="auto"/>
        </w:rPr>
        <w:t>Effect of Termination of Continuous Service</w:t>
      </w:r>
      <w:r>
        <w:rPr>
          <w:rFonts w:ascii="Times New Roman" w:cs="Times New Roman" w:eastAsia="Times New Roman" w:hAnsi="Times New Roman"/>
          <w:sz w:val="17"/>
          <w:szCs w:val="17"/>
          <w:color w:val="auto"/>
        </w:rPr>
        <w:t>. Unless otherwise provided in the applicable Award Agreement or approved by the Administrator,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a Participant’s Continuous Service terminates (other than upon the Participant’s death or Disability), the Participant may exercise the Participant’s vested Options (to the extent that the Participant was entitled to exercise such Options as of the date of termination) but only within such period of time ending on the earlier of (a) the date three months following the termination of the Participant’s Continuous Service, or (b) the expiration of the term of the Option as set forth in the Award Agreement; provided that, if the termination of Continuous Service is for Cause, all outstanding Options (whether or not otherwise vested) shall immediately terminate and cease to be exercisable. If, after termination of Continuous Service, the Options are not timely exercised, the Options shall automatically terminate. In the event that a Participant’s Continuous Service terminates on account of his or her death or Disability, the Participant or his or her successors in interest may exercise the Participant’s vested Options (to the extent that the Participant was entitled to exercise such Options as of the date of termination) but only within such period of time ending on the earlier of (i) the date that is one year following the termination of the Participant’s Continuous Service, or (ii) the expiration of the term of the Option as set forth in the Award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APPRECIATION RIGHTS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i w:val="1"/>
          <w:iCs w:val="1"/>
          <w:color w:val="auto"/>
        </w:rPr>
        <w:t>Grant and Exercise</w:t>
      </w:r>
      <w:r>
        <w:rPr>
          <w:rFonts w:ascii="Times New Roman" w:cs="Times New Roman" w:eastAsia="Times New Roman" w:hAnsi="Times New Roman"/>
          <w:sz w:val="18"/>
          <w:szCs w:val="18"/>
          <w:color w:val="auto"/>
        </w:rPr>
        <w:t>. The Administrator may award Stock Appreciation Rights to a Participant: (a) in conjunction with all or part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granted under the Plan or at any subsequent time during the term of such Option (a “</w:t>
      </w:r>
      <w:r>
        <w:rPr>
          <w:rFonts w:ascii="Times New Roman" w:cs="Times New Roman" w:eastAsia="Times New Roman" w:hAnsi="Times New Roman"/>
          <w:sz w:val="18"/>
          <w:szCs w:val="18"/>
          <w:i w:val="1"/>
          <w:iCs w:val="1"/>
          <w:color w:val="auto"/>
        </w:rPr>
        <w:t>Related Right</w:t>
      </w:r>
      <w:r>
        <w:rPr>
          <w:rFonts w:ascii="Times New Roman" w:cs="Times New Roman" w:eastAsia="Times New Roman" w:hAnsi="Times New Roman"/>
          <w:sz w:val="18"/>
          <w:szCs w:val="18"/>
          <w:color w:val="auto"/>
        </w:rPr>
        <w:t>”); (b) in conjunction with all or part of any Award (other than an Option) granted under the Plan or at any subsequent time during the term of such Award; or (c) without regard to any Option or other Award (a “</w:t>
      </w:r>
      <w:r>
        <w:rPr>
          <w:rFonts w:ascii="Times New Roman" w:cs="Times New Roman" w:eastAsia="Times New Roman" w:hAnsi="Times New Roman"/>
          <w:sz w:val="18"/>
          <w:szCs w:val="18"/>
          <w:i w:val="1"/>
          <w:iCs w:val="1"/>
          <w:color w:val="auto"/>
        </w:rPr>
        <w:t>Freestanding Stock Appreciation Right</w:t>
      </w:r>
      <w:r>
        <w:rPr>
          <w:rFonts w:ascii="Times New Roman" w:cs="Times New Roman" w:eastAsia="Times New Roman" w:hAnsi="Times New Roman"/>
          <w:sz w:val="18"/>
          <w:szCs w:val="18"/>
          <w:color w:val="auto"/>
        </w:rPr>
        <w:t>”), in each case upon such terms and conditions as the Administrator may establish in its sole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Stock Appreciation Rights shall be subject to such terms and conditions, not inconsistent with the provisions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shall be determined from time to time by the Administrator, including the following:</w:t>
      </w:r>
    </w:p>
    <w:p>
      <w:pPr>
        <w:spacing w:after="0" w:line="207" w:lineRule="exact"/>
        <w:rPr>
          <w:sz w:val="20"/>
          <w:szCs w:val="20"/>
          <w:color w:val="auto"/>
        </w:rPr>
      </w:pPr>
    </w:p>
    <w:p>
      <w:pPr>
        <w:jc w:val="both"/>
        <w:ind w:firstLine="1304"/>
        <w:spacing w:after="0" w:line="258" w:lineRule="auto"/>
        <w:tabs>
          <w:tab w:leader="none" w:pos="15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Appreciation Right shall be subject to such terms and conditions on the time or times when it may be exercised (which conditions may be based on Continuing Service, Performance Goals, or a combination thereof) as the Administrator may deem appropriate and set forth in the applicable Award Agreement. The vesting provisions of individual Stock Appreciation Rights may vary from Award to Award; provided, that, in no event shall a Stock Appreciation Right be exercisable prior to the one-year anniversary of the Stock Appreciation Right’s Grant Date, except as provided in Section 11 of the Plan.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 Stock Appreciation Right, the holder shall have the right to receive the excess of: (i) the Fair Market Value of one Share on the date of exercise, over (ii) a designated base value per Share (the “</w:t>
      </w:r>
      <w:r>
        <w:rPr>
          <w:rFonts w:ascii="Times New Roman" w:cs="Times New Roman" w:eastAsia="Times New Roman" w:hAnsi="Times New Roman"/>
          <w:sz w:val="18"/>
          <w:szCs w:val="18"/>
          <w:i w:val="1"/>
          <w:iCs w:val="1"/>
          <w:color w:val="auto"/>
        </w:rPr>
        <w:t>Base Amount</w:t>
      </w:r>
      <w:r>
        <w:rPr>
          <w:rFonts w:ascii="Times New Roman" w:cs="Times New Roman" w:eastAsia="Times New Roman" w:hAnsi="Times New Roman"/>
          <w:sz w:val="18"/>
          <w:szCs w:val="18"/>
          <w:color w:val="auto"/>
        </w:rPr>
        <w:t>”) with respect to the right on the applicable Grant Date (or in the case of a Related Right on the Grant Date of the related Option) as specified by the Administrator in its sole discretion and set forth in the applicable Award Agreement, which Base Amount per Share, except in the case of Substitute Awards or in connection with an adjustment provided in Section 12.2, shall not be less than the Fair Market Value of one Share on the Grant Date of the right or the related Option, as the case may be.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 Stock Appreciation Right, the Administrator shall determine in its sole discretion whether payment shall be made in whole Shares, in cash or other property, or any combination thereof.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Right may be granted at the same time as the related Option is granted or at any time thereafter before exercise or expiration of such Option.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Right may be exercised only when the related Option would be exercisable and the Fair Market Value of the Shares subject to the related Option exceeds the Option Exercise Price at which Shares can be acquired pursuant to the Option. In addition, (i) if a Related Right exists with respect to less than the full number of Shares covered by a related Option, then an exercise or termination of such Option shall not reduce the number of Shares to which the Related Right applies until the number of Shares then exercisable under such Option equals the number of Shares to which the Related Right applies, and (ii) no Related Right granted under the Plan to a person then subject to Section 16 of the Exchange Act shall be exercised during the first six (6) months of its term for cash, except as provided in Article 11.</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related to a Related Right shall no longer be exercisable to the extent the Related Right has been exercised.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Stock Appreciation Rights need not be the same with respect to each recipient.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impose such other conditions or restrictions on the terms of exercise and the exercise price of any Stock Appreciation Right, as it shall deem appropriate. Notwithstanding the foregoing provisions of this Section 6.2(h), but subject to Section 12.2, a Stock Appreciation Right shall have the same terms and conditions as Options, including (i) a Base Amount per Share not less than Fair Market Value of a Share on the applicable Grant Date, and (ii) a term not greater than ten (10) years. In addition to the foregoing, but subject to Section 12.2, the Administrator shall not without approval of the Company’s shareholders (A) reduce the Base Amount per Share under any Stock Appreciation Right after it is granted, (B) cancel a Stock Appreciation Right when the Base Amount per Share exceeds the Fair Market Value of the underlying Shares in exchange for another Award (other than in connection with Substitute Awards), or (C) take any other action with respect to a Stock Appreciation Right that may be treated as a repricing under the rules and regulations of the NASDAQ Global Market (or such other principal securities market on which the Shares are traded).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1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impose such terms and conditions on Stock Appreciation Rights granted in conjunction with any Award (other than an Option) as the Administrator shall determine in its sole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7. RESTRICTED STOCK AWARDS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Shares may be awarded under the Plan to Participants as Restricted Stock either alone or in addition to other Awards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 “</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Restricted Stock Awards consist of grants of actual outstanding Shares on the applicable Grant Date. A Restricted Stock Award shall be subject to vesting restrictions imposed by the Administrator covering a period of time (“</w:t>
      </w: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specified by the Administrator and may also be subject in whole or in part to additional performance-based vesting conditions designated by the Administrator. A Restricted Stock Award subject to Performance Goal vesting conditions may be denominated as “performance shares.” The Administrator has absolute discretion to determine whether any consideration (other than services) is to be received by the Company or any Subsidiary as a condition precedent to the issuance of shares of Restricted Stock.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The terms of any Restricted Stock Award granted under the Plan shall be set forth in a written Award Agreement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contain provisions determined by the Administrator and not inconsistent with the Plan. The terms of Restricted Stock Awards need not be the same with respect to each Restricted Stock Award. Each Participant granted Restricted Stock shall execute and deliver to the Company an Award Agreement with respect to the Restricted Stock. If the Administrator determines that the Restricted Stock shall be held by the Company or in escrow rather than delivered to the Participant pending the release of the applicable restrictions, the Administrator may require the Participant to additionally execute and deliver to the Company (a) an escrow agreement satisfactory to the Administrator, and (b) the appropriate blank stock power with respect to the Restricted Stock covered by such agreement. If a Participant fails to execute within such time as the Administrator requires an Award Agreement evidencing an Award of Restricted Stock and, if applicable, an escrow agreement and stock power, the Award shall be null and void.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i w:val="1"/>
          <w:iCs w:val="1"/>
          <w:color w:val="auto"/>
        </w:rPr>
        <w:t>Rights of Holders of Restricted Stock.</w:t>
      </w:r>
    </w:p>
    <w:p>
      <w:pPr>
        <w:spacing w:after="0" w:line="229" w:lineRule="exact"/>
        <w:rPr>
          <w:sz w:val="20"/>
          <w:szCs w:val="20"/>
          <w:color w:val="auto"/>
        </w:rPr>
      </w:pPr>
    </w:p>
    <w:p>
      <w:pPr>
        <w:jc w:val="both"/>
        <w:ind w:firstLine="1304"/>
        <w:spacing w:after="0" w:line="253" w:lineRule="auto"/>
        <w:tabs>
          <w:tab w:leader="none" w:pos="155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Grant Date of the Restricted Stock Award and subject to execution of the Award Agreement, the Participant shall become a shareholder of the Company with respect to all Shares subject to the applicable Award Agreement and shall have all of the rights of a shareholder, including the right to vote such Shares and the right to receive distributions made with respect to such Shares; provided that, except as otherwise provided in an Award Agreement, any cash, Shares or any other property distributed as a dividend or otherwise with respect to any Restricted Stock as to which the restrictions have not yet lapsed shall be subject to the same restrictions as such Restricted Stock. Any provision herein to the contrary notwithstanding, unless otherwise provided in the applicable Award Agreement, cash dividends or with respect to any Restricted Stock Award and any other property (including additional Shares) distributed as a dividend or otherwise with respect to any Restricted Stock Award shall be: (i) accumulated subject to restrictions and risk of forfeiture to the same extent as the underlying Restricted Stock with respect to which such cash, Shares or other property has been distributed; and (ii) either (A) paid to the Participant at the time such restrictions and risk of forfeiture lapse or (B) forfeited to the extent the underlying Restricted Stock is forfeited.</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awarded to a Participant as Restricted Stock shall be subject to the following restrictions until the expiration of the applicable Vesting Period, and to such other terms and conditions as may be set forth in the applicable Award Agreement: (i) if an escrow arrangement is used, the Participant shall not be entitled to delivery of the stock certificate representing the Restricted Stock; (ii) the Shares shall be subject to the restrictions on transferability set forth in the Award Agreement; (iii) the Shares shall be subject to forfeiture to the extent provided in the applicable Award Agreement; and (iv) to the extent such Shares are forfeited, the applicable stock certificates shall be returned to the Company, and all rights of the Participant to such Shares and as a shareholder with respect to such Shares shall immediately terminate without further obligation on the part of the Company. Any certificate representing Restricted Stock awarded under the Plan shall bear a legend in such form as the Company deems appropriate.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shall be subject to such terms and conditions on the time or times when they vest (which conditions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Continuing Service, Performance Goals or a combination thereof) as the Administrator may deem appropriate and set forth in the applicable Award Agreement; provided, that, in no event shall the Vesting Period for a Restricted Stock Award granted to any Participant (other than a Director) be less than a period of time equal to one year, except as provided in Section 11 of the Plan.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i w:val="1"/>
          <w:iCs w:val="1"/>
          <w:color w:val="auto"/>
        </w:rPr>
        <w:t>Delivery of Shares</w:t>
      </w:r>
      <w:r>
        <w:rPr>
          <w:rFonts w:ascii="Times New Roman" w:cs="Times New Roman" w:eastAsia="Times New Roman" w:hAnsi="Times New Roman"/>
          <w:sz w:val="18"/>
          <w:szCs w:val="18"/>
          <w:color w:val="auto"/>
        </w:rPr>
        <w:t>. Upon the expiration of the applicable Vesting Period with respect to any Restricted Stock, the restrictions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7 and the applicable Award Agreement shall be of no further force or effect with respect to the Shares of Restricted Stock,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Vesting Period has expired (to the nearest full share) and any cash dividends or stock dividends credited to the Participant’s account with respect to such Restricted Stock and the interest thereon, if 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RESTRICTED STOCK UNIT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Awards of Restricted Stock Units having a value equal to a designated number of Shares (“</w:t>
      </w: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hereunder to Participants, in addition to other Awards granted under the Plan. A Restricted Stock Unit Award shall be subject to vesting restrictions imposed by the Administrator covering a period of time (“</w:t>
      </w: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specified by the Administrator and may also be subject to additional Performance Goal vesting conditions designated by the Administrator. A Restricted Stock Unit Award subject to Performance Goal vesting conditions may be denominated as “Performance Stock Units.”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6" w:name="page147"/>
    <w:bookmarkEnd w:id="14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The terms of Restricted Stock Unit Awards granted under the Plan shall be set forth in a written Award Agreement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contain provisions determined by the Administrator and not inconsistent with the Plan. The terms of such Awards need not be the same with respect to each Restricted Stock Unit Award. Each Participant granted Restricted Stock Units shall execute and deliver to the Company an Award Agreement with respect to the Restricted Stock Units. The Administrator may also grant Restricted Stock Units with a deferral feature, consistent with applicable law, including Section 409A of the Code, whereby settlement is deferred beyond the vesting date until the occurrence of a future payment date or event set forth in an Award Agreement (“</w:t>
      </w:r>
      <w:r>
        <w:rPr>
          <w:rFonts w:ascii="Times New Roman" w:cs="Times New Roman" w:eastAsia="Times New Roman" w:hAnsi="Times New Roman"/>
          <w:sz w:val="18"/>
          <w:szCs w:val="18"/>
          <w:i w:val="1"/>
          <w:iCs w:val="1"/>
          <w:color w:val="auto"/>
        </w:rPr>
        <w:t>Deferred Stock Units</w:t>
      </w:r>
      <w:r>
        <w:rPr>
          <w:rFonts w:ascii="Times New Roman" w:cs="Times New Roman" w:eastAsia="Times New Roman" w:hAnsi="Times New Roman"/>
          <w:sz w:val="18"/>
          <w:szCs w:val="18"/>
          <w:color w:val="auto"/>
        </w:rPr>
        <w:t>”). To the extent applicable, any reference to Restricted Stock Units in the Plan, includes Deferred Stock Units.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i w:val="1"/>
          <w:iCs w:val="1"/>
          <w:color w:val="auto"/>
        </w:rPr>
        <w:t>Rights of Holders of Restricted Stock Units.</w:t>
      </w:r>
    </w:p>
    <w:p>
      <w:pPr>
        <w:spacing w:after="0" w:line="229" w:lineRule="exact"/>
        <w:rPr>
          <w:sz w:val="20"/>
          <w:szCs w:val="20"/>
          <w:color w:val="auto"/>
        </w:rPr>
      </w:pPr>
    </w:p>
    <w:p>
      <w:pPr>
        <w:jc w:val="both"/>
        <w:ind w:firstLine="1304"/>
        <w:spacing w:after="0" w:line="266" w:lineRule="auto"/>
        <w:tabs>
          <w:tab w:leader="none" w:pos="15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shall be issued at the time a Restricted Stock Unit, or Deferred Stock Unit, is granted, and the Company will not be required to set aside Shares or funds for the payment of any such Award. A Participant shall have no voting rights with respect to any Shares underlying Restricted Stock Units, including Deferred Stock Units, granted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the Administrator, each Restricted Stock Unit (representing one Share) may be credited with cash and stock dividends paid by the Company in respect of one Share (“</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Unless otherwise expressly provided in the applicable Award Agreement, Dividend Equivalents shall be withheld by the Company and credited to the Participant’s account, and interest may be credited on the amount of cash Dividend Equivalents credited to the Participant’s account at a rate and subject to such terms as determined by the Administrator. Dividend Equivalents credited to a Participant’s account and attributable to any particular Restricted Stock Unit (and earnings thereon, if applicable) shall be distributed in cash or, at the discretion of the Administrator, in Shares having a Fair Market Value equal to the amount of such Dividend Equivalents and earnings, if applicable, to the Participant upon settlement of such Restricted Stock Unit and, if such Restricted Stock Unit is forfeited, the Participant shall have no right to such Dividend Equivalents.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to any Participant shall be subject to (i) forfeiture until the expiration of the applicable Vesting Period, and satisfaction of any applicable Performance Goals during such period, to the extent provided in the applicable Award Agreement, and to the extent such Restricted Stock Units are forfeited, all rights of the Participant to such Restricted Stock Units shall automatically terminate without further obligation on the part of the Company and (ii) such other terms and conditions as may be set forth in the applicable Award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Restricted Stock Unit Awards shall be subject to such terms and conditions on the time or times when they vest and become earned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conditions may be based on Continuing Service, Performance Goals or a combination thereof) as the Administrator may deem appropriate and set forth in the applicable Award Agreement; provided, that, in no event shall the Vesting Period for a Restricted Stock Unit Award granted to any Participant (other than a Director) be less than a period of time equal to one year, except as provided in Section 11 of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7" w:name="page148"/>
    <w:bookmarkEnd w:id="14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i w:val="1"/>
          <w:iCs w:val="1"/>
          <w:color w:val="auto"/>
        </w:rPr>
        <w:t>Settlement and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may be provided in the applicable Award Agreement, upon the expiration of the applicable Vesting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outstanding Restricted Stock Units (other than Deferred Stock Units), or upon the expiration of the deferral period with respect to any outstanding Deferred Stock Units, the Company shall deliver to the Participant, or his or her beneficiary, without charge, one Share for each such outstanding vested Restricted Stock Unit, or Deferred Stock Unit, (“</w:t>
      </w:r>
      <w:r>
        <w:rPr>
          <w:rFonts w:ascii="Times New Roman" w:cs="Times New Roman" w:eastAsia="Times New Roman" w:hAnsi="Times New Roman"/>
          <w:sz w:val="18"/>
          <w:szCs w:val="18"/>
          <w:i w:val="1"/>
          <w:iCs w:val="1"/>
          <w:color w:val="auto"/>
        </w:rPr>
        <w:t>Vested Unit</w:t>
      </w:r>
      <w:r>
        <w:rPr>
          <w:rFonts w:ascii="Times New Roman" w:cs="Times New Roman" w:eastAsia="Times New Roman" w:hAnsi="Times New Roman"/>
          <w:sz w:val="18"/>
          <w:szCs w:val="18"/>
          <w:color w:val="auto"/>
        </w:rPr>
        <w:t>”) and cash equal to any Dividend Equivalents credited with respect to each such Vested Unit in accordance with Section 8.3(b) hereof and the interest thereon or, at the discretion of the Administrator, in Shares having a Fair Market Value equal to such Dividend Equivalents and the interest thereon, if any; provided, however, that, if explicitly provided in the applicable Award Agreement, the Administrator may, in its sole discretion, elect to pay cash or part cash and part Shares in lieu of delivering only Shares for Vested Units. If a cash payment is made in lieu of delivering Shares, the amount of such payment shall be equal to the Fair Market Value of the Shares as of the date on which the Vesting Period lapsed with respect to each Vested Unit that is not a Deferred Stock Unit, or as of the delivery date in the case of each Vested Unit that is a Deferred Stock Unit. The Company shall issue Shares or make otherwise make payment for each Vested Unit as soon as reasonably possible after expiration of the applicable Vesting Period and on a date selected by the Company; provided that in no event shall settlement of any Vested Units be made later than sixty (60) days after expiration of the applicable Vesting Period (or such shorter period as is necessary to exempt the Award from Section 409A of the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Administrator may, subject to any restrictions under applicable law or under the rules of any securities exchange on which the Shares are listed, grant Other Share-Based Awards, either alone or in tandem with other Awards, in such amounts and subject to such conditions as the Administrator shall determine in its sole discretion. Each Other Share-Based Award shall be evidenced by an Award Agreement and shall be subject to such conditions, not inconsistent with the Plan, as may be reflected in the applicable Award Agreement. In no event shall the Vesting Period for an Other Share Based Award be less than a period of time equal to one year from the applicable Grant Date, except as provided in Section 11 of the Plan. Other Share-Based Awards may be paid in cash, Shares, other property, or any combination thereof, as specified in the applicable Award Agreement. No Dividend Equivalents shall be paid or credited with respect to Other Share-Based Awards. Any cash, Shares or any other property distributed as a dividend or otherwise with respect to any issued but unvested Shares underlying an Other Share-Based Award shall be subject to the same vesting conditions and risk of forfeiture as such Other Share-Based Award.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SECURITIES LAW COMPLIANCE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Shares shall be issued, purchased or sold under any Award Agreement unless and until (a) any then applicable requirements of federal, state and foreign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Administrator may require. The Company shall use reasonable efforts to seek to obtain from each regulatory commission or agency having jurisdiction over the Plan such authority as may be required to grant Awards and to issue and sell Shares upon exercise, vesting or settlement of the Awards; provided that this undertaking shall not require the Company to register under the Exchange Act or other applicable securities laws the Plan, any Award or any Shares issued or issuable pursuant to any such Award.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vesting or settlement of such Awards unless and until such authority is obtained.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8" w:name="page149"/>
    <w:bookmarkEnd w:id="1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10, such provision to the extent possible shall be interpreted and/or deemed amended so as to avoid such conflict.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CHANGE IN CONTROL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i w:val="1"/>
          <w:iCs w:val="1"/>
          <w:color w:val="auto"/>
        </w:rPr>
        <w:t>Effect of Change in Control</w:t>
      </w:r>
      <w:r>
        <w:rPr>
          <w:rFonts w:ascii="Times New Roman" w:cs="Times New Roman" w:eastAsia="Times New Roman" w:hAnsi="Times New Roman"/>
          <w:sz w:val="18"/>
          <w:szCs w:val="18"/>
          <w:color w:val="auto"/>
        </w:rPr>
        <w:t>. Notwithstanding any provision of the Plan (other than Section 11.2) or any applicable Award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in the event of a Change in Control, all then outstanding Awards shall automatically become 100% vested, exercisable, earned and payable, as of the effective time of the Change in Control. For clarity, to the extent the amount or timing of vesting, exercisability, payment or settlement of any Award is subject to or conditioned upon attainment of Performance Goals stated in the applicable Award Agreement (i.e., the Award is a Performance Award), for purposes of this Section 11.1, such Performance Goals shall be deemed to have been attained at 100% of the applicable target levels.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i w:val="1"/>
          <w:iCs w:val="1"/>
          <w:color w:val="auto"/>
        </w:rPr>
        <w:t>Discretionary Cancellation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and notwithstanding any contrary provision in this Plan or applicable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pending Change in Control, the Administrator may in its discretion and upon at least 10 days’ advance notice to the affected Participants, elect to cancel under this Section 11.2 all or any portion of the then outstanding Awards and cause the Company to pay to the holders thereof, in cash or Shares, or any combination thereof, the then current Fair Market Value of such cancelled Awards. The Administrator shall compute the Fair Market Value of Awards canceled under this Section 11.2 based upon the price per Share received or to be received by the other shareholders of the Company in the Change in Control transaction. In determining the Fair Market Value of Awards cancelled under this Section 11.2, all such cancelled Awards shall be valued as if they are 100% vested and earned (with any Performance Goals deemed satisfied at 100% of the applicable target level). In the case of any Option or Stock Appreciation Right with an Option Exercise Price (or Base Amount in the case of a Stock Appreciation Right) that equals or exceeds the price paid or to be paid for a Share in connection with the Change in Control, the Administrator may cancel the Option or Stock Appreciation Right without the payment of any consideration therefor.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consolidation or other reorganization of the Company, or upon any successor corporation or organization succeeding to all or substantially all of the assets and business of the Company and its Subsidiaries, taken as a whole.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i w:val="1"/>
          <w:iCs w:val="1"/>
          <w:color w:val="auto"/>
        </w:rPr>
        <w:t>Definition of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the Plan, unless otherwise provided in an Award Agreement, Change in Control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any one of the following events:</w:t>
      </w:r>
    </w:p>
    <w:p>
      <w:pPr>
        <w:spacing w:after="0" w:line="159" w:lineRule="exact"/>
        <w:rPr>
          <w:sz w:val="20"/>
          <w:szCs w:val="20"/>
          <w:color w:val="auto"/>
        </w:rPr>
      </w:pPr>
    </w:p>
    <w:p>
      <w:pPr>
        <w:jc w:val="both"/>
        <w:ind w:firstLine="1304"/>
        <w:spacing w:after="0" w:line="255" w:lineRule="auto"/>
        <w:tabs>
          <w:tab w:leader="none" w:pos="15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twelve (12) month period beginning after the date hereof, individuals who, as of the beginning of such period, constitute the Board (the “</w:t>
      </w:r>
      <w:r>
        <w:rPr>
          <w:rFonts w:ascii="Times New Roman" w:cs="Times New Roman" w:eastAsia="Times New Roman" w:hAnsi="Times New Roman"/>
          <w:sz w:val="18"/>
          <w:szCs w:val="18"/>
          <w:i w:val="1"/>
          <w:iCs w:val="1"/>
          <w:color w:val="auto"/>
        </w:rPr>
        <w:t>Incumbent Directors</w:t>
      </w:r>
      <w:r>
        <w:rPr>
          <w:rFonts w:ascii="Times New Roman" w:cs="Times New Roman" w:eastAsia="Times New Roman" w:hAnsi="Times New Roman"/>
          <w:sz w:val="18"/>
          <w:szCs w:val="18"/>
          <w:color w:val="auto"/>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and provided further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defined in the Exchange Act and as used in Sections 13(d)(3) and 14(d)(2) of the Exchange Act) is or becomes a “beneficial owner” (as defined in Rule 13d-3 under the Exchange Act), directly or indirectly, of securities of the Company representing 30% or more of the combined voting power of the Company’s then outstanding securities eligible to vote for the election of the Board (the “</w:t>
      </w:r>
      <w:r>
        <w:rPr>
          <w:rFonts w:ascii="Times New Roman" w:cs="Times New Roman" w:eastAsia="Times New Roman" w:hAnsi="Times New Roman"/>
          <w:sz w:val="18"/>
          <w:szCs w:val="18"/>
          <w:i w:val="1"/>
          <w:iCs w:val="1"/>
          <w:color w:val="auto"/>
        </w:rPr>
        <w:t>Company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provided that the event described in this paragraph (b) shall not be deemed to be a Change in Control by virtue of any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(i) by the Company or any Subsidiary, (ii) by any employee benefit plan (or related trust) sponsored or maintained by the Company or any Subsidiary, (iii) by any underwriter temporarily holding securities pursuant to an offering of such securities, (iv) pursuant to a Non-Qualifying Transaction, as defined in paragraph (c) below, or (v) by any person of Company Voting Securities from the Company, if a majority of the Incumbent Board approves in advance the acquisition of beneficial ownership of 30% or more of Company Voting Securities by such person;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statutory share exchange or similar form of corporate transaction involving the Company or any of its subsidiaries that requires the approval of the Company’s shareholders, whether for such transaction or the issuance of securities in the transaction, unless immediately following such transaction: (i) more than 70% the total voting power of (A) the surviving corporation resulting from such transaction, or (B) if applicable, the ultimate parent corporation that directly or indirectly has beneficial ownership of 100% of the voting securities eligible to elect directors of the surviving corporation, is represented by Company Voting Securities that were outstanding immediately prior to such transaction (or, if applicable, is represented by shares into which such Company Voting Securities were converted pursuant to such transaction), and such voting power among the holders thereof is in substantially the same proportion as the voting power of such Company Voting Securities among the holders thereof immediately prior to the transaction; (ii) no person (other than any employee benefit plan (or related trust) sponsored or maintained by the surviving corporation or its parent corporation), is or becomes the beneficial owner, directly or indirectly, of more than 30% of the total voting power of the outstanding voting securities eligible to elect directors of the parent corporation (or, if there is no parent corporation, the surviving corporation); and (iii) at least a majority of the members of the board of directors of the parent corporation (or, if there is no parent Corporation, the surviving corporation) following the consummation of the transaction were Incumbent Directors at the time of the Board’s approval of the execution of the initial agreement providing for such transaction (any transaction which satisfies all of the criteria specified in (i), (ii) and (iii) above shall be deemed to be a “</w:t>
      </w:r>
      <w:r>
        <w:rPr>
          <w:rFonts w:ascii="Times New Roman" w:cs="Times New Roman" w:eastAsia="Times New Roman" w:hAnsi="Times New Roman"/>
          <w:sz w:val="18"/>
          <w:szCs w:val="18"/>
          <w:i w:val="1"/>
          <w:iCs w:val="1"/>
          <w:color w:val="auto"/>
        </w:rPr>
        <w:t>Non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0" w:name="page151"/>
    <w:bookmarkEnd w:id="150"/>
    <w:p>
      <w:pPr>
        <w:ind w:left="1560" w:hanging="256"/>
        <w:spacing w:after="0"/>
        <w:tabs>
          <w:tab w:leader="none" w:pos="15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shareholders of the Company approve a plan of complete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(x) a transaction will not be deemed to be a Change in Control for purposes of a specific Award unless the transaction qualifies as a “change in control” event within the meaning of Section 409A of the Code for purposes of such Award; and (y) a Change in Control shall not be deemed to occur solely because any person acquires beneficial ownership of more than 30%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GENERALLY APPLICABLE PROVISIONS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i w:val="1"/>
          <w:iCs w:val="1"/>
          <w:color w:val="auto"/>
        </w:rPr>
        <w:t>Amendment and Termination of the Plan</w:t>
      </w:r>
      <w:r>
        <w:rPr>
          <w:rFonts w:ascii="Times New Roman" w:cs="Times New Roman" w:eastAsia="Times New Roman" w:hAnsi="Times New Roman"/>
          <w:sz w:val="18"/>
          <w:szCs w:val="18"/>
          <w:color w:val="auto"/>
        </w:rPr>
        <w:t>. The Board may, from time to time, alter, amend, suspend or terminate the Plan as it shall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subject to any requirement for shareholder approval imposed by applicable law, including the rules and regulations of the NASDAQ Global Market (or such other principal securities market on which the Class A Shares are traded); provided, that the Board may not amend the Plan in any manner that would result in noncompliance with Rule 16b-3 of the Exchange Act; and further provided that the Board may not, without the approval of the Company’s shareholders, amend the Plan to (a) increase the number of Shares that may be the subject of Awards under the Plan (except for adjustments pursuant to Section 12.2), (b) expand the types of awards available under the Plan; (c) materially expand the class of persons eligible to participate in the Plan; (d) amend any provision of Section 5.3, (e) increase the maximum permissible term of any Option specified by Section 5.4 or the maximum permissible term of a Stock Appreciation Right specified by Section 6.2, or (f) take any action with respect to an Option or Stock Appreciation Right that may be treated as a repricing under the rules and regulations of the NASDAQ Global Market (or such other principal securities market on which the Class A Shares are traded), including reducing the Option Exercise Price or Base Amount (as applicable) or exchanging an Option or Stock Appreciation Right for cash or another Award. In addition, no amendments to, or termination of, the Plan shall in any way impair the rights of a Participant under any Award previously granted without such Participant’s consent.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1" w:name="page152"/>
    <w:bookmarkEnd w:id="15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changes in the outstanding Shares or in the capital structure of the Company by reason of any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Option Exercise Price of Options and Base Amount of Stock Appreciation Rights, the maximum number of Shares subject to all Awards stated in Section 3.1 and the maximum number of Shares with respect to which Incentive Stock Options may be granted shall be equitably adjusted or substituted, as to the number, price or kind of share of common stock or other consideration subject to such Awards to the extent necessary to preserve the economic intent of such Award. In the case of adjustments made pursuant to this Section 12.2, unless the Administrator specifically determines that such adjustment is in the best interests of the Company or its Subsidiaries, the Administrator shall, in the case of Incentive Stock Options, ensure that any adjustments under this Section 12.2 will not constitute a modification, extension or renewal of the Incentive Stock Options within the meaning of Section 424(h)(3) of the Code and in the case of all Stock Options, ensure that any adjustments under this Section 12.2 will not constitute a modification of such Stock Options within the meaning of Section 409A of the Code. Any adjustments made under this Section 12.2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i w:val="1"/>
          <w:iCs w:val="1"/>
          <w:color w:val="auto"/>
        </w:rPr>
        <w:t>Transferability of Awards</w:t>
      </w:r>
      <w:r>
        <w:rPr>
          <w:rFonts w:ascii="Times New Roman" w:cs="Times New Roman" w:eastAsia="Times New Roman" w:hAnsi="Times New Roman"/>
          <w:sz w:val="18"/>
          <w:szCs w:val="18"/>
          <w:color w:val="auto"/>
        </w:rPr>
        <w:t>. Except as provided below, and except as otherwise authorized by the Administrator in an Award Agreement,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no Shares subject to Awards described in Article 8 that have not been issued or as to which any applicable restriction or performance period has not lapsed, may be sold, assigned, transferred, pledged or otherwise encumbered, other than by will or the laws of descent and distribution, and such Award may be exercised during the life of the Participant only by the Participant or the Participant’s guardian or legal representative. Notwithstanding the foregoing if provided for in an Award Agreement, a Participant may assign or transfer an Award with the consent of the Administrator (each transferee thereof, a “</w:t>
      </w:r>
      <w:r>
        <w:rPr>
          <w:rFonts w:ascii="Times New Roman" w:cs="Times New Roman" w:eastAsia="Times New Roman" w:hAnsi="Times New Roman"/>
          <w:sz w:val="18"/>
          <w:szCs w:val="18"/>
          <w:i w:val="1"/>
          <w:iCs w:val="1"/>
          <w:color w:val="auto"/>
        </w:rPr>
        <w:t>Permitted Assignee</w:t>
      </w:r>
      <w:r>
        <w:rPr>
          <w:rFonts w:ascii="Times New Roman" w:cs="Times New Roman" w:eastAsia="Times New Roman" w:hAnsi="Times New Roman"/>
          <w:sz w:val="18"/>
          <w:szCs w:val="18"/>
          <w:color w:val="auto"/>
        </w:rPr>
        <w:t>”): (a) to the Participant’s spouse, children, or grandchildren (including any adopted step children and grandchildren); (b) to a trust or partnership for the benefit of one or more person referred to in clause (a); or (c) for charitable donations;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 The Company shall cooperate with any Permitted Assignee and the Company’s transfer agent in effectuating any transfer permitted under this Section. Any transfer of an Award or Shares in violation of this Section 12.3 shall be null and void.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i w:val="1"/>
          <w:iCs w:val="1"/>
          <w:color w:val="auto"/>
        </w:rPr>
        <w:t>Deferral</w:t>
      </w:r>
      <w:r>
        <w:rPr>
          <w:rFonts w:ascii="Times New Roman" w:cs="Times New Roman" w:eastAsia="Times New Roman" w:hAnsi="Times New Roman"/>
          <w:sz w:val="18"/>
          <w:szCs w:val="18"/>
          <w:color w:val="auto"/>
        </w:rPr>
        <w:t>. The Administrator may establish one or more programs under the Plan to permit selected Participants the opportunity to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 receipt of consideration upon exercise of an Award, vesting, satisfaction of Performance Goals, or other event that absent the election would entitle the Participant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 The Administrator shall be authorized to establish procedures pursuant to which the payment of any Award may be deferred.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The Company shall have the right to make all payments or distributions pursuant to the Plan to a Participant (or a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thereof) (any such person, a “</w:t>
      </w:r>
      <w:r>
        <w:rPr>
          <w:rFonts w:ascii="Times New Roman" w:cs="Times New Roman" w:eastAsia="Times New Roman" w:hAnsi="Times New Roman"/>
          <w:sz w:val="18"/>
          <w:szCs w:val="18"/>
          <w:i w:val="1"/>
          <w:iCs w:val="1"/>
          <w:color w:val="auto"/>
        </w:rPr>
        <w:t>Payee</w:t>
      </w:r>
      <w:r>
        <w:rPr>
          <w:rFonts w:ascii="Times New Roman" w:cs="Times New Roman" w:eastAsia="Times New Roman" w:hAnsi="Times New Roman"/>
          <w:sz w:val="18"/>
          <w:szCs w:val="18"/>
          <w:color w:val="auto"/>
        </w:rPr>
        <w:t>”) net of any applicable federal, state and local taxes required to be paid or withheld as a result of (a) the grant of any Award, (b) the exercise of an Option or Stock Appreciation Right, (c) the delivery of Shares or cash, (d) the lapse of any restrictions in connection with any Award or (e) any other event occurring pursuant to the Plan. The Company or any Subsidiary shall have the right to withhold from wages or other amounts otherwise payable to such Payee such withholding taxes as may be required by law, or to otherwise require the Payee to pay such withholding taxes. If the Payee shall fail to make such tax payments as are required, the Company or its Subsidiaries shall, to the extent permitted by law, have the right to deduct any such taxes from any payment of any kind otherwise due to such Payee or to take such other action as may be necessary to satisfy such withholding obligations. The Administrator may establish procedures for election by Participants to satisfy such obligation for the payment of such taxes by tendering previously acquired Shares (either actually or by attestation, valued at their then Fair Market Value) that have been owned for a period of at least six months (or such other period to avoid accounting charges against the Company’s earnings), or by directing the Company to retain Shares otherwise deliverable in connection with the Award.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i w:val="1"/>
          <w:iCs w:val="1"/>
          <w:color w:val="auto"/>
        </w:rPr>
        <w:t>Right of Discharge Reserved; Claims to Awards</w:t>
      </w:r>
      <w:r>
        <w:rPr>
          <w:rFonts w:ascii="Times New Roman" w:cs="Times New Roman" w:eastAsia="Times New Roman" w:hAnsi="Times New Roman"/>
          <w:sz w:val="18"/>
          <w:szCs w:val="18"/>
          <w:color w:val="auto"/>
        </w:rPr>
        <w:t>. Nothing in the Plan nor the grant of an Award hereunder shall confer upon any person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continue in the employment or service of the Company or any Subsidiary or affect any right that the Company or any Subsidiary may have to terminate the employment or service of (or to demote or to exclude from future Awards under the Plan) any such Employee, Consultant or Director at any time for any reason “at will.” Except as specifically provided by the Administrator, the Company shall not be liable for the loss of existing or potential profit from an Award granted in the event of termination of an employment or other relationship. No Employee, Consultant or Participant shall have any claim to be granted any Award under the Plan, and there is no obligation for uniformity of treatment of Employees, Consultants or Participants under the Plan.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i w:val="1"/>
          <w:iCs w:val="1"/>
          <w:color w:val="auto"/>
        </w:rPr>
        <w:t>Prospective Recipient</w:t>
      </w:r>
      <w:r>
        <w:rPr>
          <w:rFonts w:ascii="Times New Roman" w:cs="Times New Roman" w:eastAsia="Times New Roman" w:hAnsi="Times New Roman"/>
          <w:sz w:val="18"/>
          <w:szCs w:val="18"/>
          <w:color w:val="auto"/>
        </w:rPr>
        <w:t>. The prospective recipient of any Award under the Plan shall not, with respect to such Award,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a Participant, or to have any rights with respect to such Award, until and unless such recipient shall have executed an agreement or other instrument evidencing the Award and delivered a copy thereof to the Company, and otherwise complied with the then applicable terms and conditions of the Plan and Award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Notwithstanding any other provision of the Plan, the terms of Substitute Awards may vary from the terms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the extent the Administrator deems appropriate to conform, in whole or in part, to the provisions of the awards in substitution for which they are granted.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i w:val="1"/>
          <w:iCs w:val="1"/>
          <w:color w:val="auto"/>
        </w:rPr>
        <w:t>Cancellation and Forfeiture of Awards; Clawback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57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Award Agreement, all outstanding Awards granted to any Participant shall be automatically and immediately canceled if the Participant (a) is terminated for Cause or engages following his or her period of Continuous Service in conduct that would constitute Cause; (b) breaches any non-competition, non-solicitation, confidentiality, or other restrictive covenants that are contained in the Award Agreement or otherwise applicable to the Participant; or (c) without the consent of the Company, during or following the Participant’s period of Continuous Service for the Company or any Subsidiary, establishes a relationship with a competitor of the Company or any Subsidiary or engages in activity that is in conflict with and materially adverse to the interest of the Company or any Subsidiary, as determined by the Administrator in its discretion.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in this Plan or any Award Agreement, the Company may cancel any Award, require reimbursement of any Award (or the proceeds thereof) by a Participant, and effect any other right of recoupment of equity or other compensation provided under the Plan, in accordance with any Company policies that may be adopted and/or modified from time to time by the Company in its discretion (“</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A Participant may be required to repay to the Company previously paid compensation, whether provided pursuant to the Plan or an Award Agreement, in accordance with any Clawback Policy in effect at the time of the execution of the Award Agreement, as any such policy may be subsequently modified by the Company to comply with applicable law or stock exchange listing requirements. By accepting an Award, the Participant agrees to be bound by any Clawback Policy as in effect at the time of the execution of the Award Agreement, as any such policy may be subsequently modified by the Company to comply with applicable law or stock exchange listing requirements.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i w:val="1"/>
          <w:iCs w:val="1"/>
          <w:color w:val="auto"/>
        </w:rPr>
        <w:t>Delivery and Stop Transfer Orders</w:t>
      </w:r>
      <w:r>
        <w:rPr>
          <w:rFonts w:ascii="Times New Roman" w:cs="Times New Roman" w:eastAsia="Times New Roman" w:hAnsi="Times New Roman"/>
          <w:sz w:val="18"/>
          <w:szCs w:val="18"/>
          <w:color w:val="auto"/>
        </w:rPr>
        <w:t>. Upon exercise or vesting of an Award, as applicable, the Company shall issue Shares or pay any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within a reasonable period of time thereafter. Subject to any statutory or regulatory obligations the Company may otherwise have, and except as otherwise contemplated by this Plan, 30 days shall be considered a reasonable period of time. All certificates for Shares delivered under the Plan pursuant to any Award shall be subject to such stop-transfer orders and other restrictions as the Administrator may deem advisable under the rules, regulations and other requirements of the Securities and Exchange Commission, any stock exchange upon which the Shares are then listed, and any applicable federal or state securities law, and the Administrator may cause a legend or legends to be put on any such certificates to make appropriate reference to such restrictions. Any provision herein to the contrary notwithstanding, the Company shall have no obligation to issue any Shares pursuant to an Award if the Administrator determines in good faith that such issuance would violate applicable federal, state or foreign securities laws.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i w:val="1"/>
          <w:iCs w:val="1"/>
          <w:color w:val="auto"/>
        </w:rPr>
        <w:t>Nature of Payments</w:t>
      </w:r>
      <w:r>
        <w:rPr>
          <w:rFonts w:ascii="Times New Roman" w:cs="Times New Roman" w:eastAsia="Times New Roman" w:hAnsi="Times New Roman"/>
          <w:sz w:val="18"/>
          <w:szCs w:val="18"/>
          <w:color w:val="auto"/>
        </w:rPr>
        <w:t>. All Awards made pursuant to the Plan are in consideration of services performed or to be performed for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Subsidiary, division or business unit of the Company. Any income or gain realized pursuant to Awards under the Plan constitute a special incentive payment to the Participant and shall not be taken into account, to the extent permissible under applicable law, as compensation for purposes of any of the employee benefit plans of the Company or any Subsidiary except as may be determined by the Administrator.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i w:val="1"/>
          <w:iCs w:val="1"/>
          <w:color w:val="auto"/>
        </w:rPr>
        <w:t>Other Plans</w:t>
      </w:r>
      <w:r>
        <w:rPr>
          <w:rFonts w:ascii="Times New Roman" w:cs="Times New Roman" w:eastAsia="Times New Roman" w:hAnsi="Times New Roman"/>
          <w:sz w:val="18"/>
          <w:szCs w:val="18"/>
          <w:color w:val="auto"/>
        </w:rPr>
        <w:t>. Options may continue to be granted under the Prior Plan and the Other Plan. Additionally, nothing contained in the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the Board from adopting other or additional compensation arrangements, subject to shareholder approval if such approval is required; and such arrangements may be either generally applicable or applicable only in specific cases.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shall be held unlawful or otherwise invalid or unenforceable in whole or in part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such provision shall (a) be deemed limited to the extent that such court of competent jurisdiction deems it lawful, valid and/or enforceable and as so limited shall remain in full force and effect, and (b) not affect any other provision of the Plan or part thereof, each of which shall remain in full force and effect. If the making of any payment or the provision of any other benefit required under the Plan shall be held unlawful or otherwise invalid or unenforceable by a court of competent jurisdiction,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13.10.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As used in the Plan,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and variations thereof, shall not be deemed to be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but rather shall be deemed to be followed by the words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13.11. </w:t>
      </w:r>
      <w:r>
        <w:rPr>
          <w:rFonts w:ascii="Times New Roman" w:cs="Times New Roman" w:eastAsia="Times New Roman" w:hAnsi="Times New Roman"/>
          <w:sz w:val="18"/>
          <w:szCs w:val="18"/>
          <w:i w:val="1"/>
          <w:iCs w:val="1"/>
          <w:color w:val="auto"/>
        </w:rPr>
        <w:t>Unfunded Status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intended to constitute an “unfunded” plan for incentive compensation.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not yet made to a Participant by the Company, nothing contained herein shall give any such Participant any rights that are greater than those of a general creditor of the Company. In its sole discretion, the Administrator may authorize the creation of trusts or other arrangements to meet the obligations created under the Plan to deliver the Shares or payments in lieu of or with respect to Awards hereunder; provided, however, that the existence of such trusts or other arrangements is consistent with the unfunded status of the Plan.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and all determinations made and actions taken thereunder, to the extent not otherwise governed by the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United States, shall be governed by the laws of the State of Utah, without reference to principles of conflict of laws, and construed accordingly.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13.13. </w:t>
      </w:r>
      <w:r>
        <w:rPr>
          <w:rFonts w:ascii="Times New Roman" w:cs="Times New Roman" w:eastAsia="Times New Roman" w:hAnsi="Times New Roman"/>
          <w:sz w:val="18"/>
          <w:szCs w:val="18"/>
          <w:i w:val="1"/>
          <w:iCs w:val="1"/>
          <w:color w:val="auto"/>
        </w:rPr>
        <w:t>Effective Date of Plan; Termination of Plan</w:t>
      </w:r>
      <w:r>
        <w:rPr>
          <w:rFonts w:ascii="Times New Roman" w:cs="Times New Roman" w:eastAsia="Times New Roman" w:hAnsi="Times New Roman"/>
          <w:sz w:val="18"/>
          <w:szCs w:val="18"/>
          <w:color w:val="auto"/>
        </w:rPr>
        <w:t>. The Plan shall be effective on the date of the approval of the Plan by the holders of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Voting Securities voted at a duly constituted meeting of the shareholders of the Company. The Plan shall be null and void and of no effect if the foregoing condition is not fulfilled and no Award shall be granted until the shareholders of the Company approve the Plan. Awards may be granted under the Plan at any time and from time to time following shareholder approval of the Plan until the tenth anniversary of the effective date of the Plan, on which date the Plan will expire except as to Awards then outstanding under the Plan. Such outstanding Awards shall remain in effect until they have been exercised or terminated, or have expired.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5" w:name="page156"/>
    <w:bookmarkEnd w:id="155"/>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13.14. </w:t>
      </w:r>
      <w:r>
        <w:rPr>
          <w:rFonts w:ascii="Times New Roman" w:cs="Times New Roman" w:eastAsia="Times New Roman" w:hAnsi="Times New Roman"/>
          <w:sz w:val="18"/>
          <w:szCs w:val="18"/>
          <w:i w:val="1"/>
          <w:iCs w:val="1"/>
          <w:color w:val="auto"/>
        </w:rPr>
        <w:t>Foreign Employees and Sub-Plans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1304"/>
        <w:spacing w:after="0" w:line="261" w:lineRule="auto"/>
        <w:tabs>
          <w:tab w:leader="none" w:pos="152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to Participants who are foreign nationals or employed outside the United States, or both, on such terms and conditions different from those applicable to Awards to Employees employed in the United States as may, in the judgment of the Administrator, be necessary or desirable in order to recognize differences in local law or tax policy. The Administrator also may impose conditions on the exercise or vesting of Awards in order to minimize the Company’s obligation with respect to tax equalization for Employees on assignments outside their home country.</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from time to time establish sub-plans under the Plan for purposes of satisfying foreign or state blue sky, securities, tax, employment, privacy or other laws of various jurisdictions in which the Company intends to grant Awards. Any sub-plans shall contain such limitations and other terms and conditions as the Administrator determines are necessary or desirable. All sub-plans shall be deemed a part of the Plan, but each sub-plan shall apply only to the Participants in the jurisdiction for which the sub-plan was designed.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13.15. </w:t>
      </w:r>
      <w:r>
        <w:rPr>
          <w:rFonts w:ascii="Times New Roman" w:cs="Times New Roman" w:eastAsia="Times New Roman" w:hAnsi="Times New Roman"/>
          <w:sz w:val="18"/>
          <w:szCs w:val="18"/>
          <w:i w:val="1"/>
          <w:iCs w:val="1"/>
          <w:color w:val="auto"/>
        </w:rPr>
        <w:t>Compliance with Section 409A of the Code; Taxes.</w:t>
      </w:r>
    </w:p>
    <w:p>
      <w:pPr>
        <w:spacing w:after="0" w:line="229" w:lineRule="exact"/>
        <w:rPr>
          <w:sz w:val="20"/>
          <w:szCs w:val="20"/>
          <w:color w:val="auto"/>
        </w:rPr>
      </w:pPr>
    </w:p>
    <w:p>
      <w:pPr>
        <w:jc w:val="both"/>
        <w:ind w:left="-20" w:firstLine="1304"/>
        <w:spacing w:after="0" w:line="254" w:lineRule="auto"/>
        <w:tabs>
          <w:tab w:leader="none" w:pos="152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In no event may any Participant, directly or indirectly, designate the calendar year of any payment to be made under this Plan or any Award Agreement hereunder which constitutes deferred compensation within the meaning of Section 409A of the Code. Notwithstanding anything to the contrary in the Plan, to the extent required to avoid accelerated taxation and taxation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4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of the Plan or any other agreement, neither the Company, any Subsidiary, the Administrator, nor any of their respective directors, officers, employees or agents shall have any obligation to take any action to prevent the assessment of any tax or penalty on any Participant under Section 409A of the Code or otherwise with respect to the Plan or any Award. Neither the Company, any Subsidiary, the Administrator, nor any of their respective directors, officers, employees or agents shall have any liability to any Participant or any other Person if an Option designated as an Incentive Stock Option fails to qualify as such at any time. Neither the Company, any Subsidiary, the Administrator, nor any of their respective directors, officers, employees or agents has any liability or obligation to indemnify, reimburse, gross-up or compensate any Participant for any taxes or tax-related penalties, interest and other costs arising out of or resulting from the Plan or any Award, including any taxes under Sections 409A and 4999 of the Code.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4" w:right="339" w:bottom="1440" w:gutter="0" w:footer="0" w:header="0"/>
        </w:sectPr>
      </w:pPr>
    </w:p>
    <w:bookmarkStart w:id="156" w:name="page157"/>
    <w:bookmarkEnd w:id="15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13.16. </w:t>
      </w:r>
      <w:r>
        <w:rPr>
          <w:rFonts w:ascii="Times New Roman" w:cs="Times New Roman" w:eastAsia="Times New Roman" w:hAnsi="Times New Roman"/>
          <w:sz w:val="18"/>
          <w:szCs w:val="18"/>
          <w:i w:val="1"/>
          <w:iCs w:val="1"/>
          <w:color w:val="auto"/>
        </w:rPr>
        <w:t>Captions</w:t>
      </w:r>
      <w:r>
        <w:rPr>
          <w:rFonts w:ascii="Times New Roman" w:cs="Times New Roman" w:eastAsia="Times New Roman" w:hAnsi="Times New Roman"/>
          <w:sz w:val="18"/>
          <w:szCs w:val="18"/>
          <w:color w:val="auto"/>
        </w:rPr>
        <w:t>. The captions in the Plan are for convenience of reference only, and are not intended to narrow, limit or affect the substance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the provisions contained herein.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13.17. </w:t>
      </w:r>
      <w:r>
        <w:rPr>
          <w:rFonts w:ascii="Times New Roman" w:cs="Times New Roman" w:eastAsia="Times New Roman" w:hAnsi="Times New Roman"/>
          <w:sz w:val="18"/>
          <w:szCs w:val="18"/>
          <w:i w:val="1"/>
          <w:iCs w:val="1"/>
          <w:color w:val="auto"/>
        </w:rPr>
        <w:t>Beneficiary Designation</w:t>
      </w:r>
      <w:r>
        <w:rPr>
          <w:rFonts w:ascii="Times New Roman" w:cs="Times New Roman" w:eastAsia="Times New Roman" w:hAnsi="Times New Roman"/>
          <w:sz w:val="18"/>
          <w:szCs w:val="18"/>
          <w:color w:val="auto"/>
        </w:rPr>
        <w:t>. Each Participant under the Plan may from time to time name any beneficiary or beneficiaries by whom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is to be exercised (or to whom any amount or Shares are to be paid or issued) in case of such Participant’s death. Each designation will revoke all prior designations by the same Participant, shall be in a form reasonably prescribed by the Administrator and shall be effective only when filed by the Participant in writing with the Company during the Participant’s lifetime.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13.18. </w:t>
      </w:r>
      <w:r>
        <w:rPr>
          <w:rFonts w:ascii="Times New Roman" w:cs="Times New Roman" w:eastAsia="Times New Roman" w:hAnsi="Times New Roman"/>
          <w:sz w:val="18"/>
          <w:szCs w:val="18"/>
          <w:i w:val="1"/>
          <w:iCs w:val="1"/>
          <w:color w:val="auto"/>
        </w:rPr>
        <w:t>Plan History</w:t>
      </w:r>
      <w:r>
        <w:rPr>
          <w:rFonts w:ascii="Times New Roman" w:cs="Times New Roman" w:eastAsia="Times New Roman" w:hAnsi="Times New Roman"/>
          <w:sz w:val="18"/>
          <w:szCs w:val="18"/>
          <w:color w:val="auto"/>
        </w:rPr>
        <w:t>. The Plan was originally adopted by the Board, subject to the approval of the Company’s shareholders. The Plan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originally approved by the Company’s shareholders at the Company’s annual meeting of shareholders that was held on June 17, 2022. The Plan was amended and restated by the Board on March 17, 2023. Pursuant to the terms of the Plan and applicable law, including the Code, the shareholders of the Company were not required to approve such amendment and restatement.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GUIDELINES WITH RESPECT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 IN COMPANY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Ratified March 22,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provides guidelines to employees, officers, consultants, contractors and members of the Board of Directors of Security National Financial Corporation and its subsidiaries (collectively, the “Company”) with respect to transactions in the Company’s securities. The Company’s Chief Financial Officer is its Insider Trading Compliance Officer (the “Compliance Officer”).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Applicability of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exchange-traded options. This Policy applies to all employees, officers, consultants, contractors and members of the Board of Directors of the Company who receive or. have access to material nonpublic information (“Inside Information”) regarding the Company. The basis for determining what constitutes Inside Information is discussed on page 3 of this Memorandum. This group of people, members of their immediate families, and members of their households are sometimes referred to in this Policy as “Insiders,” This Policy also applies to any person who receives Inside Information from any Insider. Any person who possesses Inside Information regarding the Company is an Insider for so long as the information is not publicly known.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5" w:lineRule="exact"/>
        <w:rPr>
          <w:sz w:val="20"/>
          <w:szCs w:val="20"/>
          <w:color w:val="auto"/>
        </w:rPr>
      </w:pPr>
    </w:p>
    <w:p>
      <w:pPr>
        <w:ind w:left="280" w:hanging="272"/>
        <w:spacing w:after="0"/>
        <w:tabs>
          <w:tab w:leader="none" w:pos="2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oppose the unauthorized disclosure of any nonpublic information acquired in the workplace, and the use of Inside Information in securities trading.</w:t>
      </w:r>
    </w:p>
    <w:p>
      <w:pPr>
        <w:spacing w:after="0" w:line="158" w:lineRule="exact"/>
        <w:rPr>
          <w:sz w:val="20"/>
          <w:szCs w:val="20"/>
          <w:color w:val="auto"/>
        </w:rPr>
      </w:pPr>
    </w:p>
    <w:p>
      <w:pPr>
        <w:ind w:left="260" w:hanging="252"/>
        <w:spacing w:after="0"/>
        <w:tabs>
          <w:tab w:leader="none" w:pos="2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Specific Policies Applicable to All Employees and Directors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on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director, officer, consultant, contractor or employee of the Company, and no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 family or household of any such person, shall engage in any transaction involving the Company’s securities from the date that he or she possesses Inside Information until the close of business on the second Trading Day following the date of public disclosure of that information. “Trading Day” means a day on which national stock exchanges and the Nasdaq National Market are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8" w:name="page159"/>
    <w:bookmarkEnd w:id="15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A PERSON POSSESSES INSIDE INFORMATION, HE OR SHE MUST FOREGO ANY PROPOSED TRANSACTION IN THE COMPANY’S SHARES, EVEN THOUGH HE OR SHE PLANNED TO MAKE THE TRANSACTION BEFORE HE OR SHE LEARNED OF THE INSIDE INFORMATION AND EVEN THOUGH THE FAILURE TO EXECUTE SUCH TRANSACTION MAY RESULT IN A LOSS OR THE INABILITY TO GENERATE AN ANTICIPATED PROFIT.</w:t>
      </w:r>
    </w:p>
    <w:p>
      <w:pPr>
        <w:spacing w:after="0" w:line="176" w:lineRule="exact"/>
        <w:rPr>
          <w:sz w:val="20"/>
          <w:szCs w:val="20"/>
          <w:color w:val="auto"/>
        </w:rPr>
      </w:pPr>
    </w:p>
    <w:p>
      <w:pPr>
        <w:jc w:val="both"/>
        <w:ind w:firstLine="656"/>
        <w:spacing w:after="0" w:line="268" w:lineRule="auto"/>
        <w:tabs>
          <w:tab w:leader="none" w:pos="82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Insider shall not disclose (“tip”) Inside Information to any other person (including family members) where such information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used by such person to his or her profit by trading in the securities of companies to which such information relates. An Insider or related person shall not make recommendations or express opinions on the basis of Inside Information as to trading in the Company’s securities.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6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of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is forbidden.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directors, officers, employees, consultants and contractors shall not engage in any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securities other than during the “Trading Window.” The Trading Window closes at the close of business on February 15, April 30, July 15 and October 15 of each fiscal year. The Trading Window opens at the close of business on the second Trading Day following the date the Company publicly discloses its financial results for the previous fiscal quarter or year. The Company recommends, assuming the absence of Inside Information, that trades occur during the first ten days of the Trading Window.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also require that directors, officers, selected employees and others to suspend trading because of developments known to the Company and not yet disclosed to the public. In such event, such persons shall not engage in any transaction involving the Company’s securities during such period and shall not disclose to others the fact that trading has been suspended.</w:t>
      </w:r>
    </w:p>
    <w:p>
      <w:pPr>
        <w:spacing w:after="0" w:line="172" w:lineRule="exact"/>
        <w:rPr>
          <w:sz w:val="20"/>
          <w:szCs w:val="20"/>
          <w:color w:val="auto"/>
        </w:rPr>
      </w:pPr>
    </w:p>
    <w:p>
      <w:pPr>
        <w:jc w:val="both"/>
        <w:ind w:right="20" w:firstLine="656"/>
        <w:spacing w:after="0" w:line="268" w:lineRule="auto"/>
        <w:tabs>
          <w:tab w:leader="none" w:pos="841"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 Exercises and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stock options under the Company’s stock option plans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any such shares)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this Policy since the other party to the transaction is the Company itself and the price does not vary with the market but is fixed by the terms of the option agreement or the plan.</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officer, employee, consultant, contractor or director should make a short sale of the Company’s securities.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ind w:left="280" w:hanging="272"/>
        <w:spacing w:after="0"/>
        <w:tabs>
          <w:tab w:leader="none" w:pos="2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 Applicable to Directors, Officers and Certain Employees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6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 of more than ten percent of the Company’s stock, (ii) the Company’s directors, (iii) the Company’s chief executive officer, president, chief financial officer, treasurer and senior general counsel, (iv) any vice president of the Company in charge of any of the Company’s principal business segments, and (iv) any officer or other person who performs a policy-making function for the Company (each, a “Section 16 Person”), must comply with the reporting obligations and limitations on short-swing transactions set forth in Section 16 of the Securities Exchange Act of 1934, as amended. The practical effect of these provisions is that Section 16 Persons who purchase and sell the Company’s securities within a six-month period must return all profits to the Company whether or not they had knowledge of any Inside Information. Under these provisions, and so long as certain other criteria are met, the exercise of an option under the Company’s option plan is not deemed a purchase under Section 16; however, the sale of any such shares is a sale under Section 16. Moreover, no Section 16 Person may ever make a short sale of the Company’s stock.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 Persons must report virtually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transactions in securities related to the Company, including transactions that are not otherwise subject to this Policy (such as gifts and stock option plan option exercises). Thus, stock option exercises are reportable events under Section 16 even though they are non-events for purposes of determining the six-month limitation on short-swing profits under Section 16. The failure to report or the late report of a transaction required to be reported by Section 16 is a violation of federal law, potentially subjecting the insider to monetary penalties and requiring the Company to disclose by name the person responsible for the delinquent or missing filing in the Company’s publicly filed documents.</w:t>
      </w:r>
    </w:p>
    <w:p>
      <w:pPr>
        <w:spacing w:after="0" w:line="179" w:lineRule="exact"/>
        <w:rPr>
          <w:sz w:val="20"/>
          <w:szCs w:val="20"/>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Inside Information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w:t>
      </w:r>
      <w:r>
        <w:rPr>
          <w:rFonts w:ascii="Times New Roman" w:cs="Times New Roman" w:eastAsia="Times New Roman" w:hAnsi="Times New Roman"/>
          <w:sz w:val="18"/>
          <w:szCs w:val="18"/>
          <w:b w:val="1"/>
          <w:bCs w:val="1"/>
          <w:color w:val="auto"/>
        </w:rPr>
        <w:t>, information should be regarded as material if there is a 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likelihood that it would be considered important to an investor in making an investment decision regarding the purchase or sale of stock or other 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Examples of such information may include:</w:t>
      </w:r>
    </w:p>
    <w:p>
      <w:pPr>
        <w:spacing w:after="0" w:line="162" w:lineRule="exact"/>
        <w:rPr>
          <w:sz w:val="20"/>
          <w:szCs w:val="20"/>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or termination of a substantial new contract</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merger or joint venture</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business development or milestone</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with products or services</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a new development effort</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w:t>
      </w:r>
    </w:p>
    <w:p>
      <w:pPr>
        <w:spacing w:after="0" w:line="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Both positive and negative information can be material.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Nonpublic information is information that has not been previously disclosed to the general public and is otherwise not available to the general public.</w:t>
      </w:r>
    </w:p>
    <w:p>
      <w:pPr>
        <w:spacing w:after="0" w:line="221" w:lineRule="exact"/>
        <w:rPr>
          <w:sz w:val="20"/>
          <w:szCs w:val="20"/>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 to Comply with Policy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Every officer, director, consultant, contractor and employee has the individual responsibility to comply with this Policy. Beyond the guidelines set forth in this Policy, appropriate judgment should be exercised in connection with any trade in the Company’s securities.</w:t>
      </w:r>
    </w:p>
    <w:p>
      <w:pPr>
        <w:spacing w:after="0" w:line="158" w:lineRule="exact"/>
        <w:rPr>
          <w:sz w:val="20"/>
          <w:szCs w:val="20"/>
          <w:color w:val="auto"/>
        </w:rPr>
      </w:pPr>
    </w:p>
    <w:p>
      <w:pPr>
        <w:ind w:left="240" w:hanging="232"/>
        <w:spacing w:after="0"/>
        <w:tabs>
          <w:tab w:leader="none" w:pos="2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Potential Criminal and Civil Liability and/or Disciplinary Action</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28"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may be subject to penalties of up to $1,000,000 and up to ten years in jail for engaging in transactions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securities at a time when they possess Inside Information regarding the Company.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41"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may also be liable for improper transactions by any person (a “tippee”) to whom they have disclosed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regarding the Company or to whom they have made recommendations or expressed opinions on the basis of such information as to trading in the Company’s securities, The Securities and Exchange Commission (the “SEC”) has imposed large penalties even when the disclosing person did not profit from the trading. The SEC, the stock exchanges and the Financial Industry Regulatory Authority (FINRA) use sophisticated electronic surveillance techniques to uncover insider trading.</w:t>
      </w:r>
    </w:p>
    <w:p>
      <w:pPr>
        <w:sectPr>
          <w:pgSz w:w="11900" w:h="16838" w:orient="portrait"/>
          <w:cols w:equalWidth="0" w:num="1">
            <w:col w:w="11240"/>
          </w:cols>
          <w:pgMar w:left="320" w:top="684" w:right="339" w:bottom="1440" w:gutter="0" w:footer="0" w:header="0"/>
        </w:sectPr>
      </w:pPr>
    </w:p>
    <w:p>
      <w:pPr>
        <w:spacing w:after="0" w:line="179" w:lineRule="exact"/>
        <w:rPr>
          <w:sz w:val="20"/>
          <w:szCs w:val="20"/>
          <w:color w:val="auto"/>
        </w:rPr>
      </w:pPr>
    </w:p>
    <w:p>
      <w:pPr>
        <w:jc w:val="both"/>
        <w:ind w:firstLine="656"/>
        <w:spacing w:after="0" w:line="268" w:lineRule="auto"/>
        <w:tabs>
          <w:tab w:leader="none" w:pos="855"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Possible Disciplinary Actions. </w:t>
      </w:r>
      <w:r>
        <w:rPr>
          <w:rFonts w:ascii="Times New Roman" w:cs="Times New Roman" w:eastAsia="Times New Roman" w:hAnsi="Times New Roman"/>
          <w:sz w:val="18"/>
          <w:szCs w:val="18"/>
          <w:color w:val="auto"/>
        </w:rPr>
        <w:t>determined by its officers. Penalties may employment.</w:t>
      </w:r>
    </w:p>
    <w:p>
      <w:pPr>
        <w:spacing w:after="0" w:line="170"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Inquiries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hanging="21"/>
        <w:spacing w:after="0" w:line="282" w:lineRule="auto"/>
        <w:rPr>
          <w:sz w:val="20"/>
          <w:szCs w:val="20"/>
          <w:color w:val="auto"/>
        </w:rPr>
      </w:pPr>
      <w:r>
        <w:rPr>
          <w:rFonts w:ascii="Times New Roman" w:cs="Times New Roman" w:eastAsia="Times New Roman" w:hAnsi="Times New Roman"/>
          <w:sz w:val="18"/>
          <w:szCs w:val="18"/>
          <w:color w:val="auto"/>
        </w:rPr>
        <w:t>Employees of the Company who violate this Policy arc subject to disciplinary action by the Company as include ineligibility for future participation in the Company’s equity incentive plans or termination of</w:t>
      </w:r>
    </w:p>
    <w:p>
      <w:pPr>
        <w:spacing w:after="0" w:line="780" w:lineRule="exact"/>
        <w:rPr>
          <w:sz w:val="20"/>
          <w:szCs w:val="20"/>
          <w:color w:val="auto"/>
        </w:rPr>
      </w:pPr>
    </w:p>
    <w:p>
      <w:pPr>
        <w:sectPr>
          <w:pgSz w:w="11900" w:h="16838" w:orient="portrait"/>
          <w:cols w:equalWidth="0" w:num="2">
            <w:col w:w="3200" w:space="80"/>
            <w:col w:w="7960"/>
          </w:cols>
          <w:pgMar w:left="320" w:top="684"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direct your questions as to any of the matters discussed in this Policy to the Compliance Officer.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INCENTIVE COMPENSATION CLAWBACK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September 8, 2023</w:t>
      </w:r>
    </w:p>
    <w:p>
      <w:pPr>
        <w:spacing w:after="0" w:line="203" w:lineRule="exact"/>
        <w:rPr>
          <w:sz w:val="20"/>
          <w:szCs w:val="20"/>
          <w:color w:val="auto"/>
        </w:rPr>
      </w:pPr>
    </w:p>
    <w:p>
      <w:pPr>
        <w:ind w:left="500" w:hanging="168"/>
        <w:spacing w:after="0"/>
        <w:tabs>
          <w:tab w:leader="none" w:pos="50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Security National Financial Corporation, a Utah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to require the recovery of certain executive incentive compensation in the event that the Company is required to prepare an Accounting Restatement (as defined below). The Board has therefore adopted this policy which provides for the recoupment of certain executive incentive compensation in the event of an Accounting Restatement resulting from material noncompliance with financial reporting requirements under the federal securities laws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thereunder, and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Listing Rule 5608 (“</w:t>
      </w:r>
      <w:r>
        <w:rPr>
          <w:rFonts w:ascii="Times New Roman" w:cs="Times New Roman" w:eastAsia="Times New Roman" w:hAnsi="Times New Roman"/>
          <w:sz w:val="18"/>
          <w:szCs w:val="18"/>
          <w:b w:val="1"/>
          <w:bCs w:val="1"/>
          <w:color w:val="auto"/>
        </w:rPr>
        <w:t>Rule 5608</w:t>
      </w:r>
      <w:r>
        <w:rPr>
          <w:rFonts w:ascii="Times New Roman" w:cs="Times New Roman" w:eastAsia="Times New Roman" w:hAnsi="Times New Roman"/>
          <w:sz w:val="18"/>
          <w:szCs w:val="18"/>
          <w:color w:val="auto"/>
        </w:rPr>
        <w:t>”) and will be interpreted and applied accordingly.</w:t>
      </w:r>
    </w:p>
    <w:p>
      <w:pPr>
        <w:spacing w:after="0" w:line="183" w:lineRule="exact"/>
        <w:rPr>
          <w:sz w:val="20"/>
          <w:szCs w:val="20"/>
          <w:color w:val="auto"/>
        </w:rPr>
      </w:pPr>
    </w:p>
    <w:p>
      <w:pPr>
        <w:ind w:left="560" w:hanging="228"/>
        <w:spacing w:after="0"/>
        <w:tabs>
          <w:tab w:leader="none" w:pos="5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The Board is authorized to interpret and construe this Policy and to make all determinations necessary, appropriate, or advisable for the administration of this Policy. Any determinations made by the Board shall be final and binding on all affected individuals.</w:t>
      </w:r>
    </w:p>
    <w:p>
      <w:pPr>
        <w:spacing w:after="0" w:line="176" w:lineRule="exact"/>
        <w:rPr>
          <w:sz w:val="20"/>
          <w:szCs w:val="20"/>
          <w:color w:val="auto"/>
        </w:rPr>
      </w:pPr>
    </w:p>
    <w:p>
      <w:pPr>
        <w:ind w:left="640" w:hanging="308"/>
        <w:spacing w:after="0"/>
        <w:tabs>
          <w:tab w:leader="none" w:pos="6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and the listing standards of Nasdaq, which includes each individual who is currently or was previously designated as an “officer” of the Company as defined in Rule 16a-1(f) under the Exchange Act, and such other senior executives who may from time to time be deemed subject to this Policy by the Board (each, a “</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xml:space="preserve">”). Each Covered Executive shall be required to sign and return to the Company the Acknowledgement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Recoupment; Accounting 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the Board will promptly require reimbursement or forfeiture of any Erroneously Awarded Compensation received by any Covered Executive, unless the Board determines in accordance with Section VI below that such recovery is impracticable. Recoupment of Erroneously Awarded Compensation pursuant to this Policy is made on a “no fault” basis, without regard to whether any misconduct occurred or whether any Covered Executive has responsibility for the noncompliance that resulted in the Accounting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following meanings:</w:t>
      </w:r>
    </w:p>
    <w:p>
      <w:pPr>
        <w:spacing w:after="0" w:line="221" w:lineRule="exact"/>
        <w:rPr>
          <w:sz w:val="20"/>
          <w:szCs w:val="20"/>
          <w:color w:val="auto"/>
        </w:rPr>
      </w:pPr>
    </w:p>
    <w:p>
      <w:pPr>
        <w:jc w:val="both"/>
        <w:ind w:left="660" w:hanging="220"/>
        <w:spacing w:after="0" w:line="254"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of any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to correct an error that is not material to previously issued financial statements, but would result in a material misstatement if the error were corrected in the current period or left uncorrected in the current period, within the meaning of Rule 10D-1 and Rule 5608. For the avoidance of doubt, an Accounting Restatement will not be deemed to occur in the event of a restatement of the Company’s financial statements due to an out-of-period adjustment or due to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185" w:lineRule="exact"/>
        <w:rPr>
          <w:rFonts w:ascii="Times New Roman" w:cs="Times New Roman" w:eastAsia="Times New Roman" w:hAnsi="Times New Roman"/>
          <w:sz w:val="18"/>
          <w:szCs w:val="18"/>
          <w:color w:val="auto"/>
        </w:rPr>
      </w:pPr>
    </w:p>
    <w:p>
      <w:pPr>
        <w:jc w:val="both"/>
        <w:ind w:left="660" w:hanging="220"/>
        <w:spacing w:after="0" w:line="259"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Incentive Compensation</w:t>
      </w:r>
      <w:r>
        <w:rPr>
          <w:rFonts w:ascii="Times New Roman" w:cs="Times New Roman" w:eastAsia="Times New Roman" w:hAnsi="Times New Roman"/>
          <w:sz w:val="18"/>
          <w:szCs w:val="18"/>
          <w:color w:val="auto"/>
        </w:rPr>
        <w:t>” means Incentive Compensation received on or after October 2, 2023: (i) by a person after beginning service as a Covered Executive, (ii) by a person who served as a Covered Executive at any time during the performance period for that Incentive Compensation, (iii) while the Company has a class of securities listed on a national securities exchange or a national securities association, and (iv) during the three completed fiscal years immediately preceding the date that the Company is required to prepare the Accounting Restatement (or such longer period as required under Rule 5608 in the event the Company changes its fiscal year).</w:t>
      </w:r>
    </w:p>
    <w:p>
      <w:pPr>
        <w:spacing w:after="0" w:line="179" w:lineRule="exact"/>
        <w:rPr>
          <w:rFonts w:ascii="Times New Roman" w:cs="Times New Roman" w:eastAsia="Times New Roman" w:hAnsi="Times New Roman"/>
          <w:sz w:val="18"/>
          <w:szCs w:val="18"/>
          <w:color w:val="auto"/>
        </w:rPr>
      </w:pPr>
    </w:p>
    <w:p>
      <w:pPr>
        <w:jc w:val="both"/>
        <w:ind w:left="660" w:hanging="220"/>
        <w:spacing w:after="0" w:line="254"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the amount of Covered Incentive Compensation that was received by each Covered Executive in excess of the Covered Incentive Compensation that would have been received by the Covered Executive had such Covered Incentive Compensation been determined based on the restated Financial Reporting Measure following an Accounting Restatement, computed without regard to taxes paid, as reasonably determined by the Board. For this purpose, if the amount of Covered Incentive Compensation that is received by a Covered Executive was based on the Company’s stock price or total shareholder return and is not subject to mathematical recalculation directly from the Accounting Restatement, the amount to be recovered as Erroneously Awarded Compensation shall be based on a reasonable estimate of the effect of the Accounting Restatement on the Financial Reporting Measure upon which the Covered Incentive Compensation was received. The Company’s Corporate Secretary shall, on behalf of the Board, obtain and maintain all documentation of the determination of any such reasonable estimate and provide such documentation to Nasdaq when required.</w:t>
      </w:r>
    </w:p>
    <w:p>
      <w:pPr>
        <w:spacing w:after="0" w:line="188" w:lineRule="exact"/>
        <w:rPr>
          <w:rFonts w:ascii="Times New Roman" w:cs="Times New Roman" w:eastAsia="Times New Roman" w:hAnsi="Times New Roman"/>
          <w:sz w:val="18"/>
          <w:szCs w:val="18"/>
          <w:color w:val="auto"/>
        </w:rPr>
      </w:pPr>
    </w:p>
    <w:p>
      <w:pPr>
        <w:jc w:val="both"/>
        <w:ind w:left="660" w:hanging="220"/>
        <w:spacing w:after="0" w:line="257"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 that is derived wholly or in part from any such measure, and (ii) the Company’s stock price and the total shareholder return of the Company. A measure, however, need not be presented within the financial statements or included in a filing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constitute a Financial Reporting Measure. For example, Financial Reporting Measures may include revenues, net income, EBITDA, funds from operations, liquidity measures (such as working capital or operating cash flow), and return measures (such as return on invested capital or return on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3" w:name="page164"/>
    <w:bookmarkEnd w:id="163"/>
    <w:p>
      <w:pPr>
        <w:jc w:val="both"/>
        <w:ind w:left="660" w:hanging="220"/>
        <w:spacing w:after="0" w:line="256"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example, Incentive Compensation includes any of the following if so granted, earned or vested: (i) annual bonuses and other short- and long-term cash incentives, (ii) stock options, (iii) stock appreciation rights, (iv) restricted stock, (v) restricted stock units, (vi) performance shares, and (vii) performance units. For the avoidance of doubt, Incentive Compensation shall also be deemed to include any amounts which were determined based on (or were otherwise calculated by reference to) Incentive Compensation (including, without limitation, any amounts under any long-term disability, life insurance or supplemental retirement plan or any notional account that is based on Incentive Compensation, as well as any earnings accrued thereon).</w:t>
      </w:r>
    </w:p>
    <w:p>
      <w:pPr>
        <w:spacing w:after="0" w:line="18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Erroneously Awarded Compensation hereunder, which may include, without limitation, any of the following:</w:t>
      </w:r>
    </w:p>
    <w:p>
      <w:pPr>
        <w:spacing w:after="0" w:line="162" w:lineRule="exact"/>
        <w:rPr>
          <w:sz w:val="20"/>
          <w:szCs w:val="20"/>
          <w:color w:val="auto"/>
        </w:rPr>
      </w:pPr>
    </w:p>
    <w:p>
      <w:pPr>
        <w:ind w:left="660" w:hanging="220"/>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660" w:hanging="220"/>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 (including any severance otherwise payable by the Company to the Covered Executive);</w:t>
      </w:r>
    </w:p>
    <w:p>
      <w:pPr>
        <w:spacing w:after="0" w:line="161"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deduction from the Covered Executive’s salary;</w:t>
      </w:r>
    </w:p>
    <w:p>
      <w:pPr>
        <w:spacing w:after="0" w:line="225"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reducing the number of shares subject to, or the value of,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Impracticability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will recover any Erroneously Awarded Compensation in accordance with this Policy unless the Board determines that such recovery would be impracticable because (i) the direct expense paid to a third party to assist in enforcing this Policy would exceed the amount to be recovered, (ii) recovery would likely cause an otherwise tax-qualified, broad-based retirement plan of the Company to fail to meet the requirements of 26 U.S.C. 401(a)(13) or 26 U.S.C. 411(a) and regulations thereunder, or (iii) the Board otherwise makes such determination in accordance with Rule 10D-1 of the Exchange Act and the listing standards of Nasdaq. Before concluding that it would be impracticable to recover any Erroneously Awarded Compensation based on the expense of enforcement, the Company shall make a reasonable attempt to recover such Erroneously Awarded Compensation, and the Company Secretary, on behalf of the Board, shall document such reasonable attempt(s) to recover and provide that documentation to Nasdaq when required.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No Indemnification or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subsidiaries or affiliates shall indemnify any Covered Executive against the loss of any Erroneously Awarded Compensation. Further, neither the Company nor any of its subsidiaries or affiliates shall pay or reimburse any Covered Executive for any insurance policy entered into by a Covered Executive that provides for full or partial coverage of any recoupment obligation under this Policy.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Effective Date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that date.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comply with applicable law and regulation, including any rules or standards adopted by Nasdaq. The Board may terminate this Policy at any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XI. </w:t>
      </w: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(i) under applicable law, (ii) pursuant to the terms of any similar policy or recoupment provision in any employment agreement, severance agreement, equity award agreement, bonus plan or similar agreement or plan, and (iii) any other legal remedies available to the Company. Further, the provisions of this Policy are in addition to (and not in lieu of) any rights to repayment the Company may have under Section 304 of the Sarbanes-Oxley Act of 2002.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XII. </w:t>
      </w: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5" w:name="page166"/>
    <w:bookmarkEnd w:id="165"/>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XIII. </w:t>
      </w:r>
      <w:r>
        <w:rPr>
          <w:rFonts w:ascii="Times New Roman" w:cs="Times New Roman" w:eastAsia="Times New Roman" w:hAnsi="Times New Roman"/>
          <w:sz w:val="18"/>
          <w:szCs w:val="18"/>
          <w:b w:val="1"/>
          <w:bCs w:val="1"/>
          <w:u w:val="single" w:color="auto"/>
          <w:color w:val="auto"/>
        </w:rPr>
        <w:t>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circumstances of any recoupment pursuant to this Policy will be publicly disclosed where required by Rule 10D-1, Item 402 of Regulation S-K and Rule 5608 or any other applicable law, rule, or regulation. In accordance with Rule 10D-1, this Policy shall be filed with the SEC as an exhibit to the Company’s Form 10-K, as provided in Item 601(b) of Regulation S-K.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XIV. </w:t>
      </w:r>
      <w:r>
        <w:rPr>
          <w:rFonts w:ascii="Times New Roman" w:cs="Times New Roman" w:eastAsia="Times New Roman" w:hAnsi="Times New Roman"/>
          <w:sz w:val="18"/>
          <w:szCs w:val="18"/>
          <w:b w:val="1"/>
          <w:bCs w:val="1"/>
          <w:u w:val="single" w:color="auto"/>
          <w:color w:val="auto"/>
        </w:rPr>
        <w:t>Change of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Company lists its securities on any national securities exchange or national securities association other than Nasdaq, all references to “Nasdaq” in this Policy shall mean each national securities exchange or national securities association upon which the Company has a class of securities then listed.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Incentive Compensation Clawback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Form</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Security National Financial Corporation Executive Incentive Compensation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Capitalized terms used but not otherwise defined in this Acknowledgement Form (this “</w:t>
      </w:r>
      <w:r>
        <w:rPr>
          <w:rFonts w:ascii="Times New Roman" w:cs="Times New Roman" w:eastAsia="Times New Roman" w:hAnsi="Times New Roman"/>
          <w:sz w:val="18"/>
          <w:szCs w:val="18"/>
          <w:u w:val="single" w:color="auto"/>
          <w:color w:val="auto"/>
        </w:rPr>
        <w:t>Acknowledgement Form</w:t>
      </w:r>
      <w:r>
        <w:rPr>
          <w:rFonts w:ascii="Times New Roman" w:cs="Times New Roman" w:eastAsia="Times New Roman" w:hAnsi="Times New Roman"/>
          <w:sz w:val="18"/>
          <w:szCs w:val="18"/>
          <w:color w:val="auto"/>
        </w:rPr>
        <w:t>”) shall have the meanings ascribed to such terms in the Policy. 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to the Company to the extent required by, and in a manner permitted by, the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EXECUTIVE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Dry Creek Property Development,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SNA-DM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SN-TLV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Paradise Sunset Chapel Funeral Home,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Greer-Wilson Funeral Home,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Mapleton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69" w:name="page170"/>
    <w:bookmarkEnd w:id="169"/>
    <w:p>
      <w:pPr>
        <w:ind w:left="1010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0" w:name="page171"/>
    <w:bookmarkEnd w:id="17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1" w:name="page172"/>
    <w:bookmarkEnd w:id="17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2023, as filed with the Securities and Exchange Commission on the date hereof (the “Report”), I, Scott M. Quist, Chairman of the Board,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2" w:name="page173"/>
    <w:bookmarkEnd w:id="17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2023, as filed with the Securities and Exchange Commission on the date hereof (the “Report”), I, Garrett S. Sill, Chief Financial Officer and Treasurer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lowerRoman"/>
      <w:start w:val="1"/>
    </w:lvl>
  </w:abstractNum>
  <w:abstractNum w:abstractNumId="8">
    <w:nsid w:val="6EB5BD4"/>
    <w:multiLevelType w:val="hybridMultilevel"/>
    <w:lvl w:ilvl="0">
      <w:lvlJc w:val="left"/>
      <w:lvlText w:val="(%1)"/>
      <w:numFmt w:val="lowerLetter"/>
      <w:start w:val="3"/>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lvl w:ilvl="1">
      <w:lvlJc w:val="left"/>
      <w:lvlText w:val="●"/>
      <w:numFmt w:val="bullet"/>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decimal"/>
      <w:start w:val="1"/>
    </w:lvl>
  </w:abstractNum>
  <w:abstractNum w:abstractNumId="16">
    <w:nsid w:val="3222E7CD"/>
    <w:multiLevelType w:val="hybridMultilevel"/>
    <w:lvl w:ilvl="0">
      <w:lvlJc w:val="left"/>
      <w:lvlText w:val="%1)"/>
      <w:numFmt w:val="decimal"/>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1)"/>
      <w:numFmt w:val="decimal"/>
      <w:start w:val="1"/>
    </w:lvl>
  </w:abstractNum>
  <w:abstractNum w:abstractNumId="23">
    <w:nsid w:val="57FC4FBB"/>
    <w:multiLevelType w:val="hybridMultilevel"/>
    <w:lvl w:ilvl="0">
      <w:lvlJc w:val="left"/>
      <w:lvlText w:val="%1)"/>
      <w:numFmt w:val="decimal"/>
      <w:start w:val="1"/>
    </w:lvl>
  </w:abstractNum>
  <w:abstractNum w:abstractNumId="24">
    <w:nsid w:val="CC1016F"/>
    <w:multiLevelType w:val="hybridMultilevel"/>
    <w:lvl w:ilvl="0">
      <w:lvlJc w:val="left"/>
      <w:lvlText w:val="%1)"/>
      <w:numFmt w:val="decimal"/>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1)"/>
      <w:numFmt w:val="decimal"/>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1)"/>
      <w:numFmt w:val="decimal"/>
      <w:start w:val="1"/>
    </w:lvl>
  </w:abstractNum>
  <w:abstractNum w:abstractNumId="30">
    <w:nsid w:val="7055A5F5"/>
    <w:multiLevelType w:val="hybridMultilevel"/>
    <w:lvl w:ilvl="0">
      <w:lvlJc w:val="left"/>
      <w:lvlText w:val="%1)"/>
      <w:numFmt w:val="decimal"/>
      <w:start w:val="2"/>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1)"/>
      <w:numFmt w:val="decimal"/>
      <w:start w:val="1"/>
    </w:lvl>
  </w:abstractNum>
  <w:abstractNum w:abstractNumId="35">
    <w:nsid w:val="6AA78F7F"/>
    <w:multiLevelType w:val="hybridMultilevel"/>
    <w:lvl w:ilvl="0">
      <w:lvlJc w:val="left"/>
      <w:lvlText w:val="%1)"/>
      <w:numFmt w:val="decimal"/>
      <w:start w:val="2"/>
    </w:lvl>
  </w:abstractNum>
  <w:abstractNum w:abstractNumId="36">
    <w:nsid w:val="7672BD23"/>
    <w:multiLevelType w:val="hybridMultilevel"/>
    <w:lvl w:ilvl="0">
      <w:lvlJc w:val="left"/>
      <w:lvlText w:val="%1)"/>
      <w:numFmt w:val="decimal"/>
      <w:start w:val="2"/>
    </w:lvl>
  </w:abstractNum>
  <w:abstractNum w:abstractNumId="37">
    <w:nsid w:val="6FC75AF8"/>
    <w:multiLevelType w:val="hybridMultilevel"/>
    <w:lvl w:ilvl="0">
      <w:lvlJc w:val="left"/>
      <w:lvlText w:val="%1)"/>
      <w:numFmt w:val="decimal"/>
      <w:start w:val="2"/>
    </w:lvl>
  </w:abstractNum>
  <w:abstractNum w:abstractNumId="38">
    <w:nsid w:val="6A5F7029"/>
    <w:multiLevelType w:val="hybridMultilevel"/>
    <w:lvl w:ilvl="0">
      <w:lvlJc w:val="left"/>
      <w:lvlText w:val="%1)"/>
      <w:numFmt w:val="decimal"/>
      <w:start w:val="2"/>
    </w:lvl>
  </w:abstractNum>
  <w:abstractNum w:abstractNumId="39">
    <w:nsid w:val="7D5E18F8"/>
    <w:multiLevelType w:val="hybridMultilevel"/>
    <w:lvl w:ilvl="0">
      <w:lvlJc w:val="left"/>
      <w:lvlText w:val="%1)"/>
      <w:numFmt w:val="decimal"/>
      <w:start w:val="2"/>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1)"/>
      <w:numFmt w:val="decimal"/>
      <w:start w:val="2"/>
    </w:lvl>
  </w:abstractNum>
  <w:abstractNum w:abstractNumId="43">
    <w:nsid w:val="555C55B5"/>
    <w:multiLevelType w:val="hybridMultilevel"/>
    <w:lvl w:ilvl="0">
      <w:lvlJc w:val="left"/>
      <w:lvlText w:val="%1)"/>
      <w:numFmt w:val="decimal"/>
      <w:start w:val="2"/>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1)"/>
      <w:numFmt w:val="decimal"/>
      <w:start w:val="2"/>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decimal"/>
      <w:start w:val="2"/>
    </w:lvl>
  </w:abstractNum>
  <w:abstractNum w:abstractNumId="48">
    <w:nsid w:val="9DAF632"/>
    <w:multiLevelType w:val="hybridMultilevel"/>
    <w:lvl w:ilvl="0">
      <w:lvlJc w:val="left"/>
      <w:lvlText w:val="(%1)"/>
      <w:numFmt w:val="decimal"/>
    </w:lvl>
    <w:lvl w:ilvl="1">
      <w:lvlJc w:val="left"/>
      <w:lvlText w:val="$"/>
      <w:numFmt w:val="bullet"/>
      <w:start w:val="1"/>
    </w:lvl>
  </w:abstractNum>
  <w:abstractNum w:abstractNumId="49">
    <w:nsid w:val="53299938"/>
    <w:multiLevelType w:val="hybridMultilevel"/>
    <w:lvl w:ilvl="0">
      <w:lvlJc w:val="left"/>
      <w:lvlText w:val="%1)"/>
      <w:numFmt w:val="decimal"/>
      <w:start w:val="2"/>
    </w:lvl>
  </w:abstractNum>
  <w:abstractNum w:abstractNumId="50">
    <w:nsid w:val="1FBFE8E0"/>
    <w:multiLevelType w:val="hybridMultilevel"/>
    <w:lvl w:ilvl="0">
      <w:lvlJc w:val="left"/>
      <w:lvlText w:val="(%1)"/>
      <w:numFmt w:val="decimal"/>
      <w:start w:val="1"/>
    </w:lvl>
  </w:abstractNum>
  <w:abstractNum w:abstractNumId="51">
    <w:nsid w:val="5092CA79"/>
    <w:multiLevelType w:val="hybridMultilevel"/>
    <w:lvl w:ilvl="0">
      <w:lvlJc w:val="left"/>
      <w:lvlText w:val="%1)"/>
      <w:numFmt w:val="decimal"/>
      <w:start w:val="2"/>
    </w:lvl>
  </w:abstractNum>
  <w:abstractNum w:abstractNumId="52">
    <w:nsid w:val="1D545C4D"/>
    <w:multiLevelType w:val="hybridMultilevel"/>
    <w:lvl w:ilvl="0">
      <w:lvlJc w:val="left"/>
      <w:lvlText w:val="%1)"/>
      <w:numFmt w:val="decimal"/>
      <w:start w:val="2"/>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decimal"/>
      <w:start w:val="2"/>
    </w:lvl>
  </w:abstractNum>
  <w:abstractNum w:abstractNumId="55">
    <w:nsid w:val="2A155DBC"/>
    <w:multiLevelType w:val="hybridMultilevel"/>
    <w:lvl w:ilvl="0">
      <w:lvlJc w:val="left"/>
      <w:lvlText w:val="(%1)"/>
      <w:numFmt w:val="decimal"/>
      <w:start w:val="1"/>
    </w:lvl>
  </w:abstractNum>
  <w:abstractNum w:abstractNumId="56">
    <w:nsid w:val="1D9F6E5F"/>
    <w:multiLevelType w:val="hybridMultilevel"/>
    <w:lvl w:ilvl="0">
      <w:lvlJc w:val="left"/>
      <w:lvlText w:val="%1)"/>
      <w:numFmt w:val="decimal"/>
      <w:start w:val="2"/>
    </w:lvl>
  </w:abstractNum>
  <w:abstractNum w:abstractNumId="57">
    <w:nsid w:val="97E1B4E"/>
    <w:multiLevelType w:val="hybridMultilevel"/>
    <w:lvl w:ilvl="0">
      <w:lvlJc w:val="left"/>
      <w:lvlText w:val="%1)"/>
      <w:numFmt w:val="decimal"/>
      <w:start w:val="2"/>
    </w:lvl>
  </w:abstractNum>
  <w:abstractNum w:abstractNumId="58">
    <w:nsid w:val="51088277"/>
    <w:multiLevelType w:val="hybridMultilevel"/>
    <w:lvl w:ilvl="0">
      <w:lvlJc w:val="left"/>
      <w:lvlText w:val="%1)"/>
      <w:numFmt w:val="decimal"/>
      <w:start w:val="2"/>
    </w:lvl>
  </w:abstractNum>
  <w:abstractNum w:abstractNumId="59">
    <w:nsid w:val="1CA0C5FA"/>
    <w:multiLevelType w:val="hybridMultilevel"/>
    <w:lvl w:ilvl="0">
      <w:lvlJc w:val="left"/>
      <w:lvlText w:val="%1)"/>
      <w:numFmt w:val="decimal"/>
      <w:start w:val="2"/>
    </w:lvl>
  </w:abstractNum>
  <w:abstractNum w:abstractNumId="60">
    <w:nsid w:val="53584BCB"/>
    <w:multiLevelType w:val="hybridMultilevel"/>
    <w:lvl w:ilvl="0">
      <w:lvlJc w:val="left"/>
      <w:lvlText w:val="%1)"/>
      <w:numFmt w:val="decimal"/>
      <w:start w:val="2"/>
    </w:lvl>
  </w:abstractNum>
  <w:abstractNum w:abstractNumId="61">
    <w:nsid w:val="415E286C"/>
    <w:multiLevelType w:val="hybridMultilevel"/>
    <w:lvl w:ilvl="0">
      <w:lvlJc w:val="left"/>
      <w:lvlText w:val="%1)"/>
      <w:numFmt w:val="decimal"/>
      <w:start w:val="3"/>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1)"/>
      <w:numFmt w:val="decimal"/>
      <w:start w:val="3"/>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1)"/>
      <w:numFmt w:val="decimal"/>
      <w:start w:val="5"/>
    </w:lvl>
  </w:abstractNum>
  <w:abstractNum w:abstractNumId="66">
    <w:nsid w:val="E7FFA2B"/>
    <w:multiLevelType w:val="hybridMultilevel"/>
    <w:lvl w:ilvl="0">
      <w:lvlJc w:val="left"/>
      <w:lvlText w:val="%1)"/>
      <w:numFmt w:val="decimal"/>
      <w:start w:val="5"/>
    </w:lvl>
  </w:abstractNum>
  <w:abstractNum w:abstractNumId="67">
    <w:nsid w:val="3C5991AA"/>
    <w:multiLevelType w:val="hybridMultilevel"/>
    <w:lvl w:ilvl="0">
      <w:lvlJc w:val="left"/>
      <w:lvlText w:val="%1)"/>
      <w:numFmt w:val="decimal"/>
      <w:start w:val="5"/>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1)"/>
      <w:numFmt w:val="decimal"/>
      <w:start w:val="7"/>
    </w:lvl>
  </w:abstractNum>
  <w:abstractNum w:abstractNumId="70">
    <w:nsid w:val="39B7AAA2"/>
    <w:multiLevelType w:val="hybridMultilevel"/>
    <w:lvl w:ilvl="0">
      <w:lvlJc w:val="left"/>
      <w:lvlText w:val="%1)"/>
      <w:numFmt w:val="decimal"/>
      <w:start w:val="7"/>
    </w:lvl>
  </w:abstractNum>
  <w:abstractNum w:abstractNumId="71">
    <w:nsid w:val="2B0D8DBE"/>
    <w:multiLevelType w:val="hybridMultilevel"/>
    <w:lvl w:ilvl="0">
      <w:lvlJc w:val="left"/>
      <w:lvlText w:val="%1)"/>
      <w:numFmt w:val="decimal"/>
      <w:start w:val="7"/>
    </w:lvl>
  </w:abstractNum>
  <w:abstractNum w:abstractNumId="72">
    <w:nsid w:val="6C80EC70"/>
    <w:multiLevelType w:val="hybridMultilevel"/>
    <w:lvl w:ilvl="0">
      <w:lvlJc w:val="left"/>
      <w:lvlText w:val="%1)"/>
      <w:numFmt w:val="decimal"/>
      <w:start w:val="8"/>
    </w:lvl>
  </w:abstractNum>
  <w:abstractNum w:abstractNumId="73">
    <w:nsid w:val="379E21B5"/>
    <w:multiLevelType w:val="hybridMultilevel"/>
    <w:lvl w:ilvl="0">
      <w:lvlJc w:val="left"/>
      <w:lvlText w:val="%1)"/>
      <w:numFmt w:val="decimal"/>
      <w:start w:val="8"/>
    </w:lvl>
  </w:abstractNum>
  <w:abstractNum w:abstractNumId="74">
    <w:nsid w:val="69E373"/>
    <w:multiLevelType w:val="hybridMultilevel"/>
    <w:lvl w:ilvl="0">
      <w:lvlJc w:val="left"/>
      <w:lvlText w:val="%1)"/>
      <w:numFmt w:val="decimal"/>
      <w:start w:val="8"/>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1)"/>
      <w:numFmt w:val="decimal"/>
      <w:start w:val="8"/>
    </w:lvl>
  </w:abstractNum>
  <w:abstractNum w:abstractNumId="77">
    <w:nsid w:val="6AA7B75C"/>
    <w:multiLevelType w:val="hybridMultilevel"/>
    <w:lvl w:ilvl="0">
      <w:lvlJc w:val="left"/>
      <w:lvlText w:val="%1)"/>
      <w:numFmt w:val="decimal"/>
      <w:start w:val="8"/>
    </w:lvl>
  </w:abstractNum>
  <w:abstractNum w:abstractNumId="78">
    <w:nsid w:val="1DF029D3"/>
    <w:multiLevelType w:val="hybridMultilevel"/>
    <w:lvl w:ilvl="0">
      <w:lvlJc w:val="left"/>
      <w:lvlText w:val="%1)"/>
      <w:numFmt w:val="decimal"/>
      <w:start w:val="10"/>
    </w:lvl>
  </w:abstractNum>
  <w:abstractNum w:abstractNumId="79">
    <w:nsid w:val="5675FF36"/>
    <w:multiLevelType w:val="hybridMultilevel"/>
    <w:lvl w:ilvl="0">
      <w:lvlJc w:val="left"/>
      <w:lvlText w:val="%1)"/>
      <w:numFmt w:val="decimal"/>
      <w:start w:val="12"/>
    </w:lvl>
  </w:abstractNum>
  <w:abstractNum w:abstractNumId="80">
    <w:nsid w:val="3DD15094"/>
    <w:multiLevelType w:val="hybridMultilevel"/>
    <w:lvl w:ilvl="0">
      <w:lvlJc w:val="left"/>
      <w:lvlText w:val="%1)"/>
      <w:numFmt w:val="decimal"/>
      <w:start w:val="12"/>
    </w:lvl>
  </w:abstractNum>
  <w:abstractNum w:abstractNumId="81">
    <w:nsid w:val="3DB012B3"/>
    <w:multiLevelType w:val="hybridMultilevel"/>
    <w:lvl w:ilvl="0">
      <w:lvlJc w:val="left"/>
      <w:lvlText w:val="%1)"/>
      <w:numFmt w:val="decimal"/>
      <w:start w:val="13"/>
    </w:lvl>
  </w:abstractNum>
  <w:abstractNum w:abstractNumId="82">
    <w:nsid w:val="2708C9AF"/>
    <w:multiLevelType w:val="hybridMultilevel"/>
    <w:lvl w:ilvl="0">
      <w:lvlJc w:val="left"/>
      <w:lvlText w:val="%1)"/>
      <w:numFmt w:val="decimal"/>
      <w:start w:val="13"/>
    </w:lvl>
  </w:abstractNum>
  <w:abstractNum w:abstractNumId="83">
    <w:nsid w:val="5B25ACE2"/>
    <w:multiLevelType w:val="hybridMultilevel"/>
    <w:lvl w:ilvl="0">
      <w:lvlJc w:val="left"/>
      <w:lvlText w:val="%1)"/>
      <w:numFmt w:val="decimal"/>
      <w:start w:val="13"/>
    </w:lvl>
  </w:abstractNum>
  <w:abstractNum w:abstractNumId="84">
    <w:nsid w:val="175DFCF0"/>
    <w:multiLevelType w:val="hybridMultilevel"/>
    <w:lvl w:ilvl="0">
      <w:lvlJc w:val="left"/>
      <w:lvlText w:val="%1)"/>
      <w:numFmt w:val="decimal"/>
      <w:start w:val="14"/>
    </w:lvl>
  </w:abstractNum>
  <w:abstractNum w:abstractNumId="85">
    <w:nsid w:val="4F97E3E4"/>
    <w:multiLevelType w:val="hybridMultilevel"/>
    <w:lvl w:ilvl="0">
      <w:lvlJc w:val="left"/>
      <w:lvlText w:val="%1)"/>
      <w:numFmt w:val="decimal"/>
      <w:start w:val="14"/>
    </w:lvl>
  </w:abstractNum>
  <w:abstractNum w:abstractNumId="86">
    <w:nsid w:val="53B0A9E"/>
    <w:multiLevelType w:val="hybridMultilevel"/>
    <w:lvl w:ilvl="0">
      <w:lvlJc w:val="left"/>
      <w:lvlText w:val="%1)"/>
      <w:numFmt w:val="decimal"/>
      <w:start w:val="15"/>
    </w:lvl>
  </w:abstractNum>
  <w:abstractNum w:abstractNumId="87">
    <w:nsid w:val="34FD6B4F"/>
    <w:multiLevelType w:val="hybridMultilevel"/>
    <w:lvl w:ilvl="0">
      <w:lvlJc w:val="left"/>
      <w:lvlText w:val="%1)"/>
      <w:numFmt w:val="decimal"/>
      <w:start w:val="16"/>
    </w:lvl>
  </w:abstractNum>
  <w:abstractNum w:abstractNumId="88">
    <w:nsid w:val="5915FF32"/>
    <w:multiLevelType w:val="hybridMultilevel"/>
    <w:lvl w:ilvl="0">
      <w:lvlJc w:val="left"/>
      <w:lvlText w:val="%1)"/>
      <w:numFmt w:val="decimal"/>
      <w:start w:val="17"/>
    </w:lvl>
  </w:abstractNum>
  <w:abstractNum w:abstractNumId="89">
    <w:nsid w:val="56438D15"/>
    <w:multiLevelType w:val="hybridMultilevel"/>
    <w:lvl w:ilvl="0">
      <w:lvlJc w:val="left"/>
      <w:lvlText w:val="%1)"/>
      <w:numFmt w:val="lowerLetter"/>
      <w:start w:val="1"/>
    </w:lvl>
  </w:abstractNum>
  <w:abstractNum w:abstractNumId="90">
    <w:nsid w:val="519E3149"/>
    <w:multiLevelType w:val="hybridMultilevel"/>
    <w:lvl w:ilvl="0">
      <w:lvlJc w:val="left"/>
      <w:lvlText w:val="%1)"/>
      <w:numFmt w:val="decimal"/>
      <w:start w:val="17"/>
    </w:lvl>
  </w:abstractNum>
  <w:abstractNum w:abstractNumId="91">
    <w:nsid w:val="2C6E4AFD"/>
    <w:multiLevelType w:val="hybridMultilevel"/>
    <w:lvl w:ilvl="0">
      <w:lvlJc w:val="left"/>
      <w:lvlText w:val="%1)"/>
      <w:numFmt w:val="decimal"/>
      <w:start w:val="17"/>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1)"/>
      <w:numFmt w:val="decimal"/>
      <w:start w:val="17"/>
    </w:lvl>
  </w:abstractNum>
  <w:abstractNum w:abstractNumId="94">
    <w:nsid w:val="5046B5A9"/>
    <w:multiLevelType w:val="hybridMultilevel"/>
    <w:lvl w:ilvl="0">
      <w:lvlJc w:val="left"/>
      <w:lvlText w:val="(%1)"/>
      <w:numFmt w:val="decimal"/>
      <w:start w:val="1"/>
    </w:lvl>
  </w:abstractNum>
  <w:abstractNum w:abstractNumId="95">
    <w:nsid w:val="5D888A08"/>
    <w:multiLevelType w:val="hybridMultilevel"/>
    <w:lvl w:ilvl="0">
      <w:lvlJc w:val="left"/>
      <w:lvlText w:val="%1)"/>
      <w:numFmt w:val="decimal"/>
      <w:start w:val="17"/>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17"/>
    </w:lvl>
  </w:abstractNum>
  <w:abstractNum w:abstractNumId="99">
    <w:nsid w:val="75E0858A"/>
    <w:multiLevelType w:val="hybridMultilevel"/>
    <w:lvl w:ilvl="0">
      <w:lvlJc w:val="left"/>
      <w:lvlText w:val="%1)"/>
      <w:numFmt w:val="decimal"/>
      <w:start w:val="17"/>
    </w:lvl>
  </w:abstractNum>
  <w:abstractNum w:abstractNumId="100">
    <w:nsid w:val="57A61A29"/>
    <w:multiLevelType w:val="hybridMultilevel"/>
    <w:lvl w:ilvl="0">
      <w:lvlJc w:val="left"/>
      <w:lvlText w:val="(%1)"/>
      <w:numFmt w:val="decimal"/>
      <w:start w:val="1"/>
    </w:lvl>
  </w:abstractNum>
  <w:abstractNum w:abstractNumId="101">
    <w:nsid w:val="5399C654"/>
    <w:multiLevelType w:val="hybridMultilevel"/>
    <w:lvl w:ilvl="0">
      <w:lvlJc w:val="left"/>
      <w:lvlText w:val="%1)"/>
      <w:numFmt w:val="decimal"/>
      <w:start w:val="17"/>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17"/>
    </w:lvl>
  </w:abstractNum>
  <w:abstractNum w:abstractNumId="104">
    <w:nsid w:val="B37E80A"/>
    <w:multiLevelType w:val="hybridMultilevel"/>
    <w:lvl w:ilvl="0">
      <w:lvlJc w:val="left"/>
      <w:lvlText w:val="%1)"/>
      <w:numFmt w:val="decimal"/>
      <w:start w:val="18"/>
    </w:lvl>
  </w:abstractNum>
  <w:abstractNum w:abstractNumId="105">
    <w:nsid w:val="2157F6BC"/>
    <w:multiLevelType w:val="hybridMultilevel"/>
    <w:lvl w:ilvl="0">
      <w:lvlJc w:val="left"/>
      <w:lvlText w:val="%1)"/>
      <w:numFmt w:val="decimal"/>
      <w:start w:val="18"/>
    </w:lvl>
  </w:abstractNum>
  <w:abstractNum w:abstractNumId="106">
    <w:nsid w:val="704E1DD5"/>
    <w:multiLevelType w:val="hybridMultilevel"/>
    <w:lvl w:ilvl="0">
      <w:lvlJc w:val="left"/>
      <w:lvlText w:val="%1)"/>
      <w:numFmt w:val="decimal"/>
      <w:start w:val="19"/>
    </w:lvl>
  </w:abstractNum>
  <w:abstractNum w:abstractNumId="107">
    <w:nsid w:val="57D2F10E"/>
    <w:multiLevelType w:val="hybridMultilevel"/>
    <w:lvl w:ilvl="0">
      <w:lvlJc w:val="left"/>
      <w:lvlText w:val="%1)"/>
      <w:numFmt w:val="decimal"/>
      <w:start w:val="20"/>
    </w:lvl>
  </w:abstractNum>
  <w:abstractNum w:abstractNumId="108">
    <w:nsid w:val="BFFAE18"/>
    <w:multiLevelType w:val="hybridMultilevel"/>
    <w:lvl w:ilvl="0">
      <w:lvlJc w:val="left"/>
      <w:lvlText w:val="%1)"/>
      <w:numFmt w:val="decimal"/>
      <w:start w:val="20"/>
    </w:lvl>
  </w:abstractNum>
  <w:abstractNum w:abstractNumId="109">
    <w:nsid w:val="E3E47A8"/>
    <w:multiLevelType w:val="hybridMultilevel"/>
    <w:lvl w:ilvl="0">
      <w:lvlJc w:val="left"/>
      <w:lvlText w:val="%1)"/>
      <w:numFmt w:val="decimal"/>
      <w:start w:val="21"/>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22"/>
    </w:lvl>
  </w:abstractNum>
  <w:abstractNum w:abstractNumId="112">
    <w:nsid w:val="4BEE5A5B"/>
    <w:multiLevelType w:val="hybridMultilevel"/>
    <w:lvl w:ilvl="0">
      <w:lvlJc w:val="left"/>
      <w:lvlText w:val="%1)"/>
      <w:numFmt w:val="decimal"/>
      <w:start w:val="22"/>
    </w:lvl>
  </w:abstractNum>
  <w:abstractNum w:abstractNumId="113">
    <w:nsid w:val="5551B9F3"/>
    <w:multiLevelType w:val="hybridMultilevel"/>
    <w:lvl w:ilvl="0">
      <w:lvlJc w:val="left"/>
      <w:lvlText w:val="%1)"/>
      <w:numFmt w:val="decimal"/>
      <w:start w:val="22"/>
    </w:lvl>
  </w:abstractNum>
  <w:abstractNum w:abstractNumId="114">
    <w:nsid w:val="24F6AB8E"/>
    <w:multiLevelType w:val="hybridMultilevel"/>
    <w:lvl w:ilvl="0">
      <w:lvlJc w:val="left"/>
      <w:lvlText w:val="%1)"/>
      <w:numFmt w:val="decimal"/>
      <w:start w:val="22"/>
    </w:lvl>
  </w:abstractNum>
  <w:abstractNum w:abstractNumId="115">
    <w:nsid w:val="634C574C"/>
    <w:multiLevelType w:val="hybridMultilevel"/>
    <w:lvl w:ilvl="0">
      <w:lvlJc w:val="left"/>
      <w:lvlText w:val="%1)"/>
      <w:numFmt w:val="decimal"/>
      <w:start w:val="22"/>
    </w:lvl>
  </w:abstractNum>
  <w:abstractNum w:abstractNumId="116">
    <w:nsid w:val="24E99DD7"/>
    <w:multiLevelType w:val="hybridMultilevel"/>
    <w:lvl w:ilvl="0">
      <w:lvlJc w:val="left"/>
      <w:lvlText w:val="%1)"/>
      <w:numFmt w:val="decimal"/>
      <w:start w:val="23"/>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1"/>
      <w:numFmt w:val="decimal"/>
      <w:start w:val="14"/>
    </w:lvl>
  </w:abstractNum>
  <w:abstractNum w:abstractNumId="120">
    <w:nsid w:val="754342"/>
    <w:multiLevelType w:val="hybridMultilevel"/>
    <w:lvl w:ilvl="0">
      <w:lvlJc w:val="left"/>
      <w:lvlText w:val="%1"/>
      <w:numFmt w:val="decimal"/>
      <w:start w:val="19"/>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lowerRoman"/>
      <w:start w:val="15"/>
    </w:lvl>
  </w:abstractNum>
  <w:abstractNum w:abstractNumId="124">
    <w:nsid w:val="37DF2233"/>
    <w:multiLevelType w:val="hybridMultilevel"/>
    <w:lvl w:ilvl="0">
      <w:lvlJc w:val="left"/>
      <w:lvlText w:val="%1."/>
      <w:numFmt w:val="decimal"/>
      <w:start w:val="3"/>
    </w:lvl>
    <w:lvl w:ilvl="1">
      <w:lvlJc w:val="left"/>
      <w:lvlText w:val="(%2)"/>
      <w:numFmt w:val="lowerLetter"/>
      <w:start w:val="1"/>
    </w:lvl>
  </w:abstractNum>
  <w:abstractNum w:abstractNumId="125">
    <w:nsid w:val="7AB49DAF"/>
    <w:multiLevelType w:val="hybridMultilevel"/>
    <w:lvl w:ilvl="0">
      <w:lvlJc w:val="left"/>
      <w:lvlText w:val="(%1)"/>
      <w:numFmt w:val="lowerLetter"/>
      <w:start w:val="4"/>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2"/>
    </w:lvl>
  </w:abstractNum>
  <w:abstractNum w:abstractNumId="128">
    <w:nsid w:val="597B4D84"/>
    <w:multiLevelType w:val="hybridMultilevel"/>
    <w:lvl w:ilvl="0">
      <w:lvlJc w:val="left"/>
      <w:lvlText w:val="%1"/>
      <w:numFmt w:val="decimal"/>
      <w:start w:val="1"/>
    </w:lvl>
    <w:lvl w:ilvl="1">
      <w:lvlJc w:val="left"/>
      <w:lvlText w:val="(%2)"/>
      <w:numFmt w:val="lowerLetter"/>
      <w:start w:val="5"/>
    </w:lvl>
  </w:abstractNum>
  <w:abstractNum w:abstractNumId="129">
    <w:nsid w:val="F819E7F"/>
    <w:multiLevelType w:val="hybridMultilevel"/>
    <w:lvl w:ilvl="0">
      <w:lvlJc w:val="left"/>
      <w:lvlText w:val="%1."/>
      <w:numFmt w:val="decimal"/>
      <w:start w:val="5"/>
    </w:lvl>
    <w:lvl w:ilvl="1">
      <w:lvlJc w:val="left"/>
      <w:lvlText w:val="%2"/>
      <w:numFmt w:val="lowerLetter"/>
      <w:start w:val="1"/>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1"/>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4"/>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1"/>
    </w:lvl>
  </w:abstractNum>
  <w:abstractNum w:abstractNumId="140">
    <w:nsid w:val="73D4D3C4"/>
    <w:multiLevelType w:val="hybridMultilevel"/>
    <w:lvl w:ilvl="0">
      <w:lvlJc w:val="left"/>
      <w:lvlText w:val="%1."/>
      <w:numFmt w:val="upperLetter"/>
      <w:start w:val="1"/>
    </w:lvl>
  </w:abstractNum>
  <w:abstractNum w:abstractNumId="141">
    <w:nsid w:val="746F2E30"/>
    <w:multiLevelType w:val="hybridMultilevel"/>
    <w:lvl w:ilvl="0">
      <w:lvlJc w:val="left"/>
      <w:lvlText w:val="%1."/>
      <w:numFmt w:val="upperLetter"/>
      <w:start w:val="2"/>
    </w:lvl>
    <w:lvl w:ilvl="1">
      <w:lvlJc w:val="left"/>
      <w:lvlText w:val="%2."/>
      <w:numFmt w:val="decimal"/>
      <w:start w:val="1"/>
    </w:lvl>
  </w:abstractNum>
  <w:abstractNum w:abstractNumId="142">
    <w:nsid w:val="6FDE8AF6"/>
    <w:multiLevelType w:val="hybridMultilevel"/>
    <w:lvl w:ilvl="0">
      <w:lvlJc w:val="left"/>
      <w:lvlText w:val="%1."/>
      <w:numFmt w:val="decimal"/>
      <w:start w:val="2"/>
    </w:lvl>
  </w:abstractNum>
  <w:abstractNum w:abstractNumId="143">
    <w:nsid w:val="3FC32E20"/>
    <w:multiLevelType w:val="hybridMultilevel"/>
    <w:lvl w:ilvl="0">
      <w:lvlJc w:val="left"/>
      <w:lvlText w:val="%1."/>
      <w:numFmt w:val="decimal"/>
      <w:start w:val="5"/>
    </w:lvl>
  </w:abstractNum>
  <w:abstractNum w:abstractNumId="144">
    <w:nsid w:val="49C0E823"/>
    <w:multiLevelType w:val="hybridMultilevel"/>
    <w:lvl w:ilvl="0">
      <w:lvlJc w:val="left"/>
      <w:lvlText w:val="%1."/>
      <w:numFmt w:val="upperLetter"/>
      <w:start w:val="3"/>
    </w:lvl>
    <w:lvl w:ilvl="1">
      <w:lvlJc w:val="left"/>
      <w:lvlText w:val="(%2)"/>
      <w:numFmt w:val="lowerRoman"/>
      <w:start w:val="1"/>
    </w:lvl>
  </w:abstractNum>
  <w:abstractNum w:abstractNumId="145">
    <w:nsid w:val="14D53685"/>
    <w:multiLevelType w:val="hybridMultilevel"/>
    <w:lvl w:ilvl="0">
      <w:lvlJc w:val="left"/>
      <w:lvlText w:val="%1."/>
      <w:numFmt w:val="upperLetter"/>
      <w:start w:val="4"/>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upperLetter"/>
      <w:start w:val="5"/>
    </w:lvl>
  </w:abstractNum>
  <w:abstractNum w:abstractNumId="148">
    <w:nsid w:val="3F06ECB2"/>
    <w:multiLevelType w:val="hybridMultilevel"/>
    <w:lvl w:ilvl="0">
      <w:lvlJc w:val="left"/>
      <w:lvlText w:val="%1."/>
      <w:numFmt w:val="upperLetter"/>
      <w:start w:val="6"/>
    </w:lvl>
    <w:lvl w:ilvl="1">
      <w:lvlJc w:val="left"/>
      <w:lvlText w:val="%2."/>
      <w:numFmt w:val="decimal"/>
      <w:start w:val="1"/>
    </w:lvl>
  </w:abstractNum>
  <w:abstractNum w:abstractNumId="149">
    <w:nsid w:val="3B594807"/>
    <w:multiLevelType w:val="hybridMultilevel"/>
    <w:lvl w:ilvl="0">
      <w:lvlJc w:val="left"/>
      <w:lvlText w:val="%1"/>
      <w:numFmt w:val="upperLetter"/>
      <w:start w:val="1"/>
    </w:lvl>
    <w:lvl w:ilvl="1">
      <w:lvlJc w:val="left"/>
      <w:lvlText w:val="%2."/>
      <w:numFmt w:val="decimal"/>
      <w:start w:val="3"/>
    </w:lvl>
  </w:abstractNum>
  <w:abstractNum w:abstractNumId="150">
    <w:nsid w:val="6CAA2304"/>
    <w:multiLevelType w:val="hybridMultilevel"/>
    <w:lvl w:ilvl="0">
      <w:lvlJc w:val="left"/>
      <w:lvlText w:val="%1."/>
      <w:numFmt w:val="upperLetter"/>
      <w:start w:val="7"/>
    </w:lvl>
    <w:lvl w:ilvl="1">
      <w:lvlJc w:val="left"/>
      <w:lvlText w:val="%2"/>
      <w:numFmt w:val="decimal"/>
      <w:start w:val="1"/>
    </w:lvl>
  </w:abstractNum>
  <w:abstractNum w:abstractNumId="151">
    <w:nsid w:val="3F7C2FF4"/>
    <w:multiLevelType w:val="hybridMultilevel"/>
    <w:lvl w:ilvl="0">
      <w:lvlJc w:val="left"/>
      <w:lvlText w:val="%1."/>
      <w:numFmt w:val="upperLetter"/>
      <w:start w:val="9"/>
    </w:lvl>
  </w:abstractNum>
  <w:abstractNum w:abstractNumId="152">
    <w:nsid w:val="25413BEC"/>
    <w:multiLevelType w:val="hybridMultilevel"/>
    <w:lvl w:ilvl="0">
      <w:lvlJc w:val="left"/>
      <w:lvlText w:val="%1."/>
      <w:numFmt w:val="upperLetter"/>
      <w:start w:val="35"/>
    </w:lvl>
  </w:abstractNum>
  <w:abstractNum w:abstractNumId="153">
    <w:nsid w:val="17180B0B"/>
    <w:multiLevelType w:val="hybridMultilevel"/>
    <w:lvl w:ilvl="0">
      <w:lvlJc w:val="left"/>
      <w:lvlText w:val="%1."/>
      <w:numFmt w:val="upperLetter"/>
      <w:start w:val="6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1."/>
      <w:numFmt w:val="upperLetter"/>
      <w:start w:val="21"/>
    </w:lvl>
    <w:lvl w:ilvl="1">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190" Type="http://schemas.openxmlformats.org/officeDocument/2006/relationships/hyperlink" Target="https://www.sec.gov/Archives/edgar/data/318673/000109690617000214/exh3_1.pdf" TargetMode="External"/><Relationship Id="rId191" Type="http://schemas.openxmlformats.org/officeDocument/2006/relationships/hyperlink" Target="https://www.sec.gov/Archives/edgar/data/318673/000109690619000199/exh3_2.htm" TargetMode="External"/><Relationship Id="rId192" Type="http://schemas.openxmlformats.org/officeDocument/2006/relationships/hyperlink" Target="https://www.sec.gov/Archives/edgar/data/318673/000109690616001835/exh10_4.htm" TargetMode="External"/><Relationship Id="rId193" Type="http://schemas.openxmlformats.org/officeDocument/2006/relationships/hyperlink" Target="https://www.sec.gov/Archives/edgar/data/318673/000144586620001192/snfca_ex10z3.htm" TargetMode="External"/><Relationship Id="rId194" Type="http://schemas.openxmlformats.org/officeDocument/2006/relationships/hyperlink" Target="https://www.sec.gov/Archives/edgar/data/318673/000109690615001153/exh108.htm" TargetMode="External"/><Relationship Id="rId195" Type="http://schemas.openxmlformats.org/officeDocument/2006/relationships/hyperlink" Target="https://www.sec.gov/Archives/edgar/data/318673/000109690618000639/exh10_9.htm" TargetMode="External"/><Relationship Id="rId196"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2024-03-29T10:57:53Z</dcterms:created>
  <dcterms:modified xsi:type="dcterms:W3CDTF">2024-03-29T10:57:53Z</dcterms:modified>
</cp:coreProperties>
</file>