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 xml:space="preserve">FORM </w:t>
      </w:r>
      <w:r>
        <w:rPr>
          <w:rFonts w:ascii="Arial" w:cs="Arial" w:eastAsia="Arial" w:hAnsi="Arial"/>
          <w:sz w:val="32"/>
          <w:szCs w:val="32"/>
          <w:color w:val="auto"/>
        </w:rPr>
        <w:t>10-Q</w:t>
      </w:r>
    </w:p>
    <w:p>
      <w:pPr>
        <w:spacing w:after="0" w:line="235" w:lineRule="exact"/>
        <w:rPr>
          <w:sz w:val="24"/>
          <w:szCs w:val="24"/>
          <w:color w:val="auto"/>
        </w:rPr>
      </w:pPr>
    </w:p>
    <w:p>
      <w:pPr>
        <w:ind w:right="1880" w:firstLine="8"/>
        <w:spacing w:after="0" w:line="261" w:lineRule="auto"/>
        <w:tabs>
          <w:tab w:leader="none" w:pos="2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right="1860" w:firstLine="8"/>
        <w:spacing w:after="0" w:line="282" w:lineRule="auto"/>
        <w:tabs>
          <w:tab w:leader="none" w:pos="2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 to ________</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Number:000-09341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SECURITY NATIONAL FINANCIAL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UTAH</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3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433 West Ascension Way, Salt Lake City, Utah</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87-0345941</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3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84123</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8"/>
          <w:szCs w:val="18"/>
          <w:i w:val="1"/>
          <w:iCs w:val="1"/>
          <w:color w:val="auto"/>
        </w:rPr>
        <w:t>(Zip Code)</w:t>
      </w:r>
    </w:p>
    <w:p>
      <w:pPr>
        <w:spacing w:after="0" w:line="200" w:lineRule="exact"/>
        <w:rPr>
          <w:sz w:val="24"/>
          <w:szCs w:val="24"/>
          <w:color w:val="auto"/>
        </w:rPr>
      </w:pPr>
    </w:p>
    <w:p>
      <w:pPr>
        <w:sectPr>
          <w:pgSz w:w="11900" w:h="16838" w:orient="portrait"/>
          <w:cols w:equalWidth="0" w:num="2">
            <w:col w:w="6480" w:space="720"/>
            <w:col w:w="4040"/>
          </w:cols>
          <w:pgMar w:left="320" w:top="74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264-1060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746" w:right="339" w:bottom="1440" w:gutter="0" w:footer="0" w:header="0"/>
          <w:type w:val="continuous"/>
        </w:sectPr>
      </w:pPr>
    </w:p>
    <w:p>
      <w:pPr>
        <w:spacing w:after="0" w:line="24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Class A Common Stock</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SNFCA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860" w:space="720"/>
            <w:col w:w="2140" w:space="720"/>
            <w:col w:w="3800"/>
          </w:cols>
          <w:pgMar w:left="320" w:top="746" w:right="339" w:bottom="1440" w:gutter="0" w:footer="0" w:header="0"/>
          <w:type w:val="continuous"/>
        </w:sectPr>
      </w:pPr>
    </w:p>
    <w:p>
      <w:pPr>
        <w:spacing w:after="0" w:line="11" w:lineRule="exact"/>
        <w:rPr>
          <w:sz w:val="24"/>
          <w:szCs w:val="24"/>
          <w:color w:val="auto"/>
        </w:rPr>
      </w:pPr>
    </w:p>
    <w:p>
      <w:pPr>
        <w:jc w:val="both"/>
        <w:ind w:firstLine="405"/>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405"/>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5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00" w:space="720"/>
            <w:col w:w="4220"/>
          </w:cols>
          <w:pgMar w:left="320" w:top="746" w:right="339" w:bottom="1440" w:gutter="0" w:footer="0" w:header="0"/>
          <w:type w:val="continuous"/>
        </w:sectPr>
      </w:pPr>
    </w:p>
    <w:p>
      <w:pPr>
        <w:spacing w:after="0" w:line="32" w:lineRule="exact"/>
        <w:rPr>
          <w:sz w:val="24"/>
          <w:szCs w:val="24"/>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4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20" w:firstLine="405"/>
        <w:spacing w:after="0" w:line="277" w:lineRule="auto"/>
        <w:rPr>
          <w:sz w:val="20"/>
          <w:szCs w:val="20"/>
          <w:color w:val="auto"/>
        </w:rPr>
      </w:pPr>
      <w:r>
        <w:rPr>
          <w:rFonts w:ascii="Arial" w:cs="Arial" w:eastAsia="Arial" w:hAnsi="Arial"/>
          <w:sz w:val="18"/>
          <w:szCs w:val="18"/>
          <w:color w:val="auto"/>
        </w:rPr>
        <w:t>As of November 1, 2021, the registrant had 17,596,665 shares of Class A Common Stock, $2.00 par value, outstanding and 2,761,909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14"/>
          </w:tcPr>
          <w:p>
            <w:pPr>
              <w:jc w:val="center"/>
              <w:ind w:right="2340"/>
              <w:spacing w:after="0"/>
              <w:rPr>
                <w:sz w:val="20"/>
                <w:szCs w:val="20"/>
                <w:color w:val="auto"/>
              </w:rPr>
            </w:pPr>
            <w:r>
              <w:rPr>
                <w:rFonts w:ascii="Arial" w:cs="Arial" w:eastAsia="Arial" w:hAnsi="Arial"/>
                <w:sz w:val="18"/>
                <w:szCs w:val="18"/>
                <w:b w:val="1"/>
                <w:bCs w:val="1"/>
                <w:color w:val="auto"/>
                <w:w w:val="97"/>
              </w:rPr>
              <w:t>QUARTER ENDED SEPTEMBER 30, 2021</w:t>
            </w:r>
          </w:p>
        </w:tc>
        <w:tc>
          <w:tcPr>
            <w:tcW w:w="7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12"/>
          </w:tcPr>
          <w:p>
            <w:pPr>
              <w:jc w:val="center"/>
              <w:ind w:right="3800"/>
              <w:spacing w:after="0"/>
              <w:rPr>
                <w:sz w:val="20"/>
                <w:szCs w:val="20"/>
                <w:color w:val="auto"/>
              </w:rPr>
            </w:pPr>
            <w:r>
              <w:rPr>
                <w:rFonts w:ascii="Arial" w:cs="Arial" w:eastAsia="Arial" w:hAnsi="Arial"/>
                <w:sz w:val="18"/>
                <w:szCs w:val="18"/>
                <w:b w:val="1"/>
                <w:bCs w:val="1"/>
                <w:color w:val="auto"/>
                <w:w w:val="89"/>
              </w:rPr>
              <w:t>Table of Contents</w:t>
            </w:r>
          </w:p>
        </w:tc>
        <w:tc>
          <w:tcPr>
            <w:tcW w:w="760" w:type="dxa"/>
            <w:vAlign w:val="bottom"/>
          </w:tcPr>
          <w:p>
            <w:pPr>
              <w:spacing w:after="0"/>
              <w:rPr>
                <w:sz w:val="24"/>
                <w:szCs w:val="24"/>
                <w:color w:val="auto"/>
              </w:rPr>
            </w:pPr>
          </w:p>
        </w:tc>
      </w:tr>
      <w:tr>
        <w:trPr>
          <w:trHeight w:val="445"/>
        </w:trPr>
        <w:tc>
          <w:tcPr>
            <w:tcW w:w="7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Page No.</w:t>
            </w:r>
          </w:p>
        </w:tc>
      </w:tr>
      <w:tr>
        <w:trPr>
          <w:trHeight w:val="190"/>
        </w:trPr>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6"/>
            <w:shd w:val="clear" w:color="auto" w:fill="CCEEFF"/>
          </w:tcPr>
          <w:p>
            <w:pPr>
              <w:jc w:val="center"/>
              <w:spacing w:after="0" w:line="169" w:lineRule="exact"/>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 Financial Information</w:t>
              </w:r>
            </w:hyperlink>
          </w:p>
        </w:tc>
        <w:tc>
          <w:tcPr>
            <w:tcW w:w="3700" w:type="dxa"/>
            <w:vAlign w:val="bottom"/>
            <w:tcBorders>
              <w:bottom w:val="single" w:sz="8" w:color="CCEEFF"/>
            </w:tcBorders>
            <w:gridSpan w:val="7"/>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0" w:type="dxa"/>
            <w:vAlign w:val="bottom"/>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70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2021 (unaudited) and December 31, 2020</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3 - 4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700" w:type="dxa"/>
            <w:vAlign w:val="bottom"/>
            <w:gridSpan w:val="23"/>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Earnings for the three and nine months ended September 30, 2021 and 2020 (unaudited)</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for the three and nine months ended September 30, 2021 and 2020</w:t>
              </w:r>
            </w:hyperlink>
          </w:p>
        </w:tc>
        <w:tc>
          <w:tcPr>
            <w:tcW w:w="2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700" w:type="dxa"/>
            <w:vAlign w:val="bottom"/>
            <w:gridSpan w:val="23"/>
          </w:tcPr>
          <w:p>
            <w:pPr>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Stockholders’ Equity as of September 30, 2021 and September 30, 2020 (unaudited)</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2"/>
              </w:rPr>
              <w:t>7-8</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7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Condensed Consolidated Statements of Cash Flows for the nine months ended September 30, 2021 and 2020 (unaudited)</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9-10</w:t>
            </w:r>
          </w:p>
        </w:tc>
      </w:tr>
      <w:tr>
        <w:trPr>
          <w:trHeight w:val="176"/>
        </w:trPr>
        <w:tc>
          <w:tcPr>
            <w:tcW w:w="780" w:type="dxa"/>
            <w:vAlign w:val="bottom"/>
            <w:tcBorders>
              <w:top w:val="single" w:sz="8" w:color="CCEEFF"/>
            </w:tcBorders>
          </w:tcPr>
          <w:p>
            <w:pPr>
              <w:spacing w:after="0"/>
              <w:rPr>
                <w:sz w:val="15"/>
                <w:szCs w:val="15"/>
                <w:color w:val="auto"/>
              </w:rPr>
            </w:pPr>
          </w:p>
        </w:tc>
        <w:tc>
          <w:tcPr>
            <w:tcW w:w="870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1000" w:type="dxa"/>
            <w:vAlign w:val="bottom"/>
            <w:tcBorders>
              <w:top w:val="single" w:sz="8" w:color="CCEEFF"/>
            </w:tcBorders>
            <w:gridSpan w:val="4"/>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3"/>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175"/>
        </w:trPr>
        <w:tc>
          <w:tcPr>
            <w:tcW w:w="7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6020" w:type="dxa"/>
            <w:vAlign w:val="bottom"/>
            <w:tcBorders>
              <w:top w:val="single" w:sz="8" w:color="CCEEFF"/>
            </w:tcBorders>
            <w:gridSpan w:val="13"/>
          </w:tcPr>
          <w:p>
            <w:pPr>
              <w:jc w:val="center"/>
              <w:ind w:right="3700"/>
              <w:spacing w:after="0" w:line="176" w:lineRule="exact"/>
              <w:rPr>
                <w:rFonts w:ascii="Arial" w:cs="Arial" w:eastAsia="Arial" w:hAnsi="Arial"/>
                <w:sz w:val="18"/>
                <w:szCs w:val="18"/>
                <w:b w:val="1"/>
                <w:bCs w:val="1"/>
                <w:color w:val="0000EE"/>
                <w:w w:val="97"/>
              </w:rPr>
            </w:pPr>
            <w:hyperlink w:anchor="page59">
              <w:r>
                <w:rPr>
                  <w:rFonts w:ascii="Arial" w:cs="Arial" w:eastAsia="Arial" w:hAnsi="Arial"/>
                  <w:sz w:val="18"/>
                  <w:szCs w:val="18"/>
                  <w:b w:val="1"/>
                  <w:bCs w:val="1"/>
                  <w:color w:val="0000EE"/>
                  <w:w w:val="97"/>
                </w:rPr>
                <w:t>Part II - Other Information</w:t>
              </w:r>
            </w:hyperlink>
          </w:p>
        </w:tc>
        <w:tc>
          <w:tcPr>
            <w:tcW w:w="760" w:type="dxa"/>
            <w:vAlign w:val="bottom"/>
            <w:tcBorders>
              <w:top w:val="single" w:sz="8" w:color="CCEEFF"/>
            </w:tcBorders>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Legal Proceedings</w:t>
              </w:r>
            </w:hyperlink>
          </w:p>
        </w:tc>
        <w:tc>
          <w:tcPr>
            <w:tcW w:w="8360" w:type="dxa"/>
            <w:vAlign w:val="bottom"/>
            <w:tcBorders>
              <w:bottom w:val="single" w:sz="8" w:color="CCEEFF"/>
            </w:tcBorders>
            <w:gridSpan w:val="1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2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176"/>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5360" w:type="dxa"/>
            <w:vAlign w:val="bottom"/>
            <w:tcBorders>
              <w:top w:val="single" w:sz="8" w:color="CCEEFF"/>
            </w:tcBorders>
            <w:gridSpan w:val="10"/>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940" w:type="dxa"/>
            <w:vAlign w:val="bottom"/>
            <w:tcBorders>
              <w:top w:val="single" w:sz="8" w:color="CCEEFF"/>
            </w:tcBorders>
            <w:gridSpan w:val="15"/>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9100" w:type="dxa"/>
            <w:vAlign w:val="bottom"/>
            <w:tcBorders>
              <w:bottom w:val="single" w:sz="8" w:color="CCEEFF"/>
            </w:tcBorders>
            <w:gridSpan w:val="2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176"/>
        </w:trPr>
        <w:tc>
          <w:tcPr>
            <w:tcW w:w="780" w:type="dxa"/>
            <w:vAlign w:val="bottom"/>
          </w:tcPr>
          <w:p>
            <w:pPr>
              <w:spacing w:after="0"/>
              <w:rPr>
                <w:sz w:val="15"/>
                <w:szCs w:val="15"/>
                <w:color w:val="auto"/>
              </w:rPr>
            </w:pPr>
          </w:p>
        </w:tc>
        <w:tc>
          <w:tcPr>
            <w:tcW w:w="9700" w:type="dxa"/>
            <w:vAlign w:val="bottom"/>
            <w:gridSpan w:val="23"/>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Signature Page</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460"/>
              <w:spacing w:after="0"/>
              <w:rPr>
                <w:sz w:val="20"/>
                <w:szCs w:val="20"/>
                <w:color w:val="auto"/>
              </w:rPr>
            </w:pPr>
            <w:r>
              <w:rPr>
                <w:rFonts w:ascii="Arial" w:cs="Arial" w:eastAsia="Arial" w:hAnsi="Arial"/>
                <w:sz w:val="18"/>
                <w:szCs w:val="18"/>
                <w:b w:val="1"/>
                <w:bCs w:val="1"/>
                <w:color w:val="auto"/>
                <w:w w:val="98"/>
              </w:rPr>
              <w:t>Part I - Financial Information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 available for sale, at estimated fair value (amortized cost of</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$238,809,528 and $265,150,484 for 2021 and 2020)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264,844,942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294,656,679</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6"/>
              </w:rPr>
              <w:t>Equity securities at estimated fair value (cost of $8,198,282 and $9,698,490 for 2021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10,729,744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11,324,239</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Mortgage loans held for investment (net of allowances for loan losses of $1,753,853 and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$2,005,127 for 2021 and 2020)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307,390,481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249,343,936</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rPr>
              <w:t>Real estate held for investment (net of accumulated depreciation of $18,908,623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$13,800,973 for 2021 and 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189,610,360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131,684,453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6,081,155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7,878,807</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Other investments and policy loans (net of allowances for doubtful accounts of $1,795,037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and $1,645,475 for 2021 and 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73,615,628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73,696,661</w:t>
            </w: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5,386,756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5,360,523</w:t>
            </w:r>
          </w:p>
        </w:tc>
      </w:tr>
      <w:tr>
        <w:trPr>
          <w:trHeight w:val="209"/>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857,659,066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773,945,298</w:t>
            </w:r>
          </w:p>
        </w:tc>
        <w:tc>
          <w:tcPr>
            <w:tcW w:w="10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111,498,676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106,219,429</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312,655,843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422,772,418</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Receivables (net of allowances for doubtful accounts of $1,664,747 and $1,685,382 for 2021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and 2020)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17,158,481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10,899,207</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4"/>
              </w:rPr>
              <w:t>Restricted assets (including $4,596,169 and $3,989,415 for 2021 and 2020 at estimated fair</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17,448,402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16,150,036</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Cemetery perpetual care trust investments (including $3,173,658 and $2,810,070 for 2021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and 2020 at estimated fair value)</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6,762,211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6,413,167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15,938,343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15,569,156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8,432,437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8,761,436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104,251,952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100,075,276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50,360,805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35,210,516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15,200,052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12,473,345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9,034,414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8,955,249</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3,519,588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28,405,710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27,976,357</w:t>
            </w: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1,558,325,980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1,548,940,478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860,871,187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844,790,087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3,126,372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3,328,623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263,186,923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297,824,368</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14,184,328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13,080,179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4,248,379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4,087,704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13,921,187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8,932,683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69,236,255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87,650,981</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32,835,181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25,258,800</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1,261,609,812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1,284,953,425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2"/>
              </w:rPr>
              <w:t>Preferred Stock - non-voting - $1.00 par value; 5,000,000 shares authorized; none issued or</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 $2.00 par value; 20,000,000 shares authorized; issued 17,594,048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in 2021 and 16,595,783 shares in 2020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35,188,096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33,191,566</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5"/>
              </w:rPr>
              <w:t>Class B: non-voting common stock - $1.00 par value; 5,000,000 shares authorized; none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issued or outstanding</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C: convertible common stock - $2.00 par value; 3,000,000 shares authorized; issued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2,761,909 shares in 2021 and 2,679,603 shares in 2020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5,523,818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5,359,206</w:t>
            </w: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57,462,981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50,287,253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20,473,292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23,243,133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179,195,423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153,739,167</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Treasury stock at cost – 44,145 Class A shares and 95,356 Class C shares in 2021; and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227,852 Class A shares and 10,985 Class C shares in 2020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(1,127,442)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(1,833,272)</w:t>
            </w: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296,716,168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263,987,053</w:t>
            </w: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1,558,325,980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1,548,940,478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Mortgage fee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66,257,851</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98,559,624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204,414,276</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212,209,718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26,445,618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23,766,576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74,754,856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68,982,561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15,092,962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14,709,142</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43,564,167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41,072,386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5,967,675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5,371,715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18,228,199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14,530,584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Gains (losses) on investments and other assets</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976,900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800,507</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4,414,217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(173,461)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4,768,125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2,997,001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13,542,337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7,853,468</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119,509,131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146,204,565</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358,918,052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344,475,256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Death benefits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15,474,512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16,026,897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48,630,585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43,021,247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Surrenders and other policy benefits</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977,190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1,056,318</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2,725,791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2,964,984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7,485,565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4,892,972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19,140,939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18,534,848</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Amortization of deferred policy and pre- need acquisition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costs and value of business acquired</w:t>
            </w:r>
          </w:p>
        </w:tc>
        <w:tc>
          <w:tcPr>
            <w:tcW w:w="2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4,709,979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4,239,935</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11,940,905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10,781,658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Commissions</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28,769,191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37,761,992</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91,392,436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81,555,823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25,122,254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21,700,446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73,822,449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60,959,099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1,691,236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1,607,138</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5,089,301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3,842,296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Rent and rent related</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1,853,960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1,797,161</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5,594,206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5,074,755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 on property and equipment</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412,152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516,243</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1,387,275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1,550,526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funding mortgage loans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2,379,085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3,057,276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8,055,810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7,392,373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13,775,139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11,701,986</w:t>
            </w: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37,754,717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33,080,916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1,807,461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2,363,169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5,327,072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6,063,218</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w w:val="99"/>
              </w:rPr>
              <w:t>Cost of goods and services sold-mortuaries and cemeteries</w:t>
            </w:r>
          </w:p>
        </w:tc>
        <w:tc>
          <w:tcPr>
            <w:tcW w:w="2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908,014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899,101</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2,880,766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2,401,592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105,365,738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107,620,634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313,742,252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277,223,335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14,143,393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38,583,931</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45,175,800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67,251,921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(3,352,663)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(9,279,162)</w:t>
            </w: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(10,998,876)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(15,965,656)</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10,790,730</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29,304,769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34,176,924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51,286,265</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0.54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51"/>
        </w:trPr>
        <w:tc>
          <w:tcPr>
            <w:tcW w:w="474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earnings per Class A Equivalent common share-</w:t>
            </w: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assuming dilution (1)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Weighted-average Class A equivalent common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0"/>
                <w:szCs w:val="20"/>
                <w:color w:val="auto"/>
              </w:rPr>
            </w:pPr>
            <w:r>
              <w:rPr>
                <w:rFonts w:ascii="Arial" w:cs="Arial" w:eastAsia="Arial" w:hAnsi="Arial"/>
                <w:sz w:val="18"/>
                <w:szCs w:val="18"/>
                <w:color w:val="auto"/>
              </w:rPr>
              <w:t>outstanding (1)</w:t>
            </w:r>
          </w:p>
        </w:tc>
        <w:tc>
          <w:tcPr>
            <w:tcW w:w="2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20,160,912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19,830,879</w:t>
            </w:r>
          </w:p>
        </w:tc>
        <w:tc>
          <w:tcPr>
            <w:tcW w:w="2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20,117,257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19,717,877</w:t>
            </w:r>
          </w:p>
        </w:tc>
        <w:tc>
          <w:tcPr>
            <w:tcW w:w="0" w:type="dxa"/>
            <w:vAlign w:val="bottom"/>
          </w:tcPr>
          <w:p>
            <w:pPr>
              <w:spacing w:after="0"/>
              <w:rPr>
                <w:sz w:val="1"/>
                <w:szCs w:val="1"/>
                <w:color w:val="auto"/>
              </w:rPr>
            </w:pPr>
          </w:p>
        </w:tc>
      </w:tr>
      <w:tr>
        <w:trPr>
          <w:trHeight w:val="155"/>
        </w:trPr>
        <w:tc>
          <w:tcPr>
            <w:tcW w:w="4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Class A equivalent common shares</w:t>
            </w: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outstanding-assuming dilution (1)</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20,980,881</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20,418,599</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20,927,695</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20,142,083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60" w:hanging="292"/>
        <w:spacing w:after="0" w:line="286"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6"/>
          </w:tcPr>
          <w:p>
            <w:pPr>
              <w:jc w:val="right"/>
              <w:ind w:right="102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74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10,790,730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29,304,769</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34,176,924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51,286,265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gains (losses) on fixed maturity securities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 for sale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(1,406,615)</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3,810,906</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(3,477,826)</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7,810,537</w:t>
            </w:r>
          </w:p>
        </w:tc>
        <w:tc>
          <w:tcPr>
            <w:tcW w:w="80" w:type="dxa"/>
            <w:vAlign w:val="bottom"/>
            <w:shd w:val="clear" w:color="auto" w:fill="CCEEFF"/>
          </w:tcPr>
          <w:p>
            <w:pPr>
              <w:spacing w:after="0"/>
              <w:rPr>
                <w:sz w:val="20"/>
                <w:szCs w:val="20"/>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Unrealized gains (losses) on restricted assets</w:t>
            </w:r>
          </w:p>
        </w:tc>
        <w:tc>
          <w:tcPr>
            <w:tcW w:w="26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(13,951)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23,323</w:t>
            </w:r>
          </w:p>
        </w:tc>
        <w:tc>
          <w:tcPr>
            <w:tcW w:w="260" w:type="dxa"/>
            <w:vAlign w:val="bottom"/>
          </w:tcPr>
          <w:p>
            <w:pPr>
              <w:spacing w:after="0"/>
              <w:rPr>
                <w:sz w:val="18"/>
                <w:szCs w:val="18"/>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(21,682)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28,309</w:t>
            </w:r>
          </w:p>
        </w:tc>
        <w:tc>
          <w:tcPr>
            <w:tcW w:w="80" w:type="dxa"/>
            <w:vAlign w:val="bottom"/>
          </w:tcPr>
          <w:p>
            <w:pPr>
              <w:spacing w:after="0"/>
              <w:rPr>
                <w:sz w:val="18"/>
                <w:szCs w:val="18"/>
                <w:color w:val="auto"/>
              </w:rPr>
            </w:pPr>
          </w:p>
        </w:tc>
      </w:tr>
      <w:tr>
        <w:trPr>
          <w:trHeight w:val="202"/>
        </w:trPr>
        <w:tc>
          <w:tcPr>
            <w:tcW w:w="4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losses on cemetery perpetual care trust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(4,669)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(16,883)</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(10,927)</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(11,114)</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400" w:type="dxa"/>
            <w:vAlign w:val="bottom"/>
            <w:gridSpan w:val="2"/>
          </w:tcPr>
          <w:p>
            <w:pPr>
              <w:jc w:val="right"/>
              <w:ind w:right="341"/>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r>
      <w:tr>
        <w:trPr>
          <w:trHeight w:val="209"/>
        </w:trPr>
        <w:tc>
          <w:tcPr>
            <w:tcW w:w="4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income tax</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(1,425,235</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3,817,430</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(3,507,600</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7,827,536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300,029</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(801,915</w:t>
            </w:r>
          </w:p>
        </w:tc>
        <w:tc>
          <w:tcPr>
            <w:tcW w:w="4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737,759</w:t>
            </w: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(1,644,446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(1,125,206</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3,015,515</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(2,769,841</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6,183,090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9,665,524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32,320,284</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31,407,083</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57,469,355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8"/>
                <w:szCs w:val="18"/>
                <w:b w:val="1"/>
                <w:bCs w:val="1"/>
                <w:color w:val="auto"/>
                <w:w w:val="99"/>
              </w:rPr>
              <w:t>Nine Months Ended September 30, 2021</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 C</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Paid-in</w:t>
            </w:r>
          </w:p>
        </w:tc>
        <w:tc>
          <w:tcPr>
            <w:tcW w:w="14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Retained</w:t>
            </w:r>
          </w:p>
        </w:tc>
        <w:tc>
          <w:tcPr>
            <w:tcW w:w="11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Earnings</w:t>
            </w:r>
          </w:p>
        </w:tc>
        <w:tc>
          <w:tcPr>
            <w:tcW w:w="11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2021</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$ 33,191,566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$ 5,359,206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$ 50,287,253</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23,243,133</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$ 153,739,167</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7"/>
              </w:rPr>
              <w:t>$ (1,833,272)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$ 263,987,053</w:t>
            </w: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12,128,715</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12,128,715</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(5,388,522)</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(5,388,522)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39,153</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55,852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33,401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89,253</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1,632,041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1,922,422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(910,233)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(910,233)</w:t>
            </w: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97,054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(97,054)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74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$ 33,344,472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$ 5,262,152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$ 50,650,188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17,854,611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$ 165,867,882</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(1,111,464)</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$ 271,867,841</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11,257,479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11,257,479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3,743,887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3,743,887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106,044</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113,699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1,499,862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1,461,814</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(2,596,006)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(2,596,006)</w:t>
            </w: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1,672,526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263,108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6,774,719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(8,710,354)</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2740" w:type="dxa"/>
            <w:vAlign w:val="bottom"/>
          </w:tcPr>
          <w:p>
            <w:pPr>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$ 35,123,042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$ 5,525,260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$ 57,394,514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21,598,498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$ 168,415,007</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(2,207,608)</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$ 285,848,713</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10,790,730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10,790,730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(1,125,206)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(1,125,206)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61,320</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24,182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85,502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1,338,621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1,332,347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42,537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(258,455)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(215,918)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Stock dividends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2,294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8,022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(10,314)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35,188,096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$ 5,523,818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57,462,981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20,473,292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$ 179,195,423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(1,127,442</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$ 296,716,168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8"/>
                <w:szCs w:val="18"/>
                <w:b w:val="1"/>
                <w:bCs w:val="1"/>
                <w:color w:val="auto"/>
                <w:w w:val="99"/>
              </w:rPr>
              <w:t>Nine Months Ended September 30, 2020</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 C</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Paid-in</w:t>
            </w:r>
          </w:p>
        </w:tc>
        <w:tc>
          <w:tcPr>
            <w:tcW w:w="14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2020</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$ 32,215,558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$ 5,001,774</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$ 46,091,112</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13,726,514</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$ 101,256,229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(1,580,582)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$ 196,710,605</w:t>
            </w: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1,424,449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1,424,449</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(8,852,313)</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(8,852,313)</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65,877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44,822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(33,930)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10,892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264,081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482,361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(129,608)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(129,608)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2,322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22,324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(22,324)</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$ 32,285,026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$ 4,978,430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$ 46,343,631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4,874,201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$ 102,677,084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(1,446,109)</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$ 189,712,263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20,557,047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20,557,047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12,019,888</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12,019,888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101,520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22,726</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(22,726)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664,546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984,222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(760,713)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(760,713)</w:t>
            </w: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807,356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124,460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2,175,790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(3,107,607)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2740" w:type="dxa"/>
            <w:vAlign w:val="bottom"/>
          </w:tcPr>
          <w:p>
            <w:pPr>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$ 33,115,108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$ 5,102,890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$ 48,917,891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16,894,089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$ 120,126,524</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(1,542,276)</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$ 222,614,226</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29,304,769</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29,304,769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3,015,515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3,015,515</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104,562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104,562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330,939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886,452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1,217,391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(210,506)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(210,506)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4,124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$ 33,119,974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$ 5,098,766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49,355,124</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19,909,604</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$ 149,428,819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(866,330)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$ 256,045,957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128,890,897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(164,589,158)</w:t>
            </w:r>
          </w:p>
        </w:tc>
      </w:tr>
      <w:tr>
        <w:trPr>
          <w:trHeight w:val="209"/>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(14,359,481)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(56,899,073)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calls and maturities of fixed maturity securities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40,856,383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75,523,084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(1,382,227)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(6,492,243)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equity securities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3,334,697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2,011,568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restricted assets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28,770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(2,650,188)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changes in perpetual care trusts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1,065,459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(870,485)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(635,682,683)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(486,189,616)</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6"/>
              </w:rPr>
              <w:t>Payments received for mortgage loans held for investment, other investments and policy</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577,555,622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478,445,833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(4,187,580)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(1,111,360)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45,168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(70,404,325)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(27,528,643)</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Sales of real estate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22,974,490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13,052,416</w:t>
            </w:r>
          </w:p>
        </w:tc>
      </w:tr>
      <w:tr>
        <w:trPr>
          <w:trHeight w:val="209"/>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(80,155,707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(12,708,707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8,743,867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8,656,037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(11,776,818)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(12,759,734)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288,454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10,892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(3,722,157)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(1,100,827)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Repayment of bank loans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Arial" w:cs="Arial" w:eastAsia="Arial" w:hAnsi="Arial"/>
                <w:sz w:val="18"/>
                <w:szCs w:val="18"/>
                <w:color w:val="auto"/>
              </w:rPr>
              <w:t>(54,454,529)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(251,041,466)</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97,119,014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329,672,821</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change in warehouse line borrowings for loans held for sale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61"/>
              <w:spacing w:after="0"/>
              <w:rPr>
                <w:sz w:val="20"/>
                <w:szCs w:val="20"/>
                <w:color w:val="auto"/>
              </w:rPr>
            </w:pPr>
            <w:r>
              <w:rPr>
                <w:rFonts w:ascii="Arial" w:cs="Arial" w:eastAsia="Arial" w:hAnsi="Arial"/>
                <w:sz w:val="18"/>
                <w:szCs w:val="18"/>
                <w:color w:val="auto"/>
              </w:rPr>
              <w:t>(77,374,340)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128,600,308</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(41,176,509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201,038,031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change in cash, cash equivalents, restricted cash and restricted cash equivalents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7,558,681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23,740,166</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cash equivalents, restricted cash and restricted cash equivalents at beginning of period</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115,465,086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137,735,673</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Cash, cash equivalents, restricted cash and restricted cash equivalents at end of period</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123,023,767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161,475,839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5,464,423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5,917,344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2,684,737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4,995,073</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8,321,415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347,826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Benefit plans funded with treasury stock</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4,716,583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2,683,974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2,435,831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4,796,580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931,079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686,124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201,951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9,170,610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8,494</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(Continued)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9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111,498,676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151,686,960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Restricted assets</w:t>
            </w:r>
          </w:p>
        </w:tc>
        <w:tc>
          <w:tcPr>
            <w:tcW w:w="4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10,004,204</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8,468,191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1,520,887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1,320,688</w:t>
            </w:r>
          </w:p>
        </w:tc>
      </w:tr>
      <w:tr>
        <w:trPr>
          <w:trHeight w:val="229"/>
        </w:trPr>
        <w:tc>
          <w:tcPr>
            <w:tcW w:w="69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123,023,767</w:t>
            </w:r>
          </w:p>
        </w:tc>
        <w:tc>
          <w:tcPr>
            <w:tcW w:w="3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161,475,839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2020, included in the Company’s Annual Report on Form 10-K (File Number 000-09341). In the opinion of management, all adjustments (consisting of normal recurring accruals) considered necessary for a fair presentation have been included. Operating results for the three and nine months ended September 30, 2021 are not necessarily indicative of the results that may be expected for the year ending December 31, 2021.</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those used in estimating other than temporary impairments on available for sale securities;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During 2020, the outbreak of COVID-19 had spread worldwide and was declared a global pandemic by the World Health Organization on March 11, 2020. COVID-19, and its variants, pose a threat to the health and economic well-being of the Company’s employees, customers, and vendors. The Company is closely monitoring developments relating to the ongoing COVID-19 pandemic and assessing its impact on the Company’s business. The continued uncertainty surrounding the COVID-19 pandemic has had and continues to have a major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this Management’s Discussion and Analysis of Financial Condition and Results of Operations. These uncertainties have the potential to negatively affect the risk of credit default for the issuers of the Company’s fixed maturity debt securities and individual borrowers with mortgage loans held by the Company.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2020</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2018-13: “Fair Value Measurement (Topic 820): Disclosure Framework-Changes to the Disclosure Requirements for Fair Value Measurement”</w:t>
      </w:r>
      <w:r>
        <w:rPr>
          <w:rFonts w:ascii="Arial" w:cs="Arial" w:eastAsia="Arial" w:hAnsi="Arial"/>
          <w:sz w:val="16"/>
          <w:szCs w:val="16"/>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ASU No. 2016-13: “Financial Instruments – Credit Losses (Topic 326)”</w:t>
      </w:r>
      <w:r>
        <w:rPr>
          <w:rFonts w:ascii="Arial" w:cs="Arial" w:eastAsia="Arial" w:hAnsi="Arial"/>
          <w:sz w:val="16"/>
          <w:szCs w:val="16"/>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ASU No. 2018-12: “Financial Services – Insurance (Topic 944): Targeted Improvements to the Accounting for Long-Duration Contracts”</w:t>
      </w:r>
      <w:r>
        <w:rPr>
          <w:rFonts w:ascii="Arial" w:cs="Arial" w:eastAsia="Arial" w:hAnsi="Arial"/>
          <w:sz w:val="16"/>
          <w:szCs w:val="16"/>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engaged an industry software expert and is in the process of implementing this software and other changes to its systems. The Company anticipates that it will be ready by the effective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September 30, 2021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Unrealized</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Estimated Fair</w:t>
            </w:r>
          </w:p>
        </w:tc>
      </w:tr>
      <w:tr>
        <w:trPr>
          <w:trHeight w:val="234"/>
        </w:trPr>
        <w:tc>
          <w:tcPr>
            <w:tcW w:w="1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September 30, 2021:</w:t>
            </w: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22,284,283</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794,130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23,078,413</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229,814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5,302,410</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174,862,169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24,331,635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198,902,416</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36,316,313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1,148,676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37,279,237</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268,941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13,525</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282,466</w:t>
            </w:r>
          </w:p>
        </w:tc>
      </w:tr>
      <w:tr>
        <w:trPr>
          <w:trHeight w:val="223"/>
        </w:trPr>
        <w:tc>
          <w:tcPr>
            <w:tcW w:w="1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238,809,528</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26,517,780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(482,366)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264,844,942</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8,198,282</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2,885,061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10,729,744</w:t>
            </w:r>
          </w:p>
        </w:tc>
      </w:tr>
      <w:tr>
        <w:trPr>
          <w:trHeight w:val="209"/>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 securities at estimated fair value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8,198,282</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2,885,061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10,729,744</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89,544,581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169,030,287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52,087,010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deferred loan fees, net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(1,013,925)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(1,753,853)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discounts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(503,619)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307,390,481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46,606,702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143,003,658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189,610,360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1,190,602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4,890,553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6,081,155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Policy loans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13,699,414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Insurance assignments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53,417,350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Federal Home Loan Bank stock (1)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3,105,100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(1,795,037)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5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policy loans and other investments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73,615,628</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5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investment income</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5,386,756</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5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857,659,066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92" w:right="339" w:bottom="0" w:gutter="0" w:footer="0" w:header="0"/>
        </w:sectPr>
      </w:pPr>
    </w:p>
    <w:bookmarkStart w:id="13" w:name="page14"/>
    <w:bookmarkEnd w:id="13"/>
    <w:p>
      <w:pPr>
        <w:ind w:left="492" w:hanging="492"/>
        <w:spacing w:after="0"/>
        <w:tabs>
          <w:tab w:leader="none" w:pos="49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$905,700 of Membership stock and $2,199,440 of Activity stock due to short-term borrowings.</w:t>
      </w:r>
    </w:p>
    <w:p>
      <w:pPr>
        <w:sectPr>
          <w:pgSz w:w="11900" w:h="16838" w:orient="portrait"/>
          <w:cols w:equalWidth="0" w:num="1">
            <w:col w:w="10131"/>
          </w:cols>
          <w:pgMar w:left="328" w:top="125" w:right="1440" w:bottom="1440" w:gutter="0" w:footer="0" w:header="0"/>
        </w:sectPr>
      </w:pPr>
    </w:p>
    <w:p>
      <w:pPr>
        <w:spacing w:after="0" w:line="241" w:lineRule="exact"/>
        <w:rPr>
          <w:sz w:val="20"/>
          <w:szCs w:val="20"/>
          <w:color w:val="auto"/>
        </w:rPr>
      </w:pPr>
    </w:p>
    <w:p>
      <w:pPr>
        <w:ind w:left="5512"/>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25" w:right="1440" w:bottom="1440" w:gutter="0" w:footer="0" w:header="0"/>
          <w:type w:val="continuous"/>
        </w:sectPr>
      </w:pPr>
    </w:p>
    <w:bookmarkStart w:id="14" w:name="page15"/>
    <w:bookmarkEnd w:id="1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2020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Unrealized</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Estimated Fair</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December 31, 2020:</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42,381,805</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1,358,562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43,740,367</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5,383,762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312,214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5,694,715</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186,067,912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27,216,496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212,602,930</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31,047,791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1,565,377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32,346,062</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3,391</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272,605</w:t>
            </w:r>
          </w:p>
        </w:tc>
      </w:tr>
      <w:tr>
        <w:trPr>
          <w:trHeight w:val="223"/>
        </w:trPr>
        <w:tc>
          <w:tcPr>
            <w:tcW w:w="1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265,150,484</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30,456,040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(949,845)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294,656,679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9,698,490</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2,376,156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9,698,490</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2,376,156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95,822,448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111,111,777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46,836,866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deferred loan fees, net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(1,161,132)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(2,005,127)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discounts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(1,260,896)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249,343,936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24,843,743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106,840,710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131,684,453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3,478,254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4,400,553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7,878,807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Policy loans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14,171,589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Insurance assignments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53,231,131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Federal Home Loan Bank stock (1)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2,506,600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5,432,816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(1,645,475)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policy loans and other investments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73,696,661</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investment income</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5,360,523</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773,945,298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92" w:right="339" w:bottom="0" w:gutter="0" w:footer="0" w:header="0"/>
        </w:sectPr>
      </w:pPr>
    </w:p>
    <w:bookmarkStart w:id="15" w:name="page16"/>
    <w:bookmarkEnd w:id="15"/>
    <w:p>
      <w:pPr>
        <w:ind w:left="492" w:hanging="492"/>
        <w:spacing w:after="0"/>
        <w:tabs>
          <w:tab w:leader="none" w:pos="49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$866,900 of Membership stock and $1,639,700 of Activity stock due to short-term borrowings.</w:t>
      </w:r>
    </w:p>
    <w:p>
      <w:pPr>
        <w:sectPr>
          <w:pgSz w:w="11900" w:h="16838" w:orient="portrait"/>
          <w:cols w:equalWidth="0" w:num="1">
            <w:col w:w="10131"/>
          </w:cols>
          <w:pgMar w:left="328" w:top="125" w:right="1440" w:bottom="1440" w:gutter="0" w:footer="0" w:header="0"/>
        </w:sectPr>
      </w:pPr>
    </w:p>
    <w:p>
      <w:pPr>
        <w:spacing w:after="0" w:line="241" w:lineRule="exact"/>
        <w:rPr>
          <w:sz w:val="20"/>
          <w:szCs w:val="20"/>
          <w:color w:val="auto"/>
        </w:rPr>
      </w:pPr>
    </w:p>
    <w:p>
      <w:pPr>
        <w:ind w:left="5512"/>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25" w:right="1440" w:bottom="1440" w:gutter="0" w:footer="0" w:header="0"/>
          <w:type w:val="continuous"/>
        </w:sectPr>
      </w:pPr>
    </w:p>
    <w:bookmarkStart w:id="16" w:name="page17"/>
    <w:bookmarkEnd w:id="1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summarize unrealized losses on fixed maturity securities available for sale, which were carried at estimated fair value, at September 30, 2021 and December 31, 2020. The unrealized losses were primarily related to interest rate fluctuations and uncertainties relating to COVID-19. The tables set forth unrealized losses by duration with the fair value of the related fixed maturity securities:</w:t>
      </w:r>
    </w:p>
    <w:tbl>
      <w:tblPr>
        <w:tblLayout w:type="fixed"/>
        <w:tblInd w:w="0" w:type="dxa"/>
        <w:tblCellMar>
          <w:top w:w="0" w:type="dxa"/>
          <w:left w:w="0" w:type="dxa"/>
          <w:bottom w:w="0" w:type="dxa"/>
          <w:right w:w="0" w:type="dxa"/>
        </w:tblCellMar>
      </w:tblPr>
      <w:tr>
        <w:trPr>
          <w:trHeight w:val="200"/>
        </w:trPr>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Losses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More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Twelve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ind w:left="16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Months</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Loss</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189"/>
        </w:trPr>
        <w:tc>
          <w:tcPr>
            <w:tcW w:w="168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w w:val="89"/>
              </w:rPr>
              <w:t>At September 30, 2021</w:t>
            </w:r>
          </w:p>
        </w:tc>
        <w:tc>
          <w:tcPr>
            <w:tcW w:w="27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756,793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756,793</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3,633,271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4,226,222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291,388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7,859,493</w:t>
            </w:r>
          </w:p>
        </w:tc>
      </w:tr>
      <w:tr>
        <w:trPr>
          <w:trHeight w:val="229"/>
        </w:trPr>
        <w:tc>
          <w:tcPr>
            <w:tcW w:w="4380" w:type="dxa"/>
            <w:vAlign w:val="bottom"/>
            <w:gridSpan w:val="3"/>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67,554</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7,858,646</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118,198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1,759,305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185,752</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9,617,951</w:t>
            </w:r>
          </w:p>
        </w:tc>
      </w:tr>
      <w:tr>
        <w:trPr>
          <w:trHeight w:val="223"/>
        </w:trPr>
        <w:tc>
          <w:tcPr>
            <w:tcW w:w="4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12,248,710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5,985,527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482,366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18,234,237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4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2020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206,812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206,812</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242,596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9,919,298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438,882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2,593,026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681,478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12,512,324</w:t>
            </w:r>
          </w:p>
        </w:tc>
      </w:tr>
      <w:tr>
        <w:trPr>
          <w:trHeight w:val="229"/>
        </w:trPr>
        <w:tc>
          <w:tcPr>
            <w:tcW w:w="4380" w:type="dxa"/>
            <w:vAlign w:val="bottom"/>
            <w:gridSpan w:val="3"/>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266,522</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3,455,574</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51,961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267,106</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3,507,535</w:t>
            </w:r>
          </w:p>
        </w:tc>
      </w:tr>
      <w:tr>
        <w:trPr>
          <w:trHeight w:val="223"/>
        </w:trPr>
        <w:tc>
          <w:tcPr>
            <w:tcW w:w="4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510,379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13,581,684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2,644,987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949,845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16,226,671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51 securities with fair value of 97.4% of amortized cost at September 30, 2021. There were 63 securities with fair value of 94.7% of amortized cost at December 31, 2020. No additional credit losses have been recognized for the three and nine months ended September 30, 2021 and 2020.</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Securities with ratings of 3 to 5 are considered non-investment grade and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rollforward of the Company’s cumulative other than temporary credit impairments (“OTTI”) recognized in earnings on fixed maturity securities available for sale for the nine months ended September 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credit-related OTTI at January 1</w:t>
            </w:r>
          </w:p>
        </w:tc>
        <w:tc>
          <w:tcPr>
            <w:tcW w:w="1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credit impairments recognized on:</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Securities not previously impaired</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previously impaired</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credit impairments previously recognized on:</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Securities that matured or were sold during the period (realized)</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due to an increase in expected cash flows</w:t>
            </w:r>
          </w:p>
        </w:tc>
        <w:tc>
          <w:tcPr>
            <w:tcW w:w="10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9"/>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of credit-related OTTI at September 30</w:t>
            </w:r>
          </w:p>
        </w:tc>
        <w:tc>
          <w:tcPr>
            <w:tcW w:w="23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370,975</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fair value of fixed maturity securities available for sale at September 30, 2021, by contractual maturity, are shown below. Expected maturities may differ from contractual maturities because certain borrowers may have the right to call or prepay obligations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Estimated Fair</w:t>
            </w:r>
          </w:p>
        </w:tc>
      </w:t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469,744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Due in 2-5 years</w:t>
            </w: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62,693,405</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66,205,403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71,364,711</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79,246,211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67,696,414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81,357,485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36,316,313</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37,279,237</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268,941</w:t>
            </w:r>
          </w:p>
        </w:tc>
        <w:tc>
          <w:tcPr>
            <w:tcW w:w="2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282,466</w:t>
            </w:r>
          </w:p>
        </w:tc>
      </w:tr>
      <w:tr>
        <w:trPr>
          <w:trHeight w:val="223"/>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238,809,528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264,844,942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member of the Federal Home Loan Bank of Des Moines and Dallas (“FHLB”). The Company has pledged a total of $29,552,638, par value, of United States Treasury and various Ginnie Mae fixed maturity securities with the FHLB at September 30, 2021. These securities are used as collateral on any cash borrowings from the FHLB. As of September 30, 2021, the Company owed $14,443,758 to the FHLB and its estimated remaining maximum borrowing capacity was $13,787,339.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net realized gains and losses from sales, calls, and maturities, unrealized gains and losses on equity securities, and other than temporary impairments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Gross realized gains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244,275</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50,171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517,934</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201,130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(39,130)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(31,698)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(51,219)</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Gains (losses) on securities sold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119,614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95,331</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372,194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(12,141)</w:t>
            </w:r>
          </w:p>
        </w:tc>
      </w:tr>
      <w:tr>
        <w:trPr>
          <w:trHeight w:val="202"/>
        </w:trPr>
        <w:tc>
          <w:tcPr>
            <w:tcW w:w="4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gains and (losses) on securities held at the</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the period</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(122,505)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511,168</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1,319,919</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(512,629)</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Gross realized gains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855,282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1,480,053</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2,702,084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1,985,817</w:t>
            </w:r>
          </w:p>
        </w:tc>
        <w:tc>
          <w:tcPr>
            <w:tcW w:w="80" w:type="dxa"/>
            <w:vAlign w:val="bottom"/>
          </w:tcPr>
          <w:p>
            <w:pPr>
              <w:spacing w:after="0"/>
              <w:rPr>
                <w:sz w:val="18"/>
                <w:szCs w:val="18"/>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(102,954)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(1,297,086)</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(466,216)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(1,784,419)</w:t>
            </w:r>
          </w:p>
        </w:tc>
      </w:tr>
      <w:tr>
        <w:trPr>
          <w:trHeight w:val="223"/>
        </w:trPr>
        <w:tc>
          <w:tcPr>
            <w:tcW w:w="4740" w:type="dxa"/>
            <w:vAlign w:val="bottom"/>
          </w:tcPr>
          <w:p>
            <w:pPr>
              <w:ind w:left="5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800,507</w:t>
            </w:r>
          </w:p>
        </w:tc>
        <w:tc>
          <w:tcPr>
            <w:tcW w:w="32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4,414,217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(173,461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900"/>
              <w:spacing w:after="0"/>
              <w:rPr>
                <w:sz w:val="20"/>
                <w:szCs w:val="20"/>
                <w:color w:val="auto"/>
              </w:rPr>
            </w:pPr>
            <w:r>
              <w:rPr>
                <w:rFonts w:ascii="Arial" w:cs="Arial" w:eastAsia="Arial" w:hAnsi="Arial"/>
                <w:sz w:val="18"/>
                <w:szCs w:val="18"/>
                <w:color w:val="auto"/>
              </w:rPr>
              <w:t>Nine Months Ended</w:t>
            </w:r>
          </w:p>
        </w:tc>
      </w:tr>
      <w:tr>
        <w:trPr>
          <w:trHeight w:val="230"/>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6"/>
              </w:rPr>
              <w:t>September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93"/>
              </w:rPr>
              <w:t>Nine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2,967,531</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realized gains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13,878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16,302</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223,010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149,641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r>
      <w:tr>
        <w:trPr>
          <w:trHeight w:val="432"/>
        </w:trPr>
        <w:tc>
          <w:tcPr>
            <w:tcW w:w="4740" w:type="dxa"/>
            <w:vAlign w:val="bottom"/>
          </w:tcPr>
          <w:p>
            <w:pPr>
              <w:spacing w:after="0"/>
              <w:rPr>
                <w:sz w:val="20"/>
                <w:szCs w:val="20"/>
                <w:color w:val="auto"/>
              </w:rPr>
            </w:pPr>
            <w:r>
              <w:rPr>
                <w:rFonts w:ascii="Arial" w:cs="Arial" w:eastAsia="Arial" w:hAnsi="Arial"/>
                <w:sz w:val="18"/>
                <w:szCs w:val="18"/>
                <w:color w:val="auto"/>
              </w:rPr>
              <w:t>Major categories of net investment income are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6"/>
              </w:rPr>
              <w:t>September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2,667,848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3,191,064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9,258,850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111,213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126,369</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345,482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329,534</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7,040,773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6,918,081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20,027,656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18,154,123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3,307,980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2,998,806</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9,353,459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8,940,072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229,857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264,422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694,345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755,914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Insurance assignments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4,781,079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4,561,574</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14,298,126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13,244,176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81,186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65,460</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154,810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385,848</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18,255,054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18,125,776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53,151,973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51,093,938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(3,162,092)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(3,416,634)</w:t>
            </w: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(9,587,806)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(10,021,552)</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15,092,962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14,709,142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43,564,167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investment income includes income earned by the restricted assets cemeteries and mortuaries of $778,892 and $129,347 for the three months ended September 30, 2021 and 2020, respectively, and $1,130,771 and $380,079 for the nine months ended September 30,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85" w:gutter="0" w:footer="0" w:header="0"/>
        </w:sectPr>
      </w:pPr>
    </w:p>
    <w:bookmarkStart w:id="19" w:name="page20"/>
    <w:bookmarkEnd w:id="1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Securities on deposit with regulatory authorities as required by law amounted to $10,168,666 at September 30, 2021 and $9,684,409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restricted securities are included in various assets under investments on the accompanying condensed consolidated balance sheets.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and fixed maturity securities) at September 30, 2021, other than investments issued or guaranteed by the United States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owns and operates 12 commercial properties in 5 states. These properties include office buildings, a funeral home, flex office space, and includes the redevelopment and expansion of its corporate campus (“Center 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ending balance of commercial real estate that serves as collateral for bank loans was $124,940,289 and $71,517,902 as of September 30, 2021 and December 31, 2020, respectively. The associated bank loan carrying values totaled $75,989,280 and $46,153,283 as of September 30, 2021 and December 31, 2020, respectively.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September 30, 2021 and 2020, the Company recorded impairment losses on commercial real estate held for sale of $-0- and $800,000, respectively. During the nine months ended September 30, 2021 and 2020, the Company recorded impairment losses on commercial real estate held for sale of $28,378 and $846,980, respectively. These impairment losses relate to an office building and a funeral home held by the life insurance segment. Impairment losses are included in gains (losses) on investment and other assets on the condensed consolidated statements of earnings.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real estate held for investment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6"/>
          </w:tcPr>
          <w:p>
            <w:pPr>
              <w:ind w:left="1040"/>
              <w:spacing w:after="0"/>
              <w:rPr>
                <w:sz w:val="20"/>
                <w:szCs w:val="20"/>
                <w:color w:val="auto"/>
              </w:rPr>
            </w:pPr>
            <w:r>
              <w:rPr>
                <w:rFonts w:ascii="Arial" w:cs="Arial" w:eastAsia="Arial" w:hAnsi="Arial"/>
                <w:sz w:val="18"/>
                <w:szCs w:val="18"/>
                <w:color w:val="auto"/>
              </w:rPr>
              <w:t>Net Ending Balance</w:t>
            </w:r>
          </w:p>
        </w:tc>
        <w:tc>
          <w:tcPr>
            <w:tcW w:w="3680" w:type="dxa"/>
            <w:vAlign w:val="bottom"/>
            <w:gridSpan w:val="6"/>
          </w:tcPr>
          <w:p>
            <w:pPr>
              <w:ind w:left="960"/>
              <w:spacing w:after="0"/>
              <w:rPr>
                <w:sz w:val="20"/>
                <w:szCs w:val="20"/>
                <w:color w:val="auto"/>
              </w:rPr>
            </w:pPr>
            <w:r>
              <w:rPr>
                <w:rFonts w:ascii="Arial" w:cs="Arial" w:eastAsia="Arial" w:hAnsi="Arial"/>
                <w:sz w:val="18"/>
                <w:szCs w:val="18"/>
                <w:color w:val="auto"/>
              </w:rPr>
              <w:t>Total Square Footage</w:t>
            </w:r>
          </w:p>
        </w:tc>
      </w:tr>
      <w:tr>
        <w:trPr>
          <w:trHeight w:val="223"/>
        </w:trPr>
        <w:tc>
          <w:tcPr>
            <w:tcW w:w="3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89"/>
              </w:rPr>
              <w:t>September 30 2021</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1"/>
              </w:rPr>
              <w:t>December 31 2020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September 30 2021</w:t>
            </w: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1"/>
              </w:rPr>
              <w:t>December 31 2020</w:t>
            </w:r>
          </w:p>
        </w:tc>
        <w:tc>
          <w:tcPr>
            <w:tcW w:w="100" w:type="dxa"/>
            <w:vAlign w:val="bottom"/>
            <w:gridSpan w:val="2"/>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137,296,733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100,927,528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369,899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Louisiana</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2,438,053</w:t>
            </w:r>
          </w:p>
        </w:tc>
        <w:tc>
          <w:tcPr>
            <w:tcW w:w="1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2,998,684</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84,841</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2,879,727</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2,914,498</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19,694</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California</w:t>
            </w:r>
          </w:p>
        </w:tc>
        <w:tc>
          <w:tcPr>
            <w:tcW w:w="120" w:type="dxa"/>
            <w:vAlign w:val="bottom"/>
          </w:tcPr>
          <w:p>
            <w:pPr>
              <w:spacing w:after="0"/>
              <w:rPr>
                <w:sz w:val="19"/>
                <w:szCs w:val="19"/>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389,145</w:t>
            </w:r>
          </w:p>
        </w:tc>
        <w:tc>
          <w:tcPr>
            <w:tcW w:w="120" w:type="dxa"/>
            <w:vAlign w:val="bottom"/>
          </w:tcPr>
          <w:p>
            <w:pPr>
              <w:spacing w:after="0"/>
              <w:rPr>
                <w:sz w:val="19"/>
                <w:szCs w:val="19"/>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143,003,658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106,840,710</w:t>
            </w:r>
          </w:p>
        </w:tc>
        <w:tc>
          <w:tcPr>
            <w:tcW w:w="100" w:type="dxa"/>
            <w:vAlign w:val="bottom"/>
          </w:tcPr>
          <w:p>
            <w:pPr>
              <w:spacing w:after="0"/>
              <w:rPr>
                <w:sz w:val="21"/>
                <w:szCs w:val="21"/>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424,243</w:t>
            </w:r>
          </w:p>
        </w:tc>
        <w:tc>
          <w:tcPr>
            <w:tcW w:w="10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485,428</w:t>
            </w:r>
          </w:p>
        </w:tc>
        <w:tc>
          <w:tcPr>
            <w:tcW w:w="80" w:type="dxa"/>
            <w:vAlign w:val="bottom"/>
          </w:tcPr>
          <w:p>
            <w:pPr>
              <w:spacing w:after="0"/>
              <w:rPr>
                <w:sz w:val="21"/>
                <w:szCs w:val="2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Center53 phase 1 completed and phase 2, which is currently under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real estate held for sale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5"/>
          </w:tcPr>
          <w:p>
            <w:pPr>
              <w:ind w:left="940"/>
              <w:spacing w:after="0"/>
              <w:rPr>
                <w:sz w:val="20"/>
                <w:szCs w:val="20"/>
                <w:color w:val="auto"/>
              </w:rPr>
            </w:pPr>
            <w:r>
              <w:rPr>
                <w:rFonts w:ascii="Arial" w:cs="Arial" w:eastAsia="Arial" w:hAnsi="Arial"/>
                <w:sz w:val="18"/>
                <w:szCs w:val="18"/>
                <w:color w:val="auto"/>
              </w:rPr>
              <w:t>Net Ending Balance</w:t>
            </w:r>
          </w:p>
        </w:tc>
        <w:tc>
          <w:tcPr>
            <w:tcW w:w="3780" w:type="dxa"/>
            <w:vAlign w:val="bottom"/>
            <w:gridSpan w:val="4"/>
          </w:tcPr>
          <w:p>
            <w:pPr>
              <w:ind w:left="1060"/>
              <w:spacing w:after="0"/>
              <w:rPr>
                <w:sz w:val="20"/>
                <w:szCs w:val="20"/>
                <w:color w:val="auto"/>
              </w:rPr>
            </w:pPr>
            <w:r>
              <w:rPr>
                <w:rFonts w:ascii="Arial" w:cs="Arial" w:eastAsia="Arial" w:hAnsi="Arial"/>
                <w:sz w:val="18"/>
                <w:szCs w:val="18"/>
                <w:color w:val="auto"/>
              </w:rPr>
              <w:t>Total Square Footage</w:t>
            </w: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right"/>
              <w:ind w:right="700"/>
              <w:spacing w:after="0" w:line="195" w:lineRule="exact"/>
              <w:rPr>
                <w:sz w:val="20"/>
                <w:szCs w:val="20"/>
                <w:color w:val="auto"/>
              </w:rPr>
            </w:pPr>
            <w:r>
              <w:rPr>
                <w:rFonts w:ascii="Arial" w:cs="Arial" w:eastAsia="Arial" w:hAnsi="Arial"/>
                <w:sz w:val="18"/>
                <w:szCs w:val="18"/>
                <w:color w:val="auto"/>
                <w:w w:val="99"/>
              </w:rPr>
              <w:t>September 30</w:t>
            </w: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6"/>
                <w:szCs w:val="16"/>
                <w:color w:val="auto"/>
              </w:rPr>
            </w:pPr>
          </w:p>
        </w:tc>
        <w:tc>
          <w:tcPr>
            <w:tcW w:w="2000" w:type="dxa"/>
            <w:vAlign w:val="bottom"/>
            <w:tcBorders>
              <w:top w:val="single" w:sz="8" w:color="auto"/>
            </w:tcBorders>
            <w:gridSpan w:val="2"/>
          </w:tcPr>
          <w:p>
            <w:pPr>
              <w:ind w:left="340"/>
              <w:spacing w:after="0" w:line="195" w:lineRule="exact"/>
              <w:rPr>
                <w:sz w:val="20"/>
                <w:szCs w:val="20"/>
                <w:color w:val="auto"/>
              </w:rPr>
            </w:pPr>
            <w:r>
              <w:rPr>
                <w:rFonts w:ascii="Arial" w:cs="Arial" w:eastAsia="Arial" w:hAnsi="Arial"/>
                <w:sz w:val="18"/>
                <w:szCs w:val="18"/>
                <w:color w:val="auto"/>
              </w:rPr>
              <w:t>September 30</w:t>
            </w:r>
          </w:p>
        </w:tc>
        <w:tc>
          <w:tcPr>
            <w:tcW w:w="168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Kansas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Louisiana</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490,000</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53,063</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Texas (1)</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249,000</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249,000</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Mississippi</w:t>
            </w: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151,553</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151,553</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4,890,553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4,400,553</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275,742</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234,979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(1)  Improved commercial pad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and sale is $1,190,602 and $4,327,079 as of September 30, 2021 and December 31, 2020,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2021 and 2020 the Company did not record any impairment losses on residential real estate held for investment or held for sale. During the nine months ended September 30, 2021 and 2020 the Company recorded impairment losses on residential real estate held for investment of $-0- and $43,394, respectively. Impairment losses, if any, are included in gains (losses) on investment and other assets on the condensed consolidated statements of earnings.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investment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5"/>
          </w:tcPr>
          <w:p>
            <w:pPr>
              <w:ind w:left="1080"/>
              <w:spacing w:after="0"/>
              <w:rPr>
                <w:sz w:val="20"/>
                <w:szCs w:val="20"/>
                <w:color w:val="auto"/>
              </w:rPr>
            </w:pPr>
            <w:r>
              <w:rPr>
                <w:rFonts w:ascii="Arial" w:cs="Arial" w:eastAsia="Arial" w:hAnsi="Arial"/>
                <w:sz w:val="18"/>
                <w:szCs w:val="18"/>
                <w:color w:val="auto"/>
              </w:rPr>
              <w:t>Net Ending Balance</w:t>
            </w:r>
          </w:p>
        </w:tc>
      </w:tr>
      <w:tr>
        <w:trPr>
          <w:trHeight w:val="195"/>
        </w:trPr>
        <w:tc>
          <w:tcPr>
            <w:tcW w:w="4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2"/>
          </w:tcPr>
          <w:p>
            <w:pPr>
              <w:jc w:val="right"/>
              <w:ind w:right="780"/>
              <w:spacing w:after="0" w:line="195" w:lineRule="exact"/>
              <w:rPr>
                <w:sz w:val="20"/>
                <w:szCs w:val="20"/>
                <w:color w:val="auto"/>
              </w:rPr>
            </w:pPr>
            <w:r>
              <w:rPr>
                <w:rFonts w:ascii="Arial" w:cs="Arial" w:eastAsia="Arial" w:hAnsi="Arial"/>
                <w:sz w:val="18"/>
                <w:szCs w:val="18"/>
                <w:color w:val="auto"/>
              </w:rPr>
              <w:t>September 30</w:t>
            </w:r>
          </w:p>
        </w:tc>
        <w:tc>
          <w:tcPr>
            <w:tcW w:w="2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r>
      <w:tr>
        <w:trPr>
          <w:trHeight w:val="230"/>
        </w:trPr>
        <w:tc>
          <w:tcPr>
            <w:tcW w:w="406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Utah (1)</w:t>
            </w: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46,520,521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24,557,562</w:t>
            </w:r>
          </w:p>
        </w:tc>
        <w:tc>
          <w:tcPr>
            <w:tcW w:w="100" w:type="dxa"/>
            <w:vAlign w:val="bottom"/>
            <w:shd w:val="clear" w:color="auto" w:fill="CCEEFF"/>
          </w:tcPr>
          <w:p>
            <w:pPr>
              <w:spacing w:after="0"/>
              <w:rPr>
                <w:sz w:val="18"/>
                <w:szCs w:val="18"/>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Washington (2)</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286,181</w:t>
            </w: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286,181</w:t>
            </w:r>
          </w:p>
        </w:tc>
      </w:tr>
      <w:tr>
        <w:trPr>
          <w:trHeight w:val="223"/>
        </w:trPr>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46,606,702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24,843,743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subdivision land developments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residential lots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subdivision land developments in Utah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December 31</w:t>
            </w:r>
          </w:p>
        </w:tc>
      </w:tr>
      <w:tr>
        <w:trPr>
          <w:trHeight w:val="230"/>
        </w:trPr>
        <w:tc>
          <w:tcPr>
            <w:tcW w:w="430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Lots available for sale</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Lots to be developed</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46,111,025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23,777,478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sale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6"/>
          </w:tcPr>
          <w:p>
            <w:pPr>
              <w:ind w:left="740"/>
              <w:spacing w:after="0"/>
              <w:rPr>
                <w:sz w:val="20"/>
                <w:szCs w:val="20"/>
                <w:color w:val="auto"/>
              </w:rPr>
            </w:pPr>
            <w:r>
              <w:rPr>
                <w:rFonts w:ascii="Arial" w:cs="Arial" w:eastAsia="Arial" w:hAnsi="Arial"/>
                <w:sz w:val="18"/>
                <w:szCs w:val="18"/>
                <w:color w:val="auto"/>
              </w:rPr>
              <w:t>Net Ending Balance</w:t>
            </w:r>
          </w:p>
        </w:tc>
      </w:tr>
      <w:tr>
        <w:trPr>
          <w:trHeight w:val="195"/>
        </w:trPr>
        <w:tc>
          <w:tcPr>
            <w:tcW w:w="5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520"/>
              <w:spacing w:after="0" w:line="195" w:lineRule="exact"/>
              <w:rPr>
                <w:sz w:val="20"/>
                <w:szCs w:val="20"/>
                <w:color w:val="auto"/>
              </w:rPr>
            </w:pPr>
            <w:r>
              <w:rPr>
                <w:rFonts w:ascii="Arial" w:cs="Arial" w:eastAsia="Arial" w:hAnsi="Arial"/>
                <w:sz w:val="18"/>
                <w:szCs w:val="18"/>
                <w:color w:val="auto"/>
                <w:w w:val="93"/>
              </w:rPr>
              <w:t>September 30</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96"/>
              </w:rPr>
              <w:t>December 31</w:t>
            </w:r>
          </w:p>
        </w:tc>
        <w:tc>
          <w:tcPr>
            <w:tcW w:w="80" w:type="dxa"/>
            <w:vAlign w:val="bottom"/>
            <w:gridSpan w:val="2"/>
          </w:tcPr>
          <w:p>
            <w:pPr>
              <w:spacing w:after="0"/>
              <w:rPr>
                <w:sz w:val="16"/>
                <w:szCs w:val="16"/>
                <w:color w:val="auto"/>
              </w:rPr>
            </w:pPr>
          </w:p>
        </w:tc>
      </w:tr>
      <w:tr>
        <w:trPr>
          <w:trHeight w:val="230"/>
        </w:trPr>
        <w:tc>
          <w:tcPr>
            <w:tcW w:w="5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Florida</w:t>
            </w:r>
          </w:p>
        </w:tc>
        <w:tc>
          <w:tcPr>
            <w:tcW w:w="1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744,322</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200,962</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1,744,292</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1,190,602</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3,478,254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As of September 30, 2021, real estate owned and occupied by the Company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91"/>
              </w:rPr>
              <w:t>Approximate Square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Square Footage Occupied by the</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Location</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Business Segment</w:t>
            </w: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7"/>
              </w:rPr>
              <w:t>Footage</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2"/>
          </w:tcPr>
          <w:p>
            <w:pPr>
              <w:jc w:val="right"/>
              <w:ind w:right="1160"/>
              <w:spacing w:after="0"/>
              <w:rPr>
                <w:sz w:val="20"/>
                <w:szCs w:val="20"/>
                <w:color w:val="auto"/>
              </w:rPr>
            </w:pPr>
            <w:r>
              <w:rPr>
                <w:rFonts w:ascii="Arial" w:cs="Arial" w:eastAsia="Arial" w:hAnsi="Arial"/>
                <w:sz w:val="18"/>
                <w:szCs w:val="18"/>
                <w:color w:val="auto"/>
              </w:rPr>
              <w:t>Company</w:t>
            </w:r>
          </w:p>
        </w:tc>
      </w:tr>
      <w:tr>
        <w:trPr>
          <w:trHeight w:val="195"/>
        </w:trPr>
        <w:tc>
          <w:tcPr>
            <w:tcW w:w="400" w:type="dxa"/>
            <w:vAlign w:val="bottom"/>
            <w:tcBorders>
              <w:top w:val="single" w:sz="8" w:color="auto"/>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Corporate Offices, Life Insurance</w:t>
            </w: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w:t>
            </w:r>
          </w:p>
        </w:tc>
        <w:tc>
          <w:tcPr>
            <w:tcW w:w="2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121 W. Election Rd., Draper, UT</w:t>
            </w:r>
          </w:p>
        </w:tc>
        <w:tc>
          <w:tcPr>
            <w:tcW w:w="2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Cemetery/Mortuary Operations</w:t>
            </w:r>
          </w:p>
        </w:tc>
        <w:tc>
          <w:tcPr>
            <w:tcW w:w="2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78,979</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5201</w:t>
            </w:r>
          </w:p>
        </w:tc>
        <w:tc>
          <w:tcPr>
            <w:tcW w:w="2080" w:type="dxa"/>
            <w:vAlign w:val="bottom"/>
          </w:tcPr>
          <w:p>
            <w:pPr>
              <w:ind w:left="20"/>
              <w:spacing w:after="0" w:line="201" w:lineRule="exact"/>
              <w:rPr>
                <w:sz w:val="20"/>
                <w:szCs w:val="20"/>
                <w:color w:val="auto"/>
              </w:rPr>
            </w:pPr>
            <w:r>
              <w:rPr>
                <w:rFonts w:ascii="Arial" w:cs="Arial" w:eastAsia="Arial" w:hAnsi="Arial"/>
                <w:sz w:val="18"/>
                <w:szCs w:val="18"/>
                <w:color w:val="auto"/>
              </w:rPr>
              <w:t>Green Street, Salt Lake</w:t>
            </w:r>
          </w:p>
        </w:tc>
        <w:tc>
          <w:tcPr>
            <w:tcW w:w="29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Life Insurance and Mortgage</w:t>
            </w: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City, UT (1)</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Operations</w:t>
            </w:r>
          </w:p>
        </w:tc>
        <w:tc>
          <w:tcPr>
            <w:tcW w:w="2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39,157</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1044</w:t>
            </w:r>
          </w:p>
        </w:tc>
        <w:tc>
          <w:tcPr>
            <w:tcW w:w="2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River Oaks Dr., Flowood,</w:t>
            </w: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MS</w:t>
            </w:r>
          </w:p>
        </w:tc>
        <w:tc>
          <w:tcPr>
            <w:tcW w:w="208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Life Insurance Operations</w:t>
            </w:r>
          </w:p>
        </w:tc>
        <w:tc>
          <w:tcPr>
            <w:tcW w:w="2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19,694</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1818</w:t>
            </w:r>
          </w:p>
        </w:tc>
        <w:tc>
          <w:tcPr>
            <w:tcW w:w="2080" w:type="dxa"/>
            <w:vAlign w:val="bottom"/>
          </w:tcPr>
          <w:p>
            <w:pPr>
              <w:ind w:left="20"/>
              <w:spacing w:after="0" w:line="201" w:lineRule="exact"/>
              <w:rPr>
                <w:sz w:val="20"/>
                <w:szCs w:val="20"/>
                <w:color w:val="auto"/>
              </w:rPr>
            </w:pPr>
            <w:r>
              <w:rPr>
                <w:rFonts w:ascii="Arial" w:cs="Arial" w:eastAsia="Arial" w:hAnsi="Arial"/>
                <w:sz w:val="18"/>
                <w:szCs w:val="18"/>
                <w:color w:val="auto"/>
                <w:w w:val="91"/>
              </w:rPr>
              <w:t>Marshall Street, Shreveport,</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LA (1)</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Life Insurance Operations</w:t>
            </w:r>
          </w:p>
        </w:tc>
        <w:tc>
          <w:tcPr>
            <w:tcW w:w="2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12,274</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909 Foisy Street, Alexandria, LA</w:t>
            </w: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8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Life Insurance Sales</w:t>
            </w:r>
          </w:p>
        </w:tc>
        <w:tc>
          <w:tcPr>
            <w:tcW w:w="2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8,059</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w w:val="92"/>
              </w:rPr>
              <w:t>812 Sheppard Street, Minden, LA</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2080" w:type="dxa"/>
            <w:vAlign w:val="bottom"/>
          </w:tcPr>
          <w:p>
            <w:pPr>
              <w:spacing w:after="0"/>
              <w:rPr>
                <w:sz w:val="20"/>
                <w:szCs w:val="20"/>
                <w:color w:val="auto"/>
              </w:rPr>
            </w:pP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Life Insurance Sales</w:t>
            </w:r>
          </w:p>
        </w:tc>
        <w:tc>
          <w:tcPr>
            <w:tcW w:w="2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1,560</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1550</w:t>
            </w: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 3rd Street, Jena, LA (1)</w:t>
            </w:r>
          </w:p>
        </w:tc>
        <w:tc>
          <w:tcPr>
            <w:tcW w:w="2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Life Insurance Sales</w:t>
            </w:r>
          </w:p>
        </w:tc>
        <w:tc>
          <w:tcPr>
            <w:tcW w:w="2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1,737</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property and equipment on the condensed consolidated balance sheets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025" w:gutter="0" w:footer="0" w:header="0"/>
        </w:sectPr>
      </w:pPr>
    </w:p>
    <w:bookmarkStart w:id="22" w:name="page23"/>
    <w:bookmarkEnd w:id="2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September 30,2021, the Company had 62%, 13%, 5%, 4%, 2%, 2% and 2% of its mortgage loans from borrowers located in the states of Utah, Florida, Texas, Nevada, Arizona, Hawaii, and Louisiana, respectively. At December 31, 2020, the Company had 57%, 13%, 9%, 4%, 3% and 3% of its mortgage loans from borrowers located in the states of Utah, Florida, Texas, California, Nevada and Arizona, respectively.</w:t>
      </w:r>
    </w:p>
    <w:p>
      <w:pPr>
        <w:spacing w:after="0" w:line="19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mortgages on the unit, which are generally the primary residence of the borrower, generally at a loan-to-value ratio (“LTV”) of 80% or less.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establishes a valuation allowance for credit losses in its mortgage loans held for investment portfolio. The following is a summary of the allowance for loan losses as a contra-asset account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Residential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Residential</w:t>
            </w:r>
          </w:p>
        </w:tc>
        <w:tc>
          <w:tcPr>
            <w:tcW w:w="1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Construction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January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187,129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1,774,796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43,202</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2,005,127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(251,274)</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(251,273)</w:t>
            </w:r>
          </w:p>
        </w:tc>
      </w:tr>
      <w:tr>
        <w:trPr>
          <w:trHeight w:val="263"/>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 - September 30, 2021</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1,523,522</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1,753,853</w:t>
            </w:r>
          </w:p>
        </w:tc>
        <w:tc>
          <w:tcPr>
            <w:tcW w:w="100" w:type="dxa"/>
            <w:vAlign w:val="bottom"/>
            <w:tcBorders>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131,576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131,576</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187,129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1,391,946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43,202</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1,622,277</w:t>
            </w: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September 30,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52,087,010</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89,544,581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169,030,287</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310,661,878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575,260</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3,170,462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3,745,722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51,511,750</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86,374,119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169,030,287</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306,916,156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January 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187,129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1,222,706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43,202</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1,453,037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552,090</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552,090</w:t>
            </w:r>
          </w:p>
        </w:tc>
      </w:tr>
      <w:tr>
        <w:trPr>
          <w:trHeight w:val="263"/>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 – December 31, 2020</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1,774,796</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2,005,127</w:t>
            </w:r>
          </w:p>
        </w:tc>
        <w:tc>
          <w:tcPr>
            <w:tcW w:w="100" w:type="dxa"/>
            <w:vAlign w:val="bottom"/>
            <w:tcBorders>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219,905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187,129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1,554,891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43,202</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1,785,222</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December 31,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46,836,866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111,111,777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95,822,448</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253,771,091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2,148,827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7,932,680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10,282,470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44,688,039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103,179,097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95,621,485</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243,488,621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aging of mortgage loans held for investment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Residential</w:t>
            </w:r>
          </w:p>
        </w:tc>
        <w:tc>
          <w:tcPr>
            <w:tcW w:w="14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30-59 Days Past Due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5,920,000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2,675,378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8,595,378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60-89 Days Past Due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451,337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861,848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1,799,000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3,112,185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Greater Than 90 Days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473,372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2,021,311</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2,494,683</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 Process of Foreclosure (1)</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1,149,151</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1,251,039</w:t>
            </w:r>
          </w:p>
        </w:tc>
      </w:tr>
      <w:tr>
        <w:trPr>
          <w:trHeight w:val="21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6,946,597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6,707,686</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1,799,000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15,453,285</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45,140,413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82,836,895</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167,231,287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295,208,595</w:t>
            </w:r>
          </w:p>
        </w:tc>
        <w:tc>
          <w:tcPr>
            <w:tcW w:w="100" w:type="dxa"/>
            <w:vAlign w:val="bottom"/>
            <w:shd w:val="clear" w:color="auto" w:fill="CCEEFF"/>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Mortgage Loans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52,087,010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89,544,581</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169,030,287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310,661,878</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(1,753,853)</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Unamortized deferred loan fees, net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(27,735)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(695,987)</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(290,203)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(1,013,925)</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discounts, net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(269,363)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(234,256)</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(503,619)</w:t>
            </w:r>
          </w:p>
        </w:tc>
      </w:tr>
      <w:tr>
        <w:trPr>
          <w:trHeight w:val="263"/>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Mortgage Loans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51,602,783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87,090,816</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168,696,882</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307,390,481</w:t>
            </w:r>
          </w:p>
        </w:tc>
        <w:tc>
          <w:tcPr>
            <w:tcW w:w="100" w:type="dxa"/>
            <w:vAlign w:val="bottom"/>
            <w:tcBorders>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30-59 Days Past Due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233,200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5,866,505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127,191</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6,226,896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812,780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2,048,148</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2,860,928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Greater Than 90 Days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2,148,827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5,669,583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7,818,410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 Process of Foreclosure (1)</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2,263,097</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200,963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2,464,060</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15,847,333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43,642,059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79,975,115</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110,783,623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234,400,797</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Mortgage Loans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46,836,866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95,822,448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111,111,777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253,771,091</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92" w:right="339" w:bottom="1440" w:gutter="0" w:footer="0" w:header="0"/>
        </w:sectPr>
      </w:pPr>
    </w:p>
    <w:p>
      <w:pPr>
        <w:ind w:right="1420"/>
        <w:spacing w:after="0" w:line="250" w:lineRule="auto"/>
        <w:rPr>
          <w:sz w:val="20"/>
          <w:szCs w:val="20"/>
          <w:color w:val="auto"/>
        </w:rPr>
      </w:pPr>
      <w:r>
        <w:rPr>
          <w:rFonts w:ascii="Arial" w:cs="Arial" w:eastAsia="Arial" w:hAnsi="Arial"/>
          <w:sz w:val="18"/>
          <w:szCs w:val="18"/>
          <w:color w:val="auto"/>
        </w:rPr>
        <w:t>Allowance for Loan Losses Unamortized deferred loan fees, net Unamortized discounts,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Mortgage Loans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3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(187,129)</w:t>
            </w:r>
          </w:p>
        </w:tc>
        <w:tc>
          <w:tcPr>
            <w:tcW w:w="320" w:type="dxa"/>
            <w:vAlign w:val="bottom"/>
          </w:tcPr>
          <w:p>
            <w:pPr>
              <w:spacing w:after="0"/>
              <w:rPr>
                <w:sz w:val="17"/>
                <w:szCs w:val="17"/>
                <w:color w:val="auto"/>
              </w:rPr>
            </w:pPr>
          </w:p>
        </w:tc>
        <w:tc>
          <w:tcPr>
            <w:tcW w:w="13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(1,774,796)</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(43,202)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(2,005,127)</w:t>
            </w:r>
          </w:p>
        </w:tc>
      </w:tr>
      <w:tr>
        <w:trPr>
          <w:trHeight w:val="216"/>
        </w:trPr>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(32,557)</w:t>
            </w:r>
          </w:p>
        </w:tc>
        <w:tc>
          <w:tcPr>
            <w:tcW w:w="3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(909,864)</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(218,711)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(1,161,132)</w:t>
            </w:r>
          </w:p>
        </w:tc>
      </w:tr>
      <w:tr>
        <w:trPr>
          <w:trHeight w:val="244"/>
        </w:trPr>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(880,721)</w:t>
            </w:r>
          </w:p>
        </w:tc>
        <w:tc>
          <w:tcPr>
            <w:tcW w:w="3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(380,175)</w:t>
            </w:r>
          </w:p>
        </w:tc>
        <w:tc>
          <w:tcPr>
            <w:tcW w:w="2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(1,260,896)</w:t>
            </w:r>
          </w:p>
        </w:tc>
      </w:tr>
      <w:tr>
        <w:trPr>
          <w:trHeight w:val="223"/>
        </w:trPr>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45,736,459</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92,757,613</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110,849,864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249,343,936</w:t>
            </w:r>
          </w:p>
        </w:tc>
        <w:tc>
          <w:tcPr>
            <w:tcW w:w="6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692" w:right="339" w:bottom="1440" w:gutter="0" w:footer="0" w:header="0"/>
          <w:type w:val="continuous"/>
        </w:sectPr>
      </w:pPr>
    </w:p>
    <w:p>
      <w:pPr>
        <w:spacing w:after="0" w:line="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 income is not recognized on loans past due greater than 90 days or in foreclosure.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5" w:name="page26"/>
    <w:bookmarkEnd w:id="2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Impaired Mortgage Loans Held for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Unpaid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Interest</w:t>
            </w: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0"/>
        </w:trPr>
        <w:tc>
          <w:tcPr>
            <w:tcW w:w="3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Recognized</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575,260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575,260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2,268,746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2,268,746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2,868,607</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901,716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901,716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131,576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892,335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575,260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575,260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3,170,462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3,170,462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131,576</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3,760,942</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2,148,827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1,866,819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6,415,419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6,415,419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5,010,078</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555,278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1,517,261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1,517,261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219,905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1,182,368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2,148,827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2,148,827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1,866,819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7,932,680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7,932,680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219,905</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6,192,446</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555,278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performing and non-performing mortgage loans held for investment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ind w:left="5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20"/>
                <w:szCs w:val="20"/>
                <w:color w:val="auto"/>
              </w:rPr>
            </w:pPr>
          </w:p>
        </w:tc>
        <w:tc>
          <w:tcPr>
            <w:tcW w:w="2460" w:type="dxa"/>
            <w:vAlign w:val="bottom"/>
            <w:gridSpan w:val="4"/>
          </w:tcPr>
          <w:p>
            <w:pPr>
              <w:ind w:left="26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20"/>
                <w:szCs w:val="20"/>
                <w:color w:val="auto"/>
              </w:rPr>
            </w:pPr>
          </w:p>
        </w:tc>
        <w:tc>
          <w:tcPr>
            <w:tcW w:w="2440" w:type="dxa"/>
            <w:vAlign w:val="bottom"/>
            <w:gridSpan w:val="5"/>
          </w:tcPr>
          <w:p>
            <w:pPr>
              <w:ind w:left="980"/>
              <w:spacing w:after="0"/>
              <w:rPr>
                <w:sz w:val="20"/>
                <w:szCs w:val="20"/>
                <w:color w:val="auto"/>
              </w:rPr>
            </w:pPr>
            <w:r>
              <w:rPr>
                <w:rFonts w:ascii="Arial" w:cs="Arial" w:eastAsia="Arial" w:hAnsi="Arial"/>
                <w:sz w:val="18"/>
                <w:szCs w:val="18"/>
                <w:color w:val="auto"/>
              </w:rPr>
              <w:t>Total</w:t>
            </w:r>
          </w:p>
        </w:tc>
      </w:tr>
      <w:tr>
        <w:trPr>
          <w:trHeight w:val="195"/>
        </w:trPr>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September</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86"/>
              </w:rPr>
              <w:t>December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18"/>
                <w:szCs w:val="18"/>
                <w:color w:val="auto"/>
                <w:w w:val="86"/>
              </w:rPr>
              <w:t>September</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December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6"/>
              </w:rPr>
              <w:t>September</w:t>
            </w:r>
          </w:p>
        </w:tc>
        <w:tc>
          <w:tcPr>
            <w:tcW w:w="10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December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86"/>
              </w:rPr>
              <w:t>September</w:t>
            </w:r>
          </w:p>
        </w:tc>
        <w:tc>
          <w:tcPr>
            <w:tcW w:w="10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December</w:t>
            </w:r>
          </w:p>
        </w:tc>
        <w:tc>
          <w:tcPr>
            <w:tcW w:w="100" w:type="dxa"/>
            <w:vAlign w:val="bottom"/>
            <w:gridSpan w:val="2"/>
          </w:tcPr>
          <w:p>
            <w:pPr>
              <w:spacing w:after="0"/>
              <w:rPr>
                <w:sz w:val="16"/>
                <w:szCs w:val="16"/>
                <w:color w:val="auto"/>
              </w:rPr>
            </w:pPr>
          </w:p>
        </w:tc>
      </w:tr>
      <w:tr>
        <w:trPr>
          <w:trHeight w:val="230"/>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30, 2021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6"/>
              </w:rPr>
              <w:t>31, 2020</w:t>
            </w:r>
          </w:p>
        </w:tc>
        <w:tc>
          <w:tcPr>
            <w:tcW w:w="14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30, 2021</w:t>
            </w:r>
          </w:p>
        </w:tc>
        <w:tc>
          <w:tcPr>
            <w:tcW w:w="16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31, 2020</w:t>
            </w:r>
          </w:p>
        </w:tc>
        <w:tc>
          <w:tcPr>
            <w:tcW w:w="14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30, 2021</w:t>
            </w:r>
          </w:p>
        </w:tc>
        <w:tc>
          <w:tcPr>
            <w:tcW w:w="3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31, 2020</w:t>
            </w:r>
          </w:p>
        </w:tc>
        <w:tc>
          <w:tcPr>
            <w:tcW w:w="14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30, 2021</w:t>
            </w:r>
          </w:p>
        </w:tc>
        <w:tc>
          <w:tcPr>
            <w:tcW w:w="3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51,511,750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44,688,039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$ 86,374,119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$ 87,889,768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$ 169,030,287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$ 110,910,814</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$ 306,916,156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$ 243,488,621</w:t>
            </w:r>
          </w:p>
        </w:tc>
        <w:tc>
          <w:tcPr>
            <w:tcW w:w="80" w:type="dxa"/>
            <w:vAlign w:val="bottom"/>
            <w:shd w:val="clear" w:color="auto" w:fill="CCEEFF"/>
          </w:tcPr>
          <w:p>
            <w:pPr>
              <w:spacing w:after="0"/>
              <w:rPr>
                <w:sz w:val="18"/>
                <w:szCs w:val="18"/>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18"/>
                <w:szCs w:val="18"/>
                <w:color w:val="auto"/>
              </w:rPr>
              <w:t>performing</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575,260</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2,148,827</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3,170,462</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7,932,680</w:t>
            </w:r>
          </w:p>
        </w:tc>
        <w:tc>
          <w:tcPr>
            <w:tcW w:w="1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200,963</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3,745,722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10,282,470</w:t>
            </w:r>
          </w:p>
        </w:tc>
      </w:tr>
      <w:tr>
        <w:trPr>
          <w:trHeight w:val="209"/>
        </w:trPr>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52,087,011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46,836,866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89,544,581</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95,822,448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$ 169,030,287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$ 111,111,777</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$ 310,661,878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$ 253,771,091</w:t>
            </w:r>
          </w:p>
        </w:tc>
        <w:tc>
          <w:tcPr>
            <w:tcW w:w="8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Non-Accrual Mortgage Loans Held for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$265,000 and $491,000 as of September 30, 2021 and December 31,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mortgage loans held for investment on a non-accrual status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As of</w:t>
            </w:r>
          </w:p>
        </w:tc>
      </w:tr>
      <w:tr>
        <w:trPr>
          <w:trHeight w:val="230"/>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September 30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color w:val="auto"/>
              </w:rPr>
              <w:t>December 31 2020</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575,260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2,148,827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3,170,462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7,932,680</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200,963</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3,745,222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10,282,470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As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560"/>
              <w:spacing w:after="0"/>
              <w:rPr>
                <w:sz w:val="20"/>
                <w:szCs w:val="20"/>
                <w:color w:val="auto"/>
              </w:rPr>
            </w:pPr>
            <w:r>
              <w:rPr>
                <w:rFonts w:ascii="Arial" w:cs="Arial" w:eastAsia="Arial" w:hAnsi="Arial"/>
                <w:sz w:val="18"/>
                <w:szCs w:val="18"/>
                <w:color w:val="auto"/>
              </w:rPr>
              <w:t>As of</w:t>
            </w:r>
          </w:p>
        </w:tc>
      </w:tr>
      <w:tr>
        <w:trPr>
          <w:trHeight w:val="230"/>
        </w:trPr>
        <w:tc>
          <w:tcPr>
            <w:tcW w:w="4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September 30 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December 31 2020</w:t>
            </w:r>
          </w:p>
        </w:tc>
      </w:tr>
      <w:tr>
        <w:trPr>
          <w:trHeight w:val="209"/>
        </w:trPr>
        <w:tc>
          <w:tcPr>
            <w:tcW w:w="4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312,655,843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422,772,418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304,132,748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406,407,323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8,523,095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16,365,095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700"/>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5"/>
          </w:tcPr>
          <w:p>
            <w:pPr>
              <w:jc w:val="right"/>
              <w:ind w:right="480"/>
              <w:spacing w:after="0"/>
              <w:rPr>
                <w:sz w:val="20"/>
                <w:szCs w:val="20"/>
                <w:color w:val="auto"/>
              </w:rPr>
            </w:pPr>
            <w:r>
              <w:rPr>
                <w:rFonts w:ascii="Arial" w:cs="Arial" w:eastAsia="Arial" w:hAnsi="Arial"/>
                <w:sz w:val="18"/>
                <w:szCs w:val="18"/>
                <w:color w:val="auto"/>
                <w:w w:val="94"/>
              </w:rPr>
              <w:t>Nine Months Ended 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9,552,788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20,630,052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28,247,365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40,167,476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2,336,573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3,348,929</w:t>
            </w: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6,836,754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7,630,993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55,440,961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70,627,864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179,900,770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151,215,666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2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(380,696)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3,901,086</w:t>
            </w: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(549,093)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12,454,218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(259,307)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1,404,131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(8,319,820)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4,231,347</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24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(432,468)</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(1,352,438)</w:t>
            </w:r>
          </w:p>
        </w:tc>
        <w:tc>
          <w:tcPr>
            <w:tcW w:w="2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(1,701,700)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(3,489,982)</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66,257,851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98,559,624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204,414,276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212,209,718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loan loss reserve that is included in other liabilities and accrued expenses:</w:t>
      </w:r>
    </w:p>
    <w:p>
      <w:pPr>
        <w:sectPr>
          <w:pgSz w:w="11900" w:h="16838" w:orient="portrait"/>
          <w:cols w:equalWidth="0" w:num="1">
            <w:col w:w="11240"/>
          </w:cols>
          <w:pgMar w:left="320" w:top="692" w:right="339" w:bottom="6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Provision on current loan originations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provision for loan loss reserve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Charge-offs, net of recaptured amounts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9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Included in mortgage fee income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120" w:hanging="1113"/>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20,583,618</w:t>
      </w:r>
    </w:p>
    <w:p>
      <w:pPr>
        <w:spacing w:after="0" w:line="3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1,701,700</w:t>
      </w:r>
    </w:p>
    <w:p>
      <w:pPr>
        <w:spacing w:after="0" w:line="20"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-130810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(19,877,085)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ind w:left="1200" w:hanging="1193"/>
        <w:spacing w:after="0"/>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2,408,233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217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2020</w:t>
      </w:r>
    </w:p>
    <w:p>
      <w:pPr>
        <w:spacing w:after="0" w:line="9" w:lineRule="exact"/>
        <w:rPr>
          <w:sz w:val="20"/>
          <w:szCs w:val="20"/>
          <w:color w:val="auto"/>
        </w:rPr>
      </w:pPr>
    </w:p>
    <w:p>
      <w:pPr>
        <w:ind w:left="1200" w:hanging="1192"/>
        <w:spacing w:after="0"/>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4,046,288</w:t>
      </w:r>
    </w:p>
    <w:p>
      <w:pPr>
        <w:spacing w:after="0" w:line="3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4,938,214</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16,506,030</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(4,906,914)</w:t>
      </w:r>
    </w:p>
    <w:p>
      <w:pPr>
        <w:spacing w:after="0" w:line="35" w:lineRule="exact"/>
        <w:rPr>
          <w:sz w:val="20"/>
          <w:szCs w:val="20"/>
          <w:color w:val="auto"/>
        </w:rPr>
      </w:pPr>
    </w:p>
    <w:p>
      <w:pPr>
        <w:ind w:left="1100" w:hanging="1092"/>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20,583,618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208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3">
            <w:col w:w="6260" w:space="720"/>
            <w:col w:w="1980" w:space="260"/>
            <w:col w:w="2020"/>
          </w:cols>
          <w:pgMar w:left="320" w:top="692" w:right="339" w:bottom="620" w:gutter="0" w:footer="0" w:header="0"/>
          <w:type w:val="continuous"/>
        </w:sectPr>
      </w:pP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maintains reserves for estimated losses on current production volumes. For the nine months ended September 30, 2021, $1,701,700 in reserves were added. The Company currently adds reserves a rate of 3.0 basis points per loan, the equivalent of $300 per $1,000,000 in loans originated. This is a decrease over the nine months ended September 30, 2020, when reserves were added at a rate of 8.9 basis points per loan originated, the equivalent of $890 per $1,000,000 in loans originated. The Company also increased its loan loss reserve for the year ended December 31, 2020 by an additional $16,506,030 to account for changes in estimates specific to settlements of loan losses. See Note 11 for additional information regarding mortgage loan loss settlements and charge-offs. 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September 30, 2021, represents its best estimate for adequate loss reserves on loans sold.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20" w:gutter="0" w:footer="0" w:header="0"/>
          <w:type w:val="continuous"/>
        </w:sectPr>
      </w:pPr>
    </w:p>
    <w:bookmarkStart w:id="28" w:name="page29"/>
    <w:bookmarkEnd w:id="2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fixed option plans (the “2013 Plan” and the “2014 Director Plan”). Compensation expense for options issued of $-0- and $104,562 has been recognized for these plans for the three months ended September 30, 2021 and 2020, respectively, and $39,153 and $271,959 has been recognized for these plans for the nine months ended September 30, 2021 and 2020, respectively. As of September 30, 2021, the total unrecognized compensation expense related to the options issued was $0.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stock compensation plans as of September 30, 2021, and the changes during the nine months ended September 30, 2021, are presented below:</w:t>
      </w:r>
    </w:p>
    <w:p>
      <w:pPr>
        <w:sectPr>
          <w:pgSz w:w="11900" w:h="16838" w:orient="portrait"/>
          <w:cols w:equalWidth="0" w:num="1">
            <w:col w:w="11240"/>
          </w:cols>
          <w:pgMar w:left="320" w:top="692"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90"/>
              </w:rPr>
              <w:t>Weighted Average</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Class A Shares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411"/>
        </w:trPr>
        <w:tc>
          <w:tcPr>
            <w:tcW w:w="4740" w:type="dxa"/>
            <w:vAlign w:val="bottom"/>
          </w:tcPr>
          <w:p>
            <w:pPr>
              <w:spacing w:after="0"/>
              <w:rPr>
                <w:sz w:val="20"/>
                <w:szCs w:val="20"/>
                <w:color w:val="auto"/>
              </w:rPr>
            </w:pPr>
            <w:r>
              <w:rPr>
                <w:rFonts w:ascii="Arial" w:cs="Arial" w:eastAsia="Arial" w:hAnsi="Arial"/>
                <w:sz w:val="18"/>
                <w:szCs w:val="18"/>
                <w:color w:val="auto"/>
              </w:rPr>
              <w:t>Outstanding at January 1, 2021</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1,072,863</w:t>
            </w:r>
          </w:p>
        </w:tc>
        <w:tc>
          <w:tcPr>
            <w:tcW w:w="20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Adjustment for effect of stock dividends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(134,362)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40" w:type="dxa"/>
            <w:vAlign w:val="bottom"/>
          </w:tcPr>
          <w:p>
            <w:pPr>
              <w:spacing w:after="0"/>
              <w:rPr>
                <w:sz w:val="20"/>
                <w:szCs w:val="20"/>
                <w:color w:val="auto"/>
              </w:rPr>
            </w:pPr>
            <w:r>
              <w:rPr>
                <w:rFonts w:ascii="Arial" w:cs="Arial" w:eastAsia="Arial" w:hAnsi="Arial"/>
                <w:sz w:val="18"/>
                <w:szCs w:val="18"/>
                <w:color w:val="auto"/>
              </w:rPr>
              <w:t>Cancelled</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986,095</w:t>
            </w:r>
          </w:p>
        </w:tc>
        <w:tc>
          <w:tcPr>
            <w:tcW w:w="2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As of September 30, 2021:</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Options exercisable</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986,095</w:t>
            </w:r>
          </w:p>
        </w:tc>
        <w:tc>
          <w:tcPr>
            <w:tcW w:w="200" w:type="dxa"/>
            <w:vAlign w:val="bottom"/>
          </w:tcPr>
          <w:p>
            <w:pPr>
              <w:spacing w:after="0"/>
              <w:rPr>
                <w:sz w:val="22"/>
                <w:szCs w:val="22"/>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As of September 30, 2021:</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Available options for future grant</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364,851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w w:val="98"/>
              </w:rPr>
              <w:t>Weighted average contractual term of options outstanding at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September 30, 2021</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4.94 years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0"/>
                <w:szCs w:val="20"/>
                <w:color w:val="auto"/>
              </w:rPr>
            </w:pPr>
            <w:r>
              <w:rPr>
                <w:rFonts w:ascii="Arial" w:cs="Arial" w:eastAsia="Arial" w:hAnsi="Arial"/>
                <w:sz w:val="18"/>
                <w:szCs w:val="18"/>
                <w:color w:val="auto"/>
                <w:w w:val="98"/>
              </w:rPr>
              <w:t>Weighted average contractual term of options exercisable at</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September 30, 2021</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4.94 years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0"/>
                <w:szCs w:val="20"/>
                <w:color w:val="auto"/>
              </w:rPr>
            </w:pPr>
            <w:r>
              <w:rPr>
                <w:rFonts w:ascii="Arial" w:cs="Arial" w:eastAsia="Arial" w:hAnsi="Arial"/>
                <w:sz w:val="18"/>
                <w:szCs w:val="18"/>
                <w:color w:val="auto"/>
              </w:rPr>
              <w:t>Aggregated intrinsic value of options outstanding at</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September 30, 2021 (1)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3,868,045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Aggregated intrinsic value of options exercisable at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September 30, 2021 (1)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3,868,045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used a stock price of $8.23 as of September 30, 2021 to derive intrinsic value.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89"/>
              </w:rPr>
              <w:t>Weighted Average</w:t>
            </w:r>
          </w:p>
        </w:tc>
      </w:tr>
      <w:tr>
        <w:trPr>
          <w:trHeight w:val="230"/>
        </w:trPr>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Class C Shares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Exercise Price</w:t>
            </w:r>
          </w:p>
        </w:tc>
      </w:tr>
      <w:tr>
        <w:trPr>
          <w:trHeight w:val="411"/>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662,666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695,802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695,802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 years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48"/>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 years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75"/>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2,515,840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2,515,840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597" w:lineRule="exact"/>
        <w:rPr>
          <w:sz w:val="20"/>
          <w:szCs w:val="20"/>
          <w:color w:val="auto"/>
        </w:rPr>
      </w:pPr>
    </w:p>
    <w:p>
      <w:pPr>
        <w:sectPr>
          <w:pgSz w:w="11900" w:h="16838" w:orient="portrait"/>
          <w:cols w:equalWidth="0" w:num="2">
            <w:col w:w="7820" w:space="320"/>
            <w:col w:w="3100"/>
          </w:cols>
          <w:pgMar w:left="320" w:top="692" w:right="3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9" w:name="page30"/>
    <w:bookmarkEnd w:id="2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status of the Company’s stock compensation plans as of September 30, 2020, and the changes during the nine months ended September 30, 2020, are presented below:</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effect of stock 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options for future grant</w:t>
      </w:r>
    </w:p>
    <w:p>
      <w:pPr>
        <w:spacing w:after="0" w:line="2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Weighted average contractual term of options outstanding at September 30, 2020</w:t>
      </w:r>
    </w:p>
    <w:p>
      <w:pPr>
        <w:spacing w:after="0" w:line="14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Weighted average contractual term of options exercisable at September 30, 2020</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Aggregated intrinsic value of options outstanding at September 30, 2020 (1)</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Aggregated intrinsic value of options exercisable at September 30, 2020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Class A Shares</w:t>
            </w:r>
          </w:p>
        </w:tc>
        <w:tc>
          <w:tcPr>
            <w:tcW w:w="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1,086,053</w:t>
            </w:r>
          </w:p>
        </w:tc>
        <w:tc>
          <w:tcPr>
            <w:tcW w:w="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27,968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(78,803)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1,112,218</w:t>
            </w:r>
          </w:p>
        </w:tc>
        <w:tc>
          <w:tcPr>
            <w:tcW w:w="1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1,053,033</w:t>
            </w:r>
          </w:p>
        </w:tc>
        <w:tc>
          <w:tcPr>
            <w:tcW w:w="18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325,372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6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5.72 years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5.51 years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2,242,693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2,228,291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-3514090</wp:posOffset>
            </wp:positionV>
            <wp:extent cx="64122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-3239770</wp:posOffset>
            </wp:positionV>
            <wp:extent cx="64122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-2965450</wp:posOffset>
            </wp:positionV>
            <wp:extent cx="641223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-2656840</wp:posOffset>
            </wp:positionV>
            <wp:extent cx="641223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-2365375</wp:posOffset>
            </wp:positionV>
            <wp:extent cx="641223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-2047875</wp:posOffset>
            </wp:positionV>
            <wp:extent cx="64122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-1748155</wp:posOffset>
            </wp:positionV>
            <wp:extent cx="641223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-1319530</wp:posOffset>
            </wp:positionV>
            <wp:extent cx="641223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-908050</wp:posOffset>
            </wp:positionV>
            <wp:extent cx="64122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-471170</wp:posOffset>
            </wp:positionV>
            <wp:extent cx="641223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7"/>
              </w:rPr>
              <w:t>Number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Class C Shares</w:t>
            </w:r>
          </w:p>
        </w:tc>
        <w:tc>
          <w:tcPr>
            <w:tcW w:w="2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Exercise Price</w:t>
            </w: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594,132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793,486</w:t>
            </w:r>
          </w:p>
        </w:tc>
        <w:tc>
          <w:tcPr>
            <w:tcW w:w="4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652,805</w:t>
            </w:r>
          </w:p>
        </w:tc>
        <w:tc>
          <w:tcPr>
            <w:tcW w:w="46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266,500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 years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 years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1,115,985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894,505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40" w:space="520"/>
            <w:col w:w="2760" w:space="300"/>
            <w:col w:w="3920"/>
          </w:cols>
          <w:pgMar w:left="320" w:top="69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The Company used a stock price of $6.40 as of September 30, 2020 to derive intrinsic value.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nine months September 30, 2021 and 2020 was $591,603 and $191,309,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0" w:name="page31"/>
    <w:bookmarkEnd w:id="3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earnings per share amounts were calculated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700"/>
              <w:spacing w:after="0"/>
              <w:rPr>
                <w:sz w:val="20"/>
                <w:szCs w:val="20"/>
                <w:color w:val="auto"/>
              </w:rPr>
            </w:pPr>
            <w:r>
              <w:rPr>
                <w:rFonts w:ascii="Arial" w:cs="Arial" w:eastAsia="Arial" w:hAnsi="Arial"/>
                <w:sz w:val="18"/>
                <w:szCs w:val="18"/>
                <w:color w:val="auto"/>
                <w:w w:val="93"/>
              </w:rPr>
              <w:t>Three Months Ended September 30</w:t>
            </w:r>
          </w:p>
        </w:tc>
        <w:tc>
          <w:tcPr>
            <w:tcW w:w="220" w:type="dxa"/>
            <w:vAlign w:val="bottom"/>
          </w:tcPr>
          <w:p>
            <w:pPr>
              <w:spacing w:after="0"/>
              <w:rPr>
                <w:sz w:val="20"/>
                <w:szCs w:val="20"/>
                <w:color w:val="auto"/>
              </w:rPr>
            </w:pPr>
          </w:p>
        </w:tc>
        <w:tc>
          <w:tcPr>
            <w:tcW w:w="3100" w:type="dxa"/>
            <w:vAlign w:val="bottom"/>
            <w:gridSpan w:val="5"/>
          </w:tcPr>
          <w:p>
            <w:pPr>
              <w:ind w:left="1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37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18"/>
                <w:szCs w:val="18"/>
                <w:color w:val="auto"/>
              </w:rPr>
              <w:t>Net earnings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10,790,730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29,304,769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34,176,924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51,286,265</w:t>
            </w:r>
          </w:p>
        </w:tc>
        <w:tc>
          <w:tcPr>
            <w:tcW w:w="100" w:type="dxa"/>
            <w:vAlign w:val="bottom"/>
          </w:tcPr>
          <w:p>
            <w:pPr>
              <w:spacing w:after="0"/>
              <w:rPr>
                <w:sz w:val="24"/>
                <w:szCs w:val="24"/>
                <w:color w:val="auto"/>
              </w:rPr>
            </w:pPr>
          </w:p>
        </w:tc>
      </w:tr>
      <w:tr>
        <w:trPr>
          <w:trHeight w:val="197"/>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20,160,912</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19,830,879</w:t>
            </w:r>
          </w:p>
        </w:tc>
        <w:tc>
          <w:tcPr>
            <w:tcW w:w="2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20,117,257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19,717,877</w:t>
            </w:r>
          </w:p>
        </w:tc>
        <w:tc>
          <w:tcPr>
            <w:tcW w:w="100" w:type="dxa"/>
            <w:vAlign w:val="bottom"/>
          </w:tcPr>
          <w:p>
            <w:pPr>
              <w:spacing w:after="0"/>
              <w:rPr>
                <w:sz w:val="19"/>
                <w:szCs w:val="19"/>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Employee stock options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819,969</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587,720</w:t>
            </w:r>
          </w:p>
        </w:tc>
        <w:tc>
          <w:tcPr>
            <w:tcW w:w="2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810,438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424,206</w:t>
            </w:r>
          </w:p>
        </w:tc>
        <w:tc>
          <w:tcPr>
            <w:tcW w:w="100" w:type="dxa"/>
            <w:vAlign w:val="bottom"/>
          </w:tcPr>
          <w:p>
            <w:pPr>
              <w:spacing w:after="0"/>
              <w:rPr>
                <w:sz w:val="19"/>
                <w:szCs w:val="19"/>
                <w:color w:val="auto"/>
              </w:rPr>
            </w:pP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20,980,881</w:t>
            </w: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20,418,599</w:t>
            </w:r>
          </w:p>
        </w:tc>
        <w:tc>
          <w:tcPr>
            <w:tcW w:w="2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20,927,695</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20,142,083</w:t>
            </w:r>
          </w:p>
        </w:tc>
        <w:tc>
          <w:tcPr>
            <w:tcW w:w="100" w:type="dxa"/>
            <w:vAlign w:val="bottom"/>
          </w:tcPr>
          <w:p>
            <w:pPr>
              <w:spacing w:after="0"/>
              <w:rPr>
                <w:sz w:val="24"/>
                <w:szCs w:val="24"/>
                <w:color w:val="auto"/>
              </w:rPr>
            </w:pPr>
          </w:p>
        </w:tc>
      </w:tr>
      <w:tr>
        <w:trPr>
          <w:trHeight w:val="196"/>
        </w:trPr>
        <w:tc>
          <w:tcPr>
            <w:tcW w:w="37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0.54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4"/>
                <w:szCs w:val="24"/>
                <w:color w:val="auto"/>
              </w:rPr>
            </w:pPr>
          </w:p>
        </w:tc>
      </w:tr>
      <w:tr>
        <w:trPr>
          <w:trHeight w:val="197"/>
        </w:trPr>
        <w:tc>
          <w:tcPr>
            <w:tcW w:w="37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earnings per share amounts have been retroactively adjusted for the effect of annual stock dividends. For the nine months September 30, 2021 and 2020, there were -0- and -0-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ectPr>
          <w:pgSz w:w="11900" w:h="16838" w:orient="portrait"/>
          <w:cols w:equalWidth="0" w:num="1">
            <w:col w:w="11240"/>
          </w:cols>
          <w:pgMar w:left="320" w:top="692" w:right="3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shares of capital stock for the periods presented: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Conversion of Class C to Class 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Conversion of Class C to Class 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Class A</w:t>
            </w:r>
          </w:p>
        </w:tc>
        <w:tc>
          <w:tcPr>
            <w:tcW w:w="1980" w:type="dxa"/>
            <w:vAlign w:val="bottom"/>
            <w:gridSpan w:val="3"/>
          </w:tcPr>
          <w:p>
            <w:pPr>
              <w:jc w:val="right"/>
              <w:ind w:right="740"/>
              <w:spacing w:after="0"/>
              <w:rPr>
                <w:sz w:val="20"/>
                <w:szCs w:val="20"/>
                <w:color w:val="auto"/>
              </w:rPr>
            </w:pPr>
            <w:r>
              <w:rPr>
                <w:rFonts w:ascii="Arial" w:cs="Arial" w:eastAsia="Arial" w:hAnsi="Arial"/>
                <w:sz w:val="18"/>
                <w:szCs w:val="18"/>
                <w:color w:val="auto"/>
              </w:rPr>
              <w:t>Class C</w:t>
            </w:r>
          </w:p>
        </w:tc>
      </w:tr>
      <w:tr>
        <w:trPr>
          <w:trHeight w:val="224"/>
        </w:trPr>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16,107,779</w:t>
            </w:r>
          </w:p>
        </w:tc>
        <w:tc>
          <w:tcPr>
            <w:tcW w:w="32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2,500,887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3"/>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33,774</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405,210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61,720</w:t>
            </w:r>
          </w:p>
        </w:tc>
      </w:tr>
      <w:tr>
        <w:trPr>
          <w:trHeight w:val="244"/>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13,224</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(13,224)</w:t>
            </w:r>
          </w:p>
        </w:tc>
      </w:tr>
      <w:tr>
        <w:trPr>
          <w:trHeight w:val="20"/>
        </w:trPr>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16,559,987</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2,549,383</w:t>
            </w:r>
          </w:p>
        </w:tc>
        <w:tc>
          <w:tcPr>
            <w:tcW w:w="40" w:type="dxa"/>
            <w:vAlign w:val="bottom"/>
          </w:tcPr>
          <w:p>
            <w:pPr>
              <w:spacing w:after="0"/>
              <w:rPr>
                <w:sz w:val="24"/>
                <w:szCs w:val="24"/>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16,595,783</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2,679,603</w:t>
            </w:r>
          </w:p>
        </w:tc>
        <w:tc>
          <w:tcPr>
            <w:tcW w:w="40" w:type="dxa"/>
            <w:vAlign w:val="bottom"/>
          </w:tcPr>
          <w:p>
            <w:pPr>
              <w:spacing w:after="0"/>
              <w:rPr>
                <w:sz w:val="24"/>
                <w:szCs w:val="24"/>
                <w:color w:val="auto"/>
              </w:rPr>
            </w:pPr>
          </w:p>
        </w:tc>
      </w:tr>
      <w:tr>
        <w:trPr>
          <w:trHeight w:val="418"/>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111,608</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837,410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131,553</w:t>
            </w:r>
          </w:p>
        </w:tc>
        <w:tc>
          <w:tcPr>
            <w:tcW w:w="40" w:type="dxa"/>
            <w:vAlign w:val="bottom"/>
          </w:tcPr>
          <w:p>
            <w:pPr>
              <w:spacing w:after="0"/>
              <w:rPr>
                <w:sz w:val="18"/>
                <w:szCs w:val="18"/>
                <w:color w:val="auto"/>
              </w:rPr>
            </w:pPr>
          </w:p>
        </w:tc>
      </w:tr>
      <w:tr>
        <w:trPr>
          <w:trHeight w:val="244"/>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49,247</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(49,247)</w:t>
            </w:r>
          </w:p>
        </w:tc>
      </w:tr>
      <w:tr>
        <w:trPr>
          <w:trHeight w:val="20"/>
        </w:trPr>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17,594,048</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2,761,909</w:t>
            </w:r>
          </w:p>
        </w:tc>
        <w:tc>
          <w:tcPr>
            <w:tcW w:w="40" w:type="dxa"/>
            <w:vAlign w:val="bottom"/>
          </w:tcPr>
          <w:p>
            <w:pPr>
              <w:spacing w:after="0"/>
              <w:rPr>
                <w:sz w:val="24"/>
                <w:szCs w:val="24"/>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6880" w:space="100"/>
            <w:col w:w="4260"/>
          </w:cols>
          <w:pgMar w:left="320" w:top="692"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1" w:name="page32"/>
    <w:bookmarkEnd w:id="3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2020. Intersegment revenues are recorded at cost plus an agreed upon intercompany profit, and are eliminated upon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r>
        <w:rPr>
          <w:rFonts w:ascii="Arial" w:cs="Arial" w:eastAsia="Arial" w:hAnsi="Arial"/>
          <w:sz w:val="18"/>
          <w:szCs w:val="18"/>
          <w:color w:val="auto"/>
        </w:rPr>
        <w:t xml:space="preserve"> (Continued)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Cemetery/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8"/>
                <w:szCs w:val="18"/>
                <w:color w:val="auto"/>
                <w:w w:val="93"/>
              </w:rPr>
              <w:t>Intercompany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Life Insurance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Consolidated</w:t>
            </w:r>
          </w:p>
        </w:tc>
      </w:tr>
      <w:tr>
        <w:trPr>
          <w:trHeight w:val="209"/>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8"/>
                <w:szCs w:val="18"/>
                <w:color w:val="auto"/>
              </w:rPr>
              <w:t>September 30, 2021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42,039,638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6,705,347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70,764,146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119,509,131</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1,756,860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153,502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(1,989,458)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3,721,220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1,747,493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8,674,680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14,143,393</w:t>
            </w:r>
          </w:p>
        </w:tc>
      </w:tr>
      <w:tr>
        <w:trPr>
          <w:trHeight w:val="216"/>
        </w:trPr>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8"/>
                <w:szCs w:val="18"/>
                <w:color w:val="auto"/>
              </w:rPr>
              <w:t>September 30, 2020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39,261,044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5,495,990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101,447,531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146,204,565</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2,952,836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168,890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(3,200,822)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4,807,280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32,454,348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38,583,931</w:t>
            </w:r>
          </w:p>
        </w:tc>
      </w:tr>
      <w:tr>
        <w:trPr>
          <w:trHeight w:val="216"/>
        </w:trPr>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Nine Months Ended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8"/>
                <w:szCs w:val="18"/>
                <w:color w:val="auto"/>
              </w:rPr>
              <w:t>September 30, 2021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121,640,865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20,512,534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216,764,653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358,918,052</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5,409,841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234,905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470,534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(6,115,280)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11,110,425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6,717,763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27,347,612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45,175,800</w:t>
            </w:r>
          </w:p>
        </w:tc>
      </w:tr>
      <w:tr>
        <w:trPr>
          <w:trHeight w:val="216"/>
        </w:trPr>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1,241,514,729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63,265,518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328,274,954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(78,248,809)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1,554,806,392</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2,765,729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754,018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1,244,280,299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64,019,536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328,274,954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(78,248,809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1,558,325,980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Nine Months Ended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80" w:type="dxa"/>
            <w:vAlign w:val="bottom"/>
            <w:gridSpan w:val="2"/>
          </w:tcPr>
          <w:p>
            <w:pPr>
              <w:spacing w:after="0" w:line="176" w:lineRule="exact"/>
              <w:rPr>
                <w:sz w:val="20"/>
                <w:szCs w:val="20"/>
                <w:color w:val="auto"/>
              </w:rPr>
            </w:pPr>
            <w:r>
              <w:rPr>
                <w:rFonts w:ascii="Arial" w:cs="Arial" w:eastAsia="Arial" w:hAnsi="Arial"/>
                <w:sz w:val="18"/>
                <w:szCs w:val="18"/>
                <w:color w:val="auto"/>
              </w:rPr>
              <w:t>September 30, 2020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110,255,399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14,815,991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219,403,866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344,475,256</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5,677,189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272,409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559,923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(6,509,521)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5,408,482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2,975,556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58,867,883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67,251,921</w:t>
            </w:r>
          </w:p>
        </w:tc>
      </w:tr>
      <w:tr>
        <w:trPr>
          <w:trHeight w:val="216"/>
        </w:trPr>
        <w:tc>
          <w:tcPr>
            <w:tcW w:w="1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1,232,786,760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55,339,760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443,756,079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(88,204,200)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1,643,678,399</w:t>
            </w:r>
          </w:p>
        </w:tc>
      </w:tr>
      <w:tr>
        <w:trPr>
          <w:trHeight w:val="229"/>
        </w:trPr>
        <w:tc>
          <w:tcPr>
            <w:tcW w:w="33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2,765,570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754,018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1,235,552,330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56,093,778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443,756,079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(88,204,200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1,647,197,987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3" w:lineRule="exact"/>
        <w:rPr>
          <w:sz w:val="20"/>
          <w:szCs w:val="20"/>
          <w:color w:val="auto"/>
        </w:rPr>
      </w:pPr>
    </w:p>
    <w:p>
      <w:pPr>
        <w:ind w:left="840" w:hanging="18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mutual funds and equity securities and fixed maturity securities that have quoted market prices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 maturity securities that have quoted market prices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right="7340" w:firstLine="8"/>
        <w:spacing w:after="0" w:line="563" w:lineRule="auto"/>
        <w:tabs>
          <w:tab w:leader="none" w:pos="1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 (Continued) The items shown under Level 3 are valued as follows: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loans held for sale. The fair value is based on quoted market prices, when available.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a quoted market price is not readily available, the Company uses the market price from its last sale of similar assets.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 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color w:val="auto"/>
        </w:rPr>
        <w:t>: The Company initially recognizes Mortgage Servicing Rights (“MSRs”) at their estimated fair values derived from the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associated with the servicing contracts, where the Company assumes the obligation to service the loan in the sale transaction. See Note 12 for more information regarding MSRs.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361"/>
              <w:spacing w:after="0"/>
              <w:rPr>
                <w:sz w:val="20"/>
                <w:szCs w:val="20"/>
                <w:color w:val="auto"/>
              </w:rPr>
            </w:pPr>
            <w:r>
              <w:rPr>
                <w:rFonts w:ascii="Arial" w:cs="Arial" w:eastAsia="Arial" w:hAnsi="Arial"/>
                <w:sz w:val="18"/>
                <w:szCs w:val="18"/>
                <w:color w:val="auto"/>
                <w:w w:val="90"/>
              </w:rPr>
              <w:t>Quoted Prices in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361"/>
              <w:spacing w:after="0"/>
              <w:rPr>
                <w:sz w:val="20"/>
                <w:szCs w:val="20"/>
                <w:color w:val="auto"/>
              </w:rPr>
            </w:pPr>
            <w:r>
              <w:rPr>
                <w:rFonts w:ascii="Arial" w:cs="Arial" w:eastAsia="Arial" w:hAnsi="Arial"/>
                <w:sz w:val="18"/>
                <w:szCs w:val="18"/>
                <w:color w:val="auto"/>
                <w:w w:val="94"/>
              </w:rPr>
              <w:t>Active Markets</w:t>
            </w:r>
          </w:p>
        </w:tc>
        <w:tc>
          <w:tcPr>
            <w:tcW w:w="16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Significant</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01"/>
              <w:spacing w:after="0"/>
              <w:rPr>
                <w:sz w:val="20"/>
                <w:szCs w:val="20"/>
                <w:color w:val="auto"/>
              </w:rPr>
            </w:pPr>
            <w:r>
              <w:rPr>
                <w:rFonts w:ascii="Arial" w:cs="Arial" w:eastAsia="Arial" w:hAnsi="Arial"/>
                <w:sz w:val="18"/>
                <w:szCs w:val="18"/>
                <w:color w:val="auto"/>
                <w:w w:val="94"/>
              </w:rPr>
              <w:t>for Identical</w:t>
            </w:r>
          </w:p>
        </w:tc>
        <w:tc>
          <w:tcPr>
            <w:tcW w:w="160" w:type="dxa"/>
            <w:vAlign w:val="bottom"/>
          </w:tcPr>
          <w:p>
            <w:pPr>
              <w:spacing w:after="0"/>
              <w:rPr>
                <w:sz w:val="18"/>
                <w:szCs w:val="18"/>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Unobservable</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01"/>
              <w:spacing w:after="0"/>
              <w:rPr>
                <w:sz w:val="20"/>
                <w:szCs w:val="20"/>
                <w:color w:val="auto"/>
              </w:rPr>
            </w:pPr>
            <w:r>
              <w:rPr>
                <w:rFonts w:ascii="Arial" w:cs="Arial" w:eastAsia="Arial" w:hAnsi="Arial"/>
                <w:sz w:val="18"/>
                <w:szCs w:val="18"/>
                <w:color w:val="auto"/>
                <w:w w:val="88"/>
              </w:rPr>
              <w:t>Assets</w:t>
            </w:r>
          </w:p>
        </w:tc>
        <w:tc>
          <w:tcPr>
            <w:tcW w:w="16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Inputs</w:t>
            </w:r>
          </w:p>
        </w:tc>
      </w:tr>
      <w:tr>
        <w:trPr>
          <w:trHeight w:val="230"/>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621"/>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481"/>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264,844,942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262,794,121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2,050,821</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10,729,744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10,729,744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312,655,843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312,655,843</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1,663,903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1,663,903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Restricted assets (2)</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2,932,266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Arial" w:cs="Arial" w:eastAsia="Arial" w:hAnsi="Arial"/>
                <w:sz w:val="18"/>
                <w:szCs w:val="18"/>
                <w:color w:val="auto"/>
              </w:rPr>
              <w:t>2,932,266</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786,250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786,250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2,387,408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41"/>
              <w:spacing w:after="0"/>
              <w:rPr>
                <w:sz w:val="20"/>
                <w:szCs w:val="20"/>
                <w:color w:val="auto"/>
              </w:rPr>
            </w:pPr>
            <w:r>
              <w:rPr>
                <w:rFonts w:ascii="Arial" w:cs="Arial" w:eastAsia="Arial" w:hAnsi="Arial"/>
                <w:sz w:val="18"/>
                <w:szCs w:val="18"/>
                <w:color w:val="auto"/>
              </w:rPr>
              <w:t>2,387,408</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10,396,178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10,396,178</w:t>
            </w:r>
          </w:p>
        </w:tc>
      </w:tr>
      <w:tr>
        <w:trPr>
          <w:trHeight w:val="263"/>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606,396,534</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16,049,418</w:t>
            </w:r>
          </w:p>
        </w:tc>
        <w:tc>
          <w:tcPr>
            <w:tcW w:w="4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265,244,274</w:t>
            </w: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325,102,842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(16,943)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(16,943)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Derivatives – put options (4)</w:t>
            </w:r>
          </w:p>
        </w:tc>
        <w:tc>
          <w:tcPr>
            <w:tcW w:w="22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(23,631)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1"/>
              <w:spacing w:after="0"/>
              <w:rPr>
                <w:sz w:val="20"/>
                <w:szCs w:val="20"/>
                <w:color w:val="auto"/>
              </w:rPr>
            </w:pPr>
            <w:r>
              <w:rPr>
                <w:rFonts w:ascii="Arial" w:cs="Arial" w:eastAsia="Arial" w:hAnsi="Arial"/>
                <w:sz w:val="18"/>
                <w:szCs w:val="18"/>
                <w:color w:val="auto"/>
              </w:rPr>
              <w:t>(23,631)</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(816,661)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(816,661)</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w w:val="98"/>
              </w:rPr>
              <w:t>Total liabilities accounted for at fair value on a recurring basis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(857,235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(816,661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61"/>
              <w:spacing w:after="0"/>
              <w:rPr>
                <w:sz w:val="20"/>
                <w:szCs w:val="20"/>
                <w:color w:val="auto"/>
              </w:rPr>
            </w:pPr>
            <w:r>
              <w:rPr>
                <w:rFonts w:ascii="Arial" w:cs="Arial" w:eastAsia="Arial" w:hAnsi="Arial"/>
                <w:sz w:val="18"/>
                <w:szCs w:val="18"/>
                <w:color w:val="auto"/>
                <w:w w:val="93"/>
              </w:rPr>
              <w:t>Significant</w:t>
            </w:r>
          </w:p>
        </w:tc>
      </w:tr>
      <w:tr>
        <w:trPr>
          <w:trHeight w:val="216"/>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1"/>
              <w:spacing w:after="0"/>
              <w:rPr>
                <w:sz w:val="20"/>
                <w:szCs w:val="20"/>
                <w:color w:val="auto"/>
              </w:rPr>
            </w:pPr>
            <w:r>
              <w:rPr>
                <w:rFonts w:ascii="Arial" w:cs="Arial" w:eastAsia="Arial" w:hAnsi="Arial"/>
                <w:sz w:val="18"/>
                <w:szCs w:val="18"/>
                <w:color w:val="auto"/>
                <w:w w:val="90"/>
              </w:rPr>
              <w:t>Unobservable</w:t>
            </w:r>
          </w:p>
        </w:tc>
      </w:tr>
      <w:tr>
        <w:trPr>
          <w:trHeight w:val="216"/>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Assets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88"/>
              </w:rPr>
              <w:t>Observable Inputs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61"/>
              <w:spacing w:after="0"/>
              <w:rPr>
                <w:sz w:val="20"/>
                <w:szCs w:val="20"/>
                <w:color w:val="auto"/>
              </w:rPr>
            </w:pPr>
            <w:r>
              <w:rPr>
                <w:rFonts w:ascii="Arial" w:cs="Arial" w:eastAsia="Arial" w:hAnsi="Arial"/>
                <w:sz w:val="18"/>
                <w:szCs w:val="18"/>
                <w:color w:val="auto"/>
                <w:w w:val="93"/>
              </w:rPr>
              <w:t>Inputs</w:t>
            </w:r>
          </w:p>
        </w:tc>
      </w:tr>
      <w:tr>
        <w:trPr>
          <w:trHeight w:val="230"/>
        </w:trPr>
        <w:tc>
          <w:tcPr>
            <w:tcW w:w="5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21"/>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61"/>
              <w:spacing w:after="0"/>
              <w:rPr>
                <w:sz w:val="20"/>
                <w:szCs w:val="20"/>
                <w:color w:val="auto"/>
              </w:rPr>
            </w:pPr>
            <w:r>
              <w:rPr>
                <w:rFonts w:ascii="Arial" w:cs="Arial" w:eastAsia="Arial" w:hAnsi="Arial"/>
                <w:sz w:val="18"/>
                <w:szCs w:val="18"/>
                <w:color w:val="auto"/>
                <w:w w:val="94"/>
              </w:rPr>
              <w:t>(Level 3)</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294,656,679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292,455,504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2,201,175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11,324,239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11,324,239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Loans held for sale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422,772,418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422,772,418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1,473,637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1,473,637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Restricted assets (2)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2,515,778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2,515,778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747,767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2,062,303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2,062,303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12,592,672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12,592,672</w:t>
            </w:r>
          </w:p>
        </w:tc>
      </w:tr>
      <w:tr>
        <w:trPr>
          <w:trHeight w:val="249"/>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5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748,145,493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15,902,320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294,676,908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437,566,265</w:t>
            </w:r>
          </w:p>
        </w:tc>
        <w:tc>
          <w:tcPr>
            <w:tcW w:w="100" w:type="dxa"/>
            <w:vAlign w:val="bottom"/>
            <w:tcBorders>
              <w:bottom w:val="single" w:sz="8" w:color="CCEEFF"/>
            </w:tcBorders>
          </w:tcPr>
          <w:p>
            <w:pPr>
              <w:spacing w:after="0"/>
              <w:rPr>
                <w:sz w:val="21"/>
                <w:szCs w:val="21"/>
                <w:color w:val="auto"/>
              </w:rPr>
            </w:pPr>
          </w:p>
        </w:tc>
      </w:tr>
      <w:tr>
        <w:trPr>
          <w:trHeight w:val="197"/>
        </w:trPr>
        <w:tc>
          <w:tcPr>
            <w:tcW w:w="5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Derivatives - loan commitments (4)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(2,464,062)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(2,464,062)</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accounted for at fair value on a recurring basis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September 30, 2021,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0"/>
              </w:rPr>
              <w:t>Fair Value at</w:t>
            </w: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Valuation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20"/>
                <w:szCs w:val="20"/>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8"/>
                <w:szCs w:val="18"/>
                <w:color w:val="auto"/>
              </w:rPr>
              <w:t>Range of Inputs</w:t>
            </w:r>
          </w:p>
        </w:tc>
        <w:tc>
          <w:tcPr>
            <w:tcW w:w="120" w:type="dxa"/>
            <w:vAlign w:val="bottom"/>
          </w:tcPr>
          <w:p>
            <w:pPr>
              <w:spacing w:after="0"/>
              <w:rPr>
                <w:sz w:val="20"/>
                <w:szCs w:val="2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Minimum</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Maximum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9/30/2021</w:t>
            </w: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Technique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Investor contract pricing</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percentage of</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312,655,843</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unpaid principal balance</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9,579,517</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Initial-Value</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 bps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2,050,821</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quotes</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2020,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0"/>
              </w:rPr>
              <w:t>Fair Value at</w:t>
            </w: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Valuation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20"/>
                <w:szCs w:val="20"/>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8"/>
                <w:szCs w:val="18"/>
                <w:color w:val="auto"/>
              </w:rPr>
              <w:t>Range of Inputs</w:t>
            </w:r>
          </w:p>
        </w:tc>
        <w:tc>
          <w:tcPr>
            <w:tcW w:w="120" w:type="dxa"/>
            <w:vAlign w:val="bottom"/>
          </w:tcPr>
          <w:p>
            <w:pPr>
              <w:spacing w:after="0"/>
              <w:rPr>
                <w:sz w:val="20"/>
                <w:szCs w:val="2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09"/>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Minimum</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Maximum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9"/>
              </w:rPr>
              <w:t>12/31/2020</w:t>
            </w: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Technique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Investor contract pricing</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percentage of</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422,772,418</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unpaid principal balance</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10,128,610</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Initial-Value</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 bps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 bps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2,201,175</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quotes</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35"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Fixed Maturity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8"/>
                <w:szCs w:val="18"/>
                <w:color w:val="auto"/>
              </w:rPr>
              <w:t>Net Loan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Securities</w:t>
            </w:r>
          </w:p>
        </w:tc>
      </w:tr>
      <w:tr>
        <w:trPr>
          <w:trHeight w:val="230"/>
        </w:trPr>
        <w:tc>
          <w:tcPr>
            <w:tcW w:w="4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w w:val="99"/>
              </w:rPr>
              <w:t>Commitments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Available for Sale</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10,128,610</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422,772,418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2,201,175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4,243,072,600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(4,484,170,804)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(33,950)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(201,951)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(549,093)(1)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131,183,580(1)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2,729(2)</w:t>
            </w:r>
          </w:p>
        </w:tc>
      </w:tr>
      <w:tr>
        <w:trPr>
          <w:trHeight w:val="22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(119,133)</w:t>
            </w:r>
          </w:p>
        </w:tc>
      </w:tr>
      <w:tr>
        <w:trPr>
          <w:trHeight w:val="209"/>
        </w:trPr>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2021</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9,579,517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312,655,843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2,050,821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for Sale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2,491,233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213,457,632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3,216,382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3,824,329,264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(3,709,992,155)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(1,031,500)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(9,170,610)</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12,454,218(1)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127,254,848(1)</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2,532(2)</w:t>
            </w: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102,739</w:t>
            </w:r>
          </w:p>
        </w:tc>
      </w:tr>
      <w:tr>
        <w:trPr>
          <w:trHeight w:val="210"/>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14,945,451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445,878,979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2,290,153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Fixed Maturity</w:t>
            </w:r>
          </w:p>
        </w:tc>
      </w:tr>
      <w:tr>
        <w:trPr>
          <w:trHeight w:val="216"/>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128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4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110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Loans Held for Sale</w:t>
            </w:r>
          </w:p>
        </w:tc>
        <w:tc>
          <w:tcPr>
            <w:tcW w:w="12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9,960,213</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296,728,086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2,180,828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1,432,842,093</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(1,459,143,727)</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00"/>
              <w:spacing w:after="0"/>
              <w:rPr>
                <w:sz w:val="20"/>
                <w:szCs w:val="20"/>
                <w:color w:val="auto"/>
              </w:rPr>
            </w:pPr>
            <w:r>
              <w:rPr>
                <w:rFonts w:ascii="Arial" w:cs="Arial" w:eastAsia="Arial" w:hAnsi="Arial"/>
                <w:sz w:val="18"/>
                <w:szCs w:val="18"/>
                <w:color w:val="auto"/>
              </w:rPr>
              <w:t>(380,696)(1)</w:t>
            </w:r>
          </w:p>
        </w:tc>
        <w:tc>
          <w:tcPr>
            <w:tcW w:w="10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42,229,391</w:t>
            </w:r>
          </w:p>
        </w:tc>
        <w:tc>
          <w:tcPr>
            <w:tcW w:w="1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928(2)</w:t>
            </w:r>
          </w:p>
        </w:tc>
      </w:tr>
      <w:tr>
        <w:trPr>
          <w:trHeight w:val="22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(119,385)</w:t>
            </w:r>
          </w:p>
        </w:tc>
      </w:tr>
      <w:tr>
        <w:trPr>
          <w:trHeight w:val="210"/>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2021</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9,579,517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312,655,843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2,050,821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for Sale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2020</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11,044,365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356,949,958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2,221,392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1,719,281,234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(1,692,015,364)</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(236,934)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3,901,086(1)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61,900,085(1)</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860(2)</w:t>
            </w: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78,601</w:t>
            </w:r>
          </w:p>
        </w:tc>
      </w:tr>
      <w:tr>
        <w:trPr>
          <w:trHeight w:val="210"/>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14,945,451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445,878,979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2,290,153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Identical Assets</w:t>
            </w: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Observable Inputs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770,140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770,140</w:t>
            </w:r>
          </w:p>
        </w:tc>
        <w:tc>
          <w:tcPr>
            <w:tcW w:w="100" w:type="dxa"/>
            <w:vAlign w:val="bottom"/>
          </w:tcPr>
          <w:p>
            <w:pPr>
              <w:spacing w:after="0"/>
              <w:rPr>
                <w:sz w:val="18"/>
                <w:szCs w:val="18"/>
                <w:color w:val="auto"/>
              </w:rPr>
            </w:pP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sale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390,000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19"/>
                <w:szCs w:val="19"/>
                <w:color w:val="auto"/>
              </w:rPr>
            </w:pPr>
          </w:p>
        </w:tc>
      </w:tr>
      <w:tr>
        <w:trPr>
          <w:trHeight w:val="182"/>
        </w:trPr>
        <w:tc>
          <w:tcPr>
            <w:tcW w:w="402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nonrecurring basis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1,160,140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1,160,140</w:t>
            </w:r>
          </w:p>
        </w:tc>
        <w:tc>
          <w:tcPr>
            <w:tcW w:w="10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Identical Assets</w:t>
            </w: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Observable Inputs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2"/>
        </w:trPr>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1,297,356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1,297,356</w:t>
            </w:r>
          </w:p>
        </w:tc>
        <w:tc>
          <w:tcPr>
            <w:tcW w:w="100" w:type="dxa"/>
            <w:vAlign w:val="bottom"/>
          </w:tcPr>
          <w:p>
            <w:pPr>
              <w:spacing w:after="0"/>
              <w:rPr>
                <w:sz w:val="18"/>
                <w:szCs w:val="18"/>
                <w:color w:val="auto"/>
              </w:rPr>
            </w:pP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sale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4,249,000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4,249,000</w:t>
            </w:r>
          </w:p>
        </w:tc>
        <w:tc>
          <w:tcPr>
            <w:tcW w:w="100" w:type="dxa"/>
            <w:vAlign w:val="bottom"/>
            <w:shd w:val="clear" w:color="auto" w:fill="CCEEFF"/>
          </w:tcPr>
          <w:p>
            <w:pPr>
              <w:spacing w:after="0"/>
              <w:rPr>
                <w:sz w:val="19"/>
                <w:szCs w:val="19"/>
                <w:color w:val="auto"/>
              </w:rPr>
            </w:pPr>
          </w:p>
        </w:tc>
      </w:tr>
      <w:tr>
        <w:trPr>
          <w:trHeight w:val="182"/>
        </w:trPr>
        <w:tc>
          <w:tcPr>
            <w:tcW w:w="4020" w:type="dxa"/>
            <w:vAlign w:val="bottom"/>
          </w:tcPr>
          <w:p>
            <w:pPr>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nonrecurring basis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5,546,356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5,546,356</w:t>
            </w:r>
          </w:p>
        </w:tc>
        <w:tc>
          <w:tcPr>
            <w:tcW w:w="10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September 30, 2021 and December 31,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87,090,816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90,792,471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90,792,471</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168,696,882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168,696,882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168,696,882</w:t>
            </w: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51,602,783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51,318,799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51,318,799</w:t>
            </w: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307,390,481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310,808,152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310,808,152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13,699,414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13,699,414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13,699,414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51,622,313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51,622,313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51,622,313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2,848,029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2,848,029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2,848,029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652,575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652,575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652,575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50,360,805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63,885,183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63,885,183</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(263,186,923)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(263,186,923)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(263,186,923)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(43,058,156)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(42,144,499)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(42,144,499)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(108,252,697)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(112,157,034)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(112,157,034)</w:t>
            </w:r>
          </w:p>
        </w:tc>
      </w:tr>
    </w:tbl>
    <w:p>
      <w:pPr>
        <w:spacing w:after="0" w:line="18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other investments and policy loans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0"/>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92,757,613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100,384,283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100,384,283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110,849,864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110,849,864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110,849,864</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45,736,459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45,259,425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45,259,425</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249,343,936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256,493,572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256,493,572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14,171,589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14,171,589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14,171,589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51,585,656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51,585,656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51,585,656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3,317,877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3,317,877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3,317,877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1,468,600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1,468,600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1,468,600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35,210,516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38,702,358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38,702,358</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(297,824,368)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(297,824,368)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(297,824,368)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(44,026,809)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(42,220,725)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(42,220,725)</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(106,522,113)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(112,354,186)</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(112,354,186)</w:t>
            </w:r>
          </w:p>
        </w:tc>
      </w:tr>
    </w:tbl>
    <w:p>
      <w:pPr>
        <w:spacing w:after="0" w:line="18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350" w:gutter="0" w:footer="0" w:header="0"/>
        </w:sectPr>
      </w:pPr>
    </w:p>
    <w:bookmarkStart w:id="42" w:name="page43"/>
    <w:bookmarkEnd w:id="4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flows(estimating expected future cash flows of payments and discounting them using current interest rates from single family mortgages) and considering pricing of similar loans that were sold recently.</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Residential Construction – These loans are primarily short in maturity. Accordingly, the estimated fair value is determined to be the carrying value.</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because they are fully collateralized by the cash surrender value of the underlying insurance policies.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Allowance for Doubtful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an allowance and recognizes an expense for potential losses from other investments and receivables in accordance with generally accepted accounting principles.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 Commitments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notional amount and fair value of derivatives as of September 30,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color w:val="auto"/>
              </w:rPr>
              <w:t>Fair Values and Notional Values of Derivative Instruments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9"/>
                <w:szCs w:val="19"/>
                <w:color w:val="auto"/>
              </w:rPr>
            </w:pPr>
          </w:p>
        </w:tc>
        <w:tc>
          <w:tcPr>
            <w:tcW w:w="27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September 30, 2021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color w:val="auto"/>
                <w:w w:val="92"/>
              </w:rPr>
              <w:t>December 31, 2020</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Notional</w:t>
            </w: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93"/>
              </w:rPr>
              <w:t>Asset Fair</w:t>
            </w:r>
          </w:p>
        </w:tc>
        <w:tc>
          <w:tcPr>
            <w:tcW w:w="10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9"/>
              </w:rPr>
              <w:t>Liability Fair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Notional</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8"/>
              </w:rPr>
              <w:t>Asset Fair</w:t>
            </w:r>
          </w:p>
        </w:tc>
        <w:tc>
          <w:tcPr>
            <w:tcW w:w="10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Liability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Derivatives not designated as</w:t>
            </w: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hedging instruments: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6"/>
              </w:rPr>
              <w:t>Other assets and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Loan commitments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$ 1,085,101,600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10,396,178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816,661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659,245,038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12,592,672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2,464,062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Put options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635,000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80"/>
              <w:spacing w:after="0"/>
              <w:rPr>
                <w:sz w:val="20"/>
                <w:szCs w:val="20"/>
                <w:color w:val="auto"/>
              </w:rPr>
            </w:pPr>
            <w:r>
              <w:rPr>
                <w:rFonts w:ascii="Arial" w:cs="Arial" w:eastAsia="Arial" w:hAnsi="Arial"/>
                <w:sz w:val="18"/>
                <w:szCs w:val="18"/>
                <w:color w:val="auto"/>
              </w:rPr>
              <w:t>Call options</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1,062,500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16,943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1,873,200</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$ 1,086,799,100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10,396,178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661,118,238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12,592,672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2,507,159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gains and losses on derivatives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gridSpan w:val="5"/>
          </w:tcPr>
          <w:p>
            <w:pPr>
              <w:jc w:val="center"/>
              <w:ind w:right="600"/>
              <w:spacing w:after="0"/>
              <w:rPr>
                <w:sz w:val="20"/>
                <w:szCs w:val="20"/>
                <w:color w:val="auto"/>
              </w:rPr>
            </w:pPr>
            <w:r>
              <w:rPr>
                <w:rFonts w:ascii="Arial" w:cs="Arial" w:eastAsia="Arial" w:hAnsi="Arial"/>
                <w:sz w:val="18"/>
                <w:szCs w:val="18"/>
                <w:color w:val="auto"/>
                <w:w w:val="93"/>
              </w:rPr>
              <w:t>Net Amount Gain (Loss)</w:t>
            </w:r>
          </w:p>
        </w:tc>
        <w:tc>
          <w:tcPr>
            <w:tcW w:w="280" w:type="dxa"/>
            <w:vAlign w:val="bottom"/>
          </w:tcPr>
          <w:p>
            <w:pPr>
              <w:spacing w:after="0"/>
              <w:rPr>
                <w:sz w:val="19"/>
                <w:szCs w:val="19"/>
                <w:color w:val="auto"/>
              </w:rPr>
            </w:pPr>
          </w:p>
        </w:tc>
        <w:tc>
          <w:tcPr>
            <w:tcW w:w="3280" w:type="dxa"/>
            <w:vAlign w:val="bottom"/>
            <w:gridSpan w:val="5"/>
          </w:tcPr>
          <w:p>
            <w:pPr>
              <w:jc w:val="center"/>
              <w:ind w:right="400"/>
              <w:spacing w:after="0"/>
              <w:rPr>
                <w:sz w:val="20"/>
                <w:szCs w:val="20"/>
                <w:color w:val="auto"/>
              </w:rPr>
            </w:pPr>
            <w:r>
              <w:rPr>
                <w:rFonts w:ascii="Arial" w:cs="Arial" w:eastAsia="Arial" w:hAnsi="Arial"/>
                <w:sz w:val="18"/>
                <w:szCs w:val="18"/>
                <w:color w:val="auto"/>
                <w:w w:val="93"/>
              </w:rPr>
              <w:t>Net Amount Gain (Loss)</w:t>
            </w:r>
          </w:p>
        </w:tc>
      </w:tr>
      <w:tr>
        <w:trPr>
          <w:trHeight w:val="230"/>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jc w:val="center"/>
              <w:ind w:right="600"/>
              <w:spacing w:after="0"/>
              <w:rPr>
                <w:sz w:val="20"/>
                <w:szCs w:val="20"/>
                <w:color w:val="auto"/>
              </w:rPr>
            </w:pPr>
            <w:r>
              <w:rPr>
                <w:rFonts w:ascii="Arial" w:cs="Arial" w:eastAsia="Arial" w:hAnsi="Arial"/>
                <w:sz w:val="18"/>
                <w:szCs w:val="18"/>
                <w:color w:val="auto"/>
                <w:w w:val="89"/>
              </w:rPr>
              <w:t>Three Months Ended September 30</w:t>
            </w:r>
          </w:p>
        </w:tc>
        <w:tc>
          <w:tcPr>
            <w:tcW w:w="280" w:type="dxa"/>
            <w:vAlign w:val="bottom"/>
          </w:tcPr>
          <w:p>
            <w:pPr>
              <w:spacing w:after="0"/>
              <w:rPr>
                <w:sz w:val="20"/>
                <w:szCs w:val="20"/>
                <w:color w:val="auto"/>
              </w:rPr>
            </w:pPr>
          </w:p>
        </w:tc>
        <w:tc>
          <w:tcPr>
            <w:tcW w:w="328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Derivative</w:t>
            </w: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Classification</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37"/>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 fee income</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(380,696</w:t>
            </w:r>
          </w:p>
        </w:tc>
        <w:tc>
          <w:tcPr>
            <w:tcW w:w="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3,901,086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(549,093</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12,454,218</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Gains on investments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other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12,985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34,171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128,270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124,516</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Future loan losses can be extremely difficult to estimate. However, the Company believes that the Company’s reserve methodology and its current practice of property preservation allow it to estimate its potential losses on loans sold. The estimated liability for indemnification losses is included in other liabilities and accrued expenses and, as of September 30, 2021 and December 31, 2020, the balances were $2,408,233 and $20,583,618, respectively. The Company believes that the final loan loss reserve as of September 30, 2021, represents its best estimate for adequate loss reserves on loans sold.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Agreement and Mutual Release with Lehman Brothers Holdings Inc.</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of which were later resolved. In 2016, certain other pending loan disputes between SecurityNational Mortgage and Lehman Holdings became the subject of an unsuccessful, non-binding alternate dispute resolution mediation proceeding.</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 National Mortgage Association (“Fannie Mae”) and the Federal Home Loan Corporation (“Freddie Mac”).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subsidiary SecurityNational Mortgage, has a $100,000,000 line of credit with Wells Fargo Bank N.A. The agreement charges interest at the 1-Month LIBOR rate plus 2.1% and matures on June 9, 2022.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LIBOR rate plus 2% and matures on August 9,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Comerica Bank. This agreement with the bank allows SecurityNational Mortgage to borrow up to $70,000,000 for the sole purpose of funding mortgage loans. The agreement charges interest at the 1-Month LIBOR rate plus 2.5% and matures on May 27,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through its subsidiary SecurityNational Mortgage, has a line of credit with U.S Bank. This agreement with the bank allows SecurityNational Mortgage to borrow up to $100,000,000 for the sole purpose of funding mortgage loans. The agreement charges interest at the 1-Month LIBOR rate plus 2.0% and matures on June 4,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EverLEND Mortgage, has a line of credit with Texas Capital Bank N.A. This agreement with the bank allows EverLEND Mortgage to borrow up to $5,000,000 for the sole purpose of funding mortgage loans. The agreement charges interest at the 1-Month LIBOR rate plus 2.5% and matures on August 18,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for warehouse lines include cross default provisions in that a covenant violation under one agreement constitutes a covenant violation under the other agreement. As of September 30, 2021, the Company was in compliance with all debt covenants.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September 30, 2021, the Company’s commitments were approximately $318,081,000 for these loans, of which $172,636,000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8.00% per annum. Maturities range between six and eighteen months.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The following is a summary of the MSR activity for the periods presented.</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As of 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As of December 31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35,210,516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17,155,529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MSR additions resulting from loan sales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26,048,186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29,896,465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Amortization (1)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(10,897,897)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(11,841,478)</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before valuation allowance at end of period</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50,360,805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35,210,516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Valuation allowance for impairment of MSRs: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 temporary</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80" w:type="dxa"/>
            <w:vAlign w:val="bottom"/>
          </w:tcPr>
          <w:p>
            <w:pPr>
              <w:spacing w:after="0"/>
              <w:rPr>
                <w:sz w:val="20"/>
                <w:szCs w:val="20"/>
                <w:color w:val="auto"/>
              </w:rPr>
            </w:pPr>
            <w:r>
              <w:rPr>
                <w:rFonts w:ascii="Arial" w:cs="Arial" w:eastAsia="Arial" w:hAnsi="Arial"/>
                <w:sz w:val="18"/>
                <w:szCs w:val="18"/>
                <w:color w:val="auto"/>
              </w:rPr>
              <w:t>Mortgage servicing rights, net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50,360,805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35,210,516</w:t>
            </w:r>
          </w:p>
        </w:tc>
        <w:tc>
          <w:tcPr>
            <w:tcW w:w="0" w:type="dxa"/>
            <w:vAlign w:val="bottom"/>
          </w:tcPr>
          <w:p>
            <w:pPr>
              <w:spacing w:after="0"/>
              <w:rPr>
                <w:sz w:val="1"/>
                <w:szCs w:val="1"/>
                <w:color w:val="auto"/>
              </w:rPr>
            </w:pPr>
          </w:p>
        </w:tc>
      </w:tr>
      <w:tr>
        <w:trPr>
          <w:trHeight w:val="197"/>
        </w:trPr>
        <w:tc>
          <w:tcPr>
            <w:tcW w:w="65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Estimated fair value of MSRs at end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63,885,183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38,702,358</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5"/>
              </w:rPr>
              <w:t>(1)  Included in other expenses on the condensed consolidated statements of earnings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estimate of future amortization of its existing MSRs carried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Estimated MSR</w:t>
            </w:r>
          </w:p>
        </w:tc>
      </w:tr>
      <w:tr>
        <w:trPr>
          <w:trHeight w:val="230"/>
        </w:trPr>
        <w:tc>
          <w:tcPr>
            <w:tcW w:w="8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14,530,529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10,129,095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8,049,699</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6,378,335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5,081,973</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6,191,174</w:t>
            </w:r>
          </w:p>
        </w:tc>
      </w:tr>
      <w:tr>
        <w:trPr>
          <w:trHeight w:val="223"/>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50,360,805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10"/>
          </w:tcPr>
          <w:p>
            <w:pPr>
              <w:ind w:left="560"/>
              <w:spacing w:after="0"/>
              <w:rPr>
                <w:sz w:val="20"/>
                <w:szCs w:val="20"/>
                <w:color w:val="auto"/>
              </w:rPr>
            </w:pPr>
            <w:r>
              <w:rPr>
                <w:rFonts w:ascii="Arial" w:cs="Arial" w:eastAsia="Arial" w:hAnsi="Arial"/>
                <w:sz w:val="18"/>
                <w:szCs w:val="18"/>
                <w:color w:val="auto"/>
              </w:rPr>
              <w:t>Nine Months Ended</w:t>
            </w:r>
          </w:p>
        </w:tc>
      </w:tr>
      <w:tr>
        <w:trPr>
          <w:trHeight w:val="230"/>
        </w:trPr>
        <w:tc>
          <w:tcPr>
            <w:tcW w:w="3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gridSpan w:val="4"/>
          </w:tcPr>
          <w:p>
            <w:pPr>
              <w:jc w:val="right"/>
              <w:ind w:right="170"/>
              <w:spacing w:after="0"/>
              <w:rPr>
                <w:sz w:val="20"/>
                <w:szCs w:val="20"/>
                <w:color w:val="auto"/>
              </w:rPr>
            </w:pPr>
            <w:r>
              <w:rPr>
                <w:rFonts w:ascii="Arial" w:cs="Arial" w:eastAsia="Arial" w:hAnsi="Arial"/>
                <w:sz w:val="18"/>
                <w:szCs w:val="18"/>
                <w:color w:val="auto"/>
                <w:w w:val="90"/>
              </w:rPr>
              <w:t>September 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9"/>
          </w:tcPr>
          <w:p>
            <w:pPr>
              <w:ind w:left="120"/>
              <w:spacing w:after="0"/>
              <w:rPr>
                <w:sz w:val="20"/>
                <w:szCs w:val="20"/>
                <w:color w:val="auto"/>
              </w:rPr>
            </w:pPr>
            <w:r>
              <w:rPr>
                <w:rFonts w:ascii="Arial" w:cs="Arial" w:eastAsia="Arial" w:hAnsi="Arial"/>
                <w:sz w:val="18"/>
                <w:szCs w:val="18"/>
                <w:color w:val="auto"/>
              </w:rPr>
              <w:t>September 30</w:t>
            </w:r>
          </w:p>
        </w:tc>
      </w:tr>
      <w:tr>
        <w:trPr>
          <w:trHeight w:val="223"/>
        </w:trPr>
        <w:tc>
          <w:tcPr>
            <w:tcW w:w="3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4,037,142</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2,340,546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11,179,908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6,055,055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Late fees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71,724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69,314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6"/>
          </w:tcPr>
          <w:p>
            <w:pPr>
              <w:jc w:val="right"/>
              <w:ind w:right="100"/>
              <w:spacing w:after="0"/>
              <w:rPr>
                <w:sz w:val="20"/>
                <w:szCs w:val="20"/>
                <w:color w:val="auto"/>
              </w:rPr>
            </w:pPr>
            <w:r>
              <w:rPr>
                <w:rFonts w:ascii="Arial" w:cs="Arial" w:eastAsia="Arial" w:hAnsi="Arial"/>
                <w:sz w:val="18"/>
                <w:szCs w:val="18"/>
                <w:color w:val="auto"/>
              </w:rPr>
              <w:t>227,211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238,826</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4,108,866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2,409,860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11,407,119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80" w:type="dxa"/>
            <w:vAlign w:val="bottom"/>
            <w:gridSpan w:val="18"/>
          </w:tcPr>
          <w:p>
            <w:pPr>
              <w:spacing w:after="0"/>
              <w:rPr>
                <w:sz w:val="20"/>
                <w:szCs w:val="20"/>
                <w:color w:val="auto"/>
              </w:rPr>
            </w:pPr>
            <w:r>
              <w:rPr>
                <w:rFonts w:ascii="Arial" w:cs="Arial" w:eastAsia="Arial" w:hAnsi="Arial"/>
                <w:sz w:val="18"/>
                <w:szCs w:val="18"/>
                <w:color w:val="auto"/>
                <w:w w:val="96"/>
              </w:rPr>
              <w:t>The following is a summary of the unpaid principal balances (“UPB”) of the servicing portfolio for the periods presented: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9"/>
          </w:tcPr>
          <w:p>
            <w:pPr>
              <w:jc w:val="center"/>
              <w:ind w:right="280"/>
              <w:spacing w:after="0"/>
              <w:rPr>
                <w:sz w:val="20"/>
                <w:szCs w:val="20"/>
                <w:color w:val="auto"/>
              </w:rPr>
            </w:pPr>
            <w:r>
              <w:rPr>
                <w:rFonts w:ascii="Arial" w:cs="Arial" w:eastAsia="Arial" w:hAnsi="Arial"/>
                <w:sz w:val="18"/>
                <w:szCs w:val="18"/>
                <w:color w:val="auto"/>
                <w:w w:val="90"/>
              </w:rPr>
              <w:t>As of September 30 2021</w:t>
            </w:r>
          </w:p>
        </w:tc>
        <w:tc>
          <w:tcPr>
            <w:tcW w:w="40" w:type="dxa"/>
            <w:vAlign w:val="bottom"/>
          </w:tcPr>
          <w:p>
            <w:pPr>
              <w:spacing w:after="0"/>
              <w:rPr>
                <w:sz w:val="24"/>
                <w:szCs w:val="24"/>
                <w:color w:val="auto"/>
              </w:rPr>
            </w:pPr>
          </w:p>
        </w:tc>
        <w:tc>
          <w:tcPr>
            <w:tcW w:w="2020" w:type="dxa"/>
            <w:vAlign w:val="bottom"/>
            <w:gridSpan w:val="6"/>
          </w:tcPr>
          <w:p>
            <w:pPr>
              <w:ind w:left="60"/>
              <w:spacing w:after="0"/>
              <w:rPr>
                <w:sz w:val="20"/>
                <w:szCs w:val="20"/>
                <w:color w:val="auto"/>
              </w:rPr>
            </w:pPr>
            <w:r>
              <w:rPr>
                <w:rFonts w:ascii="Arial" w:cs="Arial" w:eastAsia="Arial" w:hAnsi="Arial"/>
                <w:sz w:val="18"/>
                <w:szCs w:val="18"/>
                <w:color w:val="auto"/>
                <w:w w:val="97"/>
              </w:rPr>
              <w:t>As of December 31 2020</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Servicing UPB</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w w:val="86"/>
              </w:rPr>
              <w:t>6,709,170,790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5,070,287,864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800" w:type="dxa"/>
            <w:vAlign w:val="bottom"/>
            <w:gridSpan w:val="6"/>
          </w:tcPr>
          <w:p>
            <w:pPr>
              <w:spacing w:after="0"/>
              <w:rPr>
                <w:sz w:val="20"/>
                <w:szCs w:val="20"/>
                <w:color w:val="auto"/>
              </w:rPr>
            </w:pPr>
            <w:r>
              <w:rPr>
                <w:rFonts w:ascii="Arial" w:cs="Arial" w:eastAsia="Arial" w:hAnsi="Arial"/>
                <w:sz w:val="18"/>
                <w:szCs w:val="18"/>
                <w:color w:val="auto"/>
              </w:rPr>
              <w:t>The following key assumptions were used in determining MSR value:</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Prepayment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ind w:left="80"/>
              <w:spacing w:after="0"/>
              <w:rPr>
                <w:sz w:val="20"/>
                <w:szCs w:val="20"/>
                <w:color w:val="auto"/>
              </w:rPr>
            </w:pPr>
            <w:r>
              <w:rPr>
                <w:rFonts w:ascii="Arial" w:cs="Arial" w:eastAsia="Arial" w:hAnsi="Arial"/>
                <w:sz w:val="18"/>
                <w:szCs w:val="18"/>
                <w:color w:val="auto"/>
              </w:rPr>
              <w:t>Average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Discount</w:t>
            </w:r>
          </w:p>
        </w:tc>
      </w:tr>
      <w:tr>
        <w:trPr>
          <w:trHeight w:val="230"/>
        </w:trPr>
        <w:tc>
          <w:tcPr>
            <w:tcW w:w="3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Speeds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5"/>
          </w:tcPr>
          <w:p>
            <w:pPr>
              <w:ind w:left="140"/>
              <w:spacing w:after="0"/>
              <w:rPr>
                <w:sz w:val="20"/>
                <w:szCs w:val="20"/>
                <w:color w:val="auto"/>
              </w:rPr>
            </w:pPr>
            <w:r>
              <w:rPr>
                <w:rFonts w:ascii="Arial" w:cs="Arial" w:eastAsia="Arial" w:hAnsi="Arial"/>
                <w:sz w:val="18"/>
                <w:szCs w:val="18"/>
                <w:color w:val="auto"/>
              </w:rPr>
              <w:t>Life (Years)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Rate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11.80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85"/>
              </w:rPr>
              <w:t>6.62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December 31, 2020</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ind w:left="580"/>
              <w:spacing w:after="0"/>
              <w:rPr>
                <w:sz w:val="20"/>
                <w:szCs w:val="20"/>
                <w:color w:val="auto"/>
              </w:rPr>
            </w:pPr>
            <w:r>
              <w:rPr>
                <w:rFonts w:ascii="Arial" w:cs="Arial" w:eastAsia="Arial" w:hAnsi="Arial"/>
                <w:sz w:val="18"/>
                <w:szCs w:val="18"/>
                <w:color w:val="auto"/>
                <w:w w:val="96"/>
              </w:rPr>
              <w:t>5.30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overall effective tax rate for the three months ended September 30, 2021 and 2020 was 23.7% and 24.0%, respectively, which resulted in a provision for income taxes of $3,352,663 and $ 9,279,162, respectively. The Company’s overall effective tax rate for the nine months ended September 30, 2021 and 2020 was 24.3% and 23.6%, respectively, which resulted in a provision for income taxes of $10,998,876 and $ 15,965,656, respectively. The Company’s effective tax rates differ from the U.S. federal statutory rate of 21% partially due to its provision for state income taxes. The effective tax rate in the current period decreased when compared to the prior year period partly due to the Company’s provision for state income taxes.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65"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reports revenues from contracts with customers pursuant to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w:t>
      </w:r>
      <w:r>
        <w:rPr>
          <w:rFonts w:ascii="Arial" w:cs="Arial" w:eastAsia="Arial" w:hAnsi="Arial"/>
          <w:sz w:val="17"/>
          <w:szCs w:val="17"/>
          <w:i w:val="1"/>
          <w:iCs w:val="1"/>
          <w:color w:val="auto"/>
        </w:rPr>
        <w:t xml:space="preserve"> </w:t>
      </w:r>
      <w:r>
        <w:rPr>
          <w:rFonts w:ascii="Arial" w:cs="Arial" w:eastAsia="Arial" w:hAnsi="Arial"/>
          <w:sz w:val="17"/>
          <w:szCs w:val="17"/>
          <w:color w:val="auto"/>
        </w:rPr>
        <w:t>arises, the merchandise is received or the service is performed. The trust is then relieved, and the revenue and commissions are recognized.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delivered to the Company.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September 30, 2021 (Unaudited)</w:t>
      </w:r>
    </w:p>
    <w:p>
      <w:pPr>
        <w:spacing w:after="0" w:line="184"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Receivables (1)</w:t>
            </w:r>
          </w:p>
        </w:tc>
        <w:tc>
          <w:tcPr>
            <w:tcW w:w="12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color w:val="auto"/>
              </w:rPr>
              <w:t>Contract Asset</w:t>
            </w:r>
          </w:p>
        </w:tc>
        <w:tc>
          <w:tcPr>
            <w:tcW w:w="14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w w:val="99"/>
              </w:rPr>
              <w:t>Contract Liability</w:t>
            </w:r>
          </w:p>
        </w:tc>
        <w:tc>
          <w:tcPr>
            <w:tcW w:w="10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(1/1/2021)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4,119,988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Closing (9/30/2021)</w:t>
            </w:r>
          </w:p>
        </w:tc>
        <w:tc>
          <w:tcPr>
            <w:tcW w:w="200" w:type="dxa"/>
            <w:vAlign w:val="bottom"/>
          </w:tcPr>
          <w:p>
            <w:pPr>
              <w:spacing w:after="0"/>
              <w:rPr>
                <w:sz w:val="19"/>
                <w:szCs w:val="19"/>
                <w:color w:val="auto"/>
              </w:rPr>
            </w:pP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4,952,257</w:t>
            </w:r>
          </w:p>
        </w:tc>
        <w:tc>
          <w:tcPr>
            <w:tcW w:w="12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14,184,328</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6"/>
              </w:rPr>
              <w:t>832,269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Receivables (1)</w:t>
            </w:r>
          </w:p>
        </w:tc>
        <w:tc>
          <w:tcPr>
            <w:tcW w:w="12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 Asset</w:t>
            </w:r>
          </w:p>
        </w:tc>
        <w:tc>
          <w:tcPr>
            <w:tcW w:w="14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w w:val="99"/>
              </w:rPr>
              <w:t>Contract Liability</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(1/1/2020)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7"/>
              </w:rPr>
              <w:t>2,778,879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Closing (12/31/2020)</w:t>
            </w:r>
          </w:p>
        </w:tc>
        <w:tc>
          <w:tcPr>
            <w:tcW w:w="200" w:type="dxa"/>
            <w:vAlign w:val="bottom"/>
          </w:tcPr>
          <w:p>
            <w:pPr>
              <w:spacing w:after="0"/>
              <w:rPr>
                <w:sz w:val="19"/>
                <w:szCs w:val="19"/>
                <w:color w:val="auto"/>
              </w:rPr>
            </w:pPr>
          </w:p>
        </w:tc>
        <w:tc>
          <w:tcPr>
            <w:tcW w:w="1860" w:type="dxa"/>
            <w:vAlign w:val="bottom"/>
            <w:gridSpan w:val="2"/>
          </w:tcPr>
          <w:p>
            <w:pPr>
              <w:ind w:left="800"/>
              <w:spacing w:after="0"/>
              <w:rPr>
                <w:sz w:val="20"/>
                <w:szCs w:val="20"/>
                <w:color w:val="auto"/>
              </w:rPr>
            </w:pPr>
            <w:r>
              <w:rPr>
                <w:rFonts w:ascii="Arial" w:cs="Arial" w:eastAsia="Arial" w:hAnsi="Arial"/>
                <w:sz w:val="18"/>
                <w:szCs w:val="18"/>
                <w:color w:val="auto"/>
              </w:rPr>
              <w:t>4,119,988</w:t>
            </w:r>
          </w:p>
        </w:tc>
        <w:tc>
          <w:tcPr>
            <w:tcW w:w="12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13,080,179</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7"/>
              </w:rPr>
              <w:t>1,341,109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Receivables, net on the condensed consolidated balance sheets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revenue recognized and included in the opening contract liability balance for the three months ended September 30, 2021 and 2020 was $1,143,745 and $ 1,427,418, respectively, and for the nine months ended September 30, 2021 and 2020 was $3,588,682 and $ 3,258,824,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2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1880" w:type="dxa"/>
            <w:vAlign w:val="bottom"/>
            <w:gridSpan w:val="4"/>
          </w:tcPr>
          <w:p>
            <w:pPr>
              <w:jc w:val="center"/>
              <w:ind w:left="610"/>
              <w:spacing w:after="0"/>
              <w:rPr>
                <w:sz w:val="20"/>
                <w:szCs w:val="20"/>
                <w:color w:val="auto"/>
              </w:rPr>
            </w:pPr>
            <w:r>
              <w:rPr>
                <w:rFonts w:ascii="Arial" w:cs="Arial" w:eastAsia="Arial" w:hAnsi="Arial"/>
                <w:sz w:val="18"/>
                <w:szCs w:val="18"/>
                <w:color w:val="auto"/>
                <w:w w:val="92"/>
              </w:rPr>
              <w:t>Nine Months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center"/>
              <w:ind w:right="420"/>
              <w:spacing w:after="0"/>
              <w:rPr>
                <w:sz w:val="20"/>
                <w:szCs w:val="20"/>
                <w:color w:val="auto"/>
              </w:rPr>
            </w:pPr>
            <w:r>
              <w:rPr>
                <w:rFonts w:ascii="Arial" w:cs="Arial" w:eastAsia="Arial" w:hAnsi="Arial"/>
                <w:sz w:val="18"/>
                <w:szCs w:val="18"/>
                <w:color w:val="auto"/>
                <w:w w:val="88"/>
              </w:rPr>
              <w:t>Ended September 30</w:t>
            </w:r>
          </w:p>
        </w:tc>
      </w:tr>
      <w:tr>
        <w:trPr>
          <w:trHeight w:val="223"/>
        </w:trPr>
        <w:tc>
          <w:tcPr>
            <w:tcW w:w="1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190"/>
        </w:trPr>
        <w:tc>
          <w:tcPr>
            <w:tcW w:w="19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Major goods/service lines</w:t>
            </w:r>
          </w:p>
        </w:tc>
        <w:tc>
          <w:tcPr>
            <w:tcW w:w="1540" w:type="dxa"/>
            <w:vAlign w:val="bottom"/>
            <w:tcBorders>
              <w:bottom w:val="single" w:sz="8" w:color="CCEEFF"/>
            </w:tcBorders>
            <w:gridSpan w:val="2"/>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At-need</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4,129,203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4,272,816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12,172,631</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10,915,712</w:t>
            </w:r>
          </w:p>
        </w:tc>
      </w:tr>
      <w:tr>
        <w:trPr>
          <w:trHeight w:val="229"/>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Pre-need</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1,838,472</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1,098,899</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6,055,568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3,614,872</w:t>
            </w:r>
          </w:p>
        </w:tc>
      </w:tr>
      <w:tr>
        <w:trPr>
          <w:trHeight w:val="263"/>
        </w:trPr>
        <w:tc>
          <w:tcPr>
            <w:tcW w:w="19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5,967,675</w:t>
            </w:r>
          </w:p>
        </w:tc>
        <w:tc>
          <w:tcPr>
            <w:tcW w:w="3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5,371,715</w:t>
            </w:r>
          </w:p>
        </w:tc>
        <w:tc>
          <w:tcPr>
            <w:tcW w:w="3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18,228,199</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14,530,584</w:t>
            </w:r>
          </w:p>
        </w:tc>
        <w:tc>
          <w:tcPr>
            <w:tcW w:w="100" w:type="dxa"/>
            <w:vAlign w:val="bottom"/>
            <w:tcBorders>
              <w:bottom w:val="single" w:sz="8" w:color="CCEEFF"/>
            </w:tcBorders>
          </w:tcPr>
          <w:p>
            <w:pPr>
              <w:spacing w:after="0"/>
              <w:rPr>
                <w:sz w:val="22"/>
                <w:szCs w:val="22"/>
                <w:color w:val="auto"/>
              </w:rPr>
            </w:pPr>
          </w:p>
        </w:tc>
      </w:tr>
      <w:tr>
        <w:trPr>
          <w:trHeight w:val="196"/>
        </w:trPr>
        <w:tc>
          <w:tcPr>
            <w:tcW w:w="1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5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Timing of Revenue Recognition</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4,132,050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3,559,431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12,882,878</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9,641,751</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Services transferred at a point in time</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1,835,625</w:t>
            </w:r>
          </w:p>
        </w:tc>
        <w:tc>
          <w:tcPr>
            <w:tcW w:w="4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1,812,284</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5,345,321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4,888,833</w:t>
            </w: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5,967,675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5,371,715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18,228,199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8"/>
                <w:szCs w:val="18"/>
                <w:color w:val="auto"/>
              </w:rPr>
            </w:pPr>
          </w:p>
        </w:tc>
        <w:tc>
          <w:tcPr>
            <w:tcW w:w="3000" w:type="dxa"/>
            <w:vAlign w:val="bottom"/>
            <w:gridSpan w:val="6"/>
          </w:tcPr>
          <w:p>
            <w:pPr>
              <w:jc w:val="center"/>
              <w:ind w:right="4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3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September 30</w:t>
            </w:r>
          </w:p>
        </w:tc>
        <w:tc>
          <w:tcPr>
            <w:tcW w:w="10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5,967,675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5,371,715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14,530,584</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Gains (losses) on investments and other assets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(112,828)</w:t>
            </w:r>
          </w:p>
        </w:tc>
        <w:tc>
          <w:tcPr>
            <w:tcW w:w="4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(66,673)</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913,058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(244,413)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826,008</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168,478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1,296,899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444,971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revenues</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24,492</w:t>
            </w:r>
          </w:p>
        </w:tc>
        <w:tc>
          <w:tcPr>
            <w:tcW w:w="4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22,470</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74,378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84,849</w:t>
            </w: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6,705,347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5,495,990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20,512,534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 (iii) capitalizing on an improving housing market by originating mortgage loans. The Company has adjusted its strategy to respond to the changing economic circumstances resulting from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the life insurance sales force began using virtual and tele sales processes to market its products. This past quarter, the life insurance sales force returned to in person sales, however, it continues to use virtual and tele sales where needed. Currently, the insurance operations has approximately 75% of its office staff working in the office with the flexibility for hybrid-remote or completely remote working arrangements as needed.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three and nine months ended September 30, 2021 and 2020.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7"/>
          </w:tcPr>
          <w:p>
            <w:pPr>
              <w:jc w:val="center"/>
              <w:ind w:right="270"/>
              <w:spacing w:after="0"/>
              <w:rPr>
                <w:sz w:val="20"/>
                <w:szCs w:val="20"/>
                <w:color w:val="auto"/>
              </w:rPr>
            </w:pPr>
            <w:r>
              <w:rPr>
                <w:rFonts w:ascii="Arial" w:cs="Arial" w:eastAsia="Arial" w:hAnsi="Arial"/>
                <w:sz w:val="18"/>
                <w:szCs w:val="18"/>
                <w:color w:val="auto"/>
                <w:w w:val="89"/>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color w:val="auto"/>
                <w:w w:val="89"/>
              </w:rPr>
              <w:t>Nine months ended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right="270"/>
              <w:spacing w:after="0"/>
              <w:rPr>
                <w:sz w:val="20"/>
                <w:szCs w:val="20"/>
                <w:color w:val="auto"/>
              </w:rPr>
            </w:pPr>
            <w:r>
              <w:rPr>
                <w:rFonts w:ascii="Arial" w:cs="Arial" w:eastAsia="Arial" w:hAnsi="Arial"/>
                <w:sz w:val="18"/>
                <w:szCs w:val="18"/>
                <w:color w:val="auto"/>
                <w:w w:val="91"/>
              </w:rPr>
              <w:t>(in thousands of dollars)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right="27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6"/>
              </w:rPr>
              <w:t>Increase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(Decrease)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300" w:type="dxa"/>
            <w:vAlign w:val="bottom"/>
          </w:tcPr>
          <w:p>
            <w:pPr>
              <w:spacing w:after="0"/>
              <w:rPr>
                <w:sz w:val="20"/>
                <w:szCs w:val="20"/>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Insurance premiums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26,446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23,767</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74,755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68,983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Gains (losses) on investments and other assets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860</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39,261</w:t>
            </w:r>
          </w:p>
        </w:tc>
        <w:tc>
          <w:tcPr>
            <w:tcW w:w="3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121,642</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110,255</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7"/>
        </w:trPr>
        <w:tc>
          <w:tcPr>
            <w:tcW w:w="4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Intersegment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2,953</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5,410</w:t>
            </w: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5,677</w:t>
            </w: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3,721</w:t>
            </w:r>
          </w:p>
        </w:tc>
        <w:tc>
          <w:tcPr>
            <w:tcW w:w="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4,807</w:t>
            </w:r>
          </w:p>
        </w:tc>
        <w:tc>
          <w:tcPr>
            <w:tcW w:w="32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11,110</w:t>
            </w:r>
          </w:p>
        </w:tc>
        <w:tc>
          <w:tcPr>
            <w:tcW w:w="3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5,408</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Intersegment revenues are primarily interest income from the warehouse line for loans held for sale provided to SecurityNational Mortgage. Profitability for the nine months ended September 30, 2021 has increased due to a $5,772,000 increase in insurance premiums and other considerations, a $3,232,000 increase in gains on investments and other assets primarily due to an increase in the fair value of equity securities and a decrease in impairment losses on real estate held for sale, a $1,785,000 increase in net investment income, a $1,459,000 decrease in selling, general and administrative expenses, a $596,000 increase in other revenues, a $164,000 decrease in interest expense, a $96,000 decrease in intersegment selling, general and administrative expenses, and an $18,000 decrease in intersegment interest expense and other expenses. This increase was partially offset by a $5,370,000 increase in death, surrenders and other policy benefits, a $1,177,000 increase in amortization of deferred policy acquisition costs and value of business acquired primarily due to an increase in the average outstanding balance of deferred policy and pre-need acquisition costs, a $606,000 increase in future policy benefits, and a $267,000 decrease in intersegment revenue.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response to the COVID-19 pandemic, the cemetery and mortuary’s pre-need sales force began using virtual selling processes to market its products and services including some in home sales as local regulations permitted. This past quarter,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and nine months ended September 30, 2021 and 2020.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color w:val="auto"/>
                <w:w w:val="89"/>
              </w:rPr>
              <w:t>Nine months ended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jc w:val="center"/>
              <w:ind w:right="230"/>
              <w:spacing w:after="0"/>
              <w:rPr>
                <w:sz w:val="20"/>
                <w:szCs w:val="20"/>
                <w:color w:val="auto"/>
              </w:rPr>
            </w:pPr>
            <w:r>
              <w:rPr>
                <w:rFonts w:ascii="Arial" w:cs="Arial" w:eastAsia="Arial" w:hAnsi="Arial"/>
                <w:sz w:val="18"/>
                <w:szCs w:val="18"/>
                <w:color w:val="auto"/>
                <w:w w:val="87"/>
              </w:rPr>
              <w:t>Three months ended 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center"/>
              <w:ind w:right="230"/>
              <w:spacing w:after="0"/>
              <w:rPr>
                <w:sz w:val="20"/>
                <w:szCs w:val="20"/>
                <w:color w:val="auto"/>
              </w:rPr>
            </w:pPr>
            <w:r>
              <w:rPr>
                <w:rFonts w:ascii="Arial" w:cs="Arial" w:eastAsia="Arial" w:hAnsi="Arial"/>
                <w:sz w:val="18"/>
                <w:szCs w:val="18"/>
                <w:color w:val="auto"/>
                <w:w w:val="90"/>
              </w:rPr>
              <w:t>(in thousands of dollars)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center"/>
              <w:ind w:right="29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6"/>
              </w:rPr>
              <w:t>Increase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7"/>
              </w:rPr>
              <w:t>(Decrease)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300" w:type="dxa"/>
            <w:vAlign w:val="bottom"/>
          </w:tcPr>
          <w:p>
            <w:pPr>
              <w:spacing w:after="0"/>
              <w:rPr>
                <w:sz w:val="20"/>
                <w:szCs w:val="20"/>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Mortuary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2,112</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6,124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Cemetery revenues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investments and other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1,747</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w:t>
            </w:r>
          </w:p>
        </w:tc>
        <w:tc>
          <w:tcPr>
            <w:tcW w:w="3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6,718</w:t>
            </w:r>
          </w:p>
        </w:tc>
        <w:tc>
          <w:tcPr>
            <w:tcW w:w="3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Profitability in the nine months ended September 30, 2021 has increased due to a $2,441,000 increase in cemetery pre-need sales, a $1,157,000 increase in gains on investments and other assets primarily attributable to a $955,000 increase in gains on real estate sales and a $203,000 increase in the fair value of equity securities classified as restricted assets and cemetery perpetual care trust investments, a $851,000 increase in net investment income, a $693,000 increase in cemetery at-need sales, a $564,000 increase in mortuary at-need sales, a $113,000 decrease in interest expense, a $69,000 decrease in intersegment interest expense and other expenses, and an $18,000 decrease in amortization of deferred policy acquisition costs. This increase was partially offset by a $1,637,000 increase in selling, general and administrative expenses, a $479,000 increase in costs of goods sold, a $38,000 decrease in intersegment revenues, and a $10,000 decrease in other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58% of its loan origination volume. These mortgage loans are serviced by either SecurityNational Mortgage or an approved third-party sub-servicer.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and 2020, SecurityNational Mortgage originated 14,898 loans ($4,157,704,000 total volume) and 14,462 loans ($3,708,810,000 total volume), respectively. For the nine months ended September 30, 2021 and 2020, EverLEND Mortgage originated 260 loans ($85,368,000 total volume) and 400 loans ($115,519,000 total volume),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Record low mortgage interest rates that prevailed during the third quarter of 2020 and into the first quarter of 2021 trended higher through the second and third quarters of 2021. Production volumes remained strong in the second and third quarters of 2021, particularly for purchase mortgage transactions but were below those experienced during the earlier low interest rate period. The work from home accommodations made by necessity in 2020 as a result of COVID-19 have been integrated into 2021 standard operating procedures. A larger percentage of fulfillment employees are in office in 2021 compared to 2020, however the flexibility remains to accommodate in office or work from home functionality.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shows the condensed financial results of the mortgage operations for the three and nine months ended September 30, 2021 and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7 to the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7"/>
          </w:tcPr>
          <w:p>
            <w:pPr>
              <w:jc w:val="center"/>
              <w:ind w:right="270"/>
              <w:spacing w:after="0"/>
              <w:rPr>
                <w:sz w:val="20"/>
                <w:szCs w:val="20"/>
                <w:color w:val="auto"/>
              </w:rPr>
            </w:pPr>
            <w:r>
              <w:rPr>
                <w:rFonts w:ascii="Arial" w:cs="Arial" w:eastAsia="Arial" w:hAnsi="Arial"/>
                <w:sz w:val="18"/>
                <w:szCs w:val="18"/>
                <w:color w:val="auto"/>
                <w:w w:val="89"/>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5"/>
          </w:tcPr>
          <w:p>
            <w:pPr>
              <w:jc w:val="center"/>
              <w:spacing w:after="0"/>
              <w:rPr>
                <w:sz w:val="20"/>
                <w:szCs w:val="20"/>
                <w:color w:val="auto"/>
              </w:rPr>
            </w:pPr>
            <w:r>
              <w:rPr>
                <w:rFonts w:ascii="Arial" w:cs="Arial" w:eastAsia="Arial" w:hAnsi="Arial"/>
                <w:sz w:val="18"/>
                <w:szCs w:val="18"/>
                <w:color w:val="auto"/>
                <w:w w:val="89"/>
              </w:rPr>
              <w:t>Nine months ended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right="270"/>
              <w:spacing w:after="0"/>
              <w:rPr>
                <w:sz w:val="20"/>
                <w:szCs w:val="20"/>
                <w:color w:val="auto"/>
              </w:rPr>
            </w:pPr>
            <w:r>
              <w:rPr>
                <w:rFonts w:ascii="Arial" w:cs="Arial" w:eastAsia="Arial" w:hAnsi="Arial"/>
                <w:sz w:val="18"/>
                <w:szCs w:val="18"/>
                <w:color w:val="auto"/>
                <w:w w:val="91"/>
              </w:rPr>
              <w:t>(in thousands of dollars)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center"/>
              <w:ind w:right="27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6"/>
              </w:rPr>
              <w:t>Increase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(Decrease)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300" w:type="dxa"/>
            <w:vAlign w:val="bottom"/>
          </w:tcPr>
          <w:p>
            <w:pPr>
              <w:spacing w:after="0"/>
              <w:rPr>
                <w:sz w:val="20"/>
                <w:szCs w:val="20"/>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Secondary gains from investors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55,441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70,628</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179,901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151,216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loan originations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Change in fair value of loans held for sale</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1,404</w:t>
            </w: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loan commitments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2,581</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11,744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6,641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216,765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219,404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8,675</w:t>
            </w:r>
          </w:p>
        </w:tc>
        <w:tc>
          <w:tcPr>
            <w:tcW w:w="1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32,454</w:t>
            </w:r>
          </w:p>
        </w:tc>
        <w:tc>
          <w:tcPr>
            <w:tcW w:w="32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27,348</w:t>
            </w:r>
          </w:p>
        </w:tc>
        <w:tc>
          <w:tcPr>
            <w:tcW w:w="1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58,868</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Included in other revenues is service fee income. Profitability for the nine months ended September 30, 2021 has decreased due to a $13,304,000 increase in personnel expenses, a $13,003,000 decrease in the fair value of loan commitments, a $12,551,000 decrease in the fair value of loans held for sale, a $10,926,000 decrease in income from loan originations, a $9,741,000 increase in commissions, a $4,434,000 increase in other expenses, a $826,000 increase in advertising expenses, a $663,000 increase in costs related to funding mortgage loans, a $563,000 increase in rent and rent related expenses, a $145,000 decrease in net investment income, and a $89,000 decrease in intersegment revenues. This decrease was partially offset by a $28,685,000 increase in secondary gains from investors, a $5,103,000 increase in other revenues, a $459,000 decrease in interest expense, a $213,000 decrease in intersegment interest expense, a $199,000 increase in gains on investments and other assets, and a $70,000 decrease in depreciation on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 Loss Settlements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September 30, 2021 and December 31, 2020, the balances were $2,408,233 and $20,583,618,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$26,696,000, or 18.3%, to $119,509,000 for the three months ended September 30, 2021, from $146,205,000 for the comparable period in 2020. Contributing to this decrease in total revenues was a $32,302,000 decrease in mortgage fee income. This decrease was partially offset by a $2,679,000 increase in insurance premiums and other considerations, a $1,771,000 increase in other revenues, a $596,000 increase in net mortuary and cemetery sales, a $384,000 increase in net investment income, and a $176,000 increase in gains on investments and other assets.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fee income decreased by $32,302,000, or 32.8%, to $66,258,000 for the three months ended September 30, 2021, from $98,560,000 for the comparable period in 2020. This decrease was primarily due to a $15,187,000 decrease in secondary gains from mortgage loans sold to third-party investors into the secondary market, a $11,170,000 decrease in loan fees and interest income net of a decrease in the provision for loan loss reserve, a $4,282,000 decrease in the fair value of loan commitments, and a $1,663,000 decrease in the fair value of loans held for sale.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premiums and other considerations increased by $2,679,000, or 11.3%, to $26,446,000 for the three months ended September 30, 2021, from $23,767,000 for the comparable period in 2020. This increase was due to a $1,676,000 increase in first year premiums as a result of increased insurance sales and a $1,003,000 increase in renewal premiums due to the growth of the Company in recent years, particularly in whole life products, which resulted in more premium paying business in force.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investment income increased by $384,000, or 2.6%, to $15,093,000 for the three months ended September 30, 2021, from $14,709,000 for the comparable period in 2020. This increase was primarily attributable to a $309,000 increase in rental income from real estate held for investment, a $254,000 decrease in investment expenses, a $220,000 increase in insurance assignment income, a $123,000 increase in mortgage loan interest, a $35,000 increase in income on other investments, and a $16,000 increase in interest on cash and cash equivalents. This increase was partially offset by a $523,000 decrease in fixed maturity securities income, a $35,000 decrease in policy loan income, and a $15,000 decrease in equity securities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increased by $596,000, or 11.1%, to $5,968,000 for the three months ended September 30, 2021, from $5,372,000 for the comparable period in 2020. This increase was primarily due to a $740,000 increase in cemetery pre-need sales and a $79,000 increase in mortuary at-need sales. This increase was partially offset by a $223,000 decrease in cemetery at-need sales.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7"/>
          <w:szCs w:val="17"/>
          <w:color w:val="auto"/>
        </w:rPr>
        <w:t>Gains on investments and other assets increased by $176,000, or 22.0%, to $977,000 for the three months ended September 30, 2021, from $801,000 for the comparable period in 2020. This increase in gains on investments and other assets was primarily due to a $569,000 increase in gains on other assets and a $216,000 increase in gains on fixed maturity securities. This increase in gains on investments and other assets was partially offset by a $609,000 decrease in gains on equity securities mostly attributable to decreases in the fair value of these equity securities.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increased by $1,771,000, or 59.1%, to $4,768,000 for the three months ended September 30, 2021, from $2,997,000 for the comparable period in 2020. This increase was primarily attributable to an increase in servicing fee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$105,366,000, or 88.2% of total revenues, for the three months ended September 30, 2021, as compared to $107,621,000, or 73.6% of total revenues, for the comparable period in 2020.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$1,961,000 or 8.9%, to $23,937,000 for the three months ended September 30, 2021, from $21,976,000 for the comparable period in 2020. This increase was primarily the result of and a $2,592,000 increase in future policy benefits. This increase was partially offset by a $552,000 decrease in death benefits (including, approximately, a $501,000 decrease in COVID-19 related deaths) and a $79,000 decrease in surrender and other policy benefits.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$470,000, or 11.1%, to $4,710,000 for the three months ended September 30, 2021, from $4,240,000 for the comparable period in 2020.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$4,139,000, or 5.3%, to $74,003,000 for the three months ended September 30,2021, from $78,142,000 for the comparable period in 2020. This decrease was primarily the result of a $8,993,000 decrease in commissions, a $678,000 decrease in costs related to funding mortgage loans, and a $104,000 decrease in depreciation on property and equipment. This decrease was partially offset by a $3,422,000 increase in personnel expenses, a $2,073,000 increase in other expenses, an $84,000 increase in advertising expenses, and a $57,000 increase in rent and rent related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$556,000 or 23.5%, to $1,807,000 for the three months ended September 30, 2021, from $2,363,000 for the comparable period in 2020. This decrease was primarily due to a decrease of $543,000 in interest expense on mortgage warehouse lines for loans held for sale and a $13,000 decrease in interest expense on bank loans.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goods and services sold-mortuaries and cemeteries increased by $9,000, or 1.0%, to $908,000 for the three months ended September 30, 2021, from $899,000 for the comparable period in 2020. This increase was primarily due to a $33,000 increase in cemetery at-need sales and a $27,000 increase in mortuary at-need sales. This increase was partially offset by a $51,000 decrease in cemetery pre-need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increased by $14,443,000, or 4.2%, to $358,918,000 for the nine months ended September 30, 2021, from $344,475,000 for the comparable period in 2020. Contributing to this increase in total revenues was a $5,772,000 increase in insurance premiums and other considerations, a $5,689,000 increase in other revenues, a $4,588,000 increase in gains on investments and other assets, a $3,698,000 increase in net mortuary and cemetery sales, and a $2,492,000 increase in net investment income. This increase was partially offset by a $7,796,000 decrease in mortgage fee income.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fee income decreased by $7,796,000, or 3.7%, to $204,414,000, for the nine months ended September 30, 2021, from $212,210,000 for the comparable period in 2020. This decrease was primarily due to a $12,551,000 decrease in the fair value of loans held for sale, a $13,003,000 decrease in the fair value of loan commitments, and a $10,927,000 decrease in loan fees and interest income net of a decrease in the provision for loan loss reserve. This decrease in mortgage fee income was partially offset by a $28,685,000 increase in secondary gains from mortgage loans sold to third-party investors into the secondary market.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premiums and other considerations increased by $5,772,000, or 8.4%, to $74,755,000 for the nine months ended September 30, 2021, from $68,983,000 for the comparable period in 2020. This increase was due to a $4,243,000 increase in first year premiums as a result of increased insurance sales and a $1,529,000 increase in renewal premiums due to the growth of the Company in recent years, particularly in whole life products, which resulted in more premium paying business in force.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investment income increased by $2,492,000, or 6.1%, to $43,564,000 for the nine months ended September 30, 2021, from $41,072,000 for the comparable period in 2020. This increase was primarily attributable to a $1,874,000 increase in mortgage loan interest, a $1,054,000 increase in insurance assignment income, a $434,000 decrease in investment expenses, a $413,000 increase in rental income from real estate held for investment, a $63,000 increase in income on other investments, and a $16,000 increase in equity securities income. This increase was partially offset by a $1,069,000 decrease in fixed maturity securities income, a $231,000 decrease in interest on cash and cash equivalents, and a $62,000 decrease in policy loan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increased by $3,698,000, or 25.4%, to $18,228,000 for the nine months ended September 30, 2021, from $14,530,000 for the comparable period in 2020. This increase was primarily due to an $2,441,000 increase in cemetery pre-need sales, a $693,000 increase in cemetery at-need sales, and a $564,000 increase in mortuary at-need sales.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Gains on investments and other assets increased by $4,588,000, or 2644.8%, to gains of $4,414,000 for the nine months ended September 30, 2021, from losses of $174,000 for the comparable period in 2020. This increase in gains on investments and other assets was primarily due a $2,217,000 increase in gains on equity securities mostly attributable to increases in the fair value of these equity securities. This increase in gains on investments and other assets was also due to a $2,035,000 increase in gains on other assets mostly attributable gains on real estate and mortgage loans. This increase in gains on investments and other assets was also due to a $336,000 increase in gains on fixed maturity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47"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Other revenues increased by $5,689,000, or 72.4%, to $13,542,000 for the nine months ended September 30, 2021, from $7,853,000 for the comparable period in 2020. This increase was primarily attributable to an increase in servicing fee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$313,742,000, or 87.4% of total revenues, for the nine months ended September 30, 2021, as compared to $277,223,000, or 80.5% of total revenues, for the comparable period in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$5,976,000 or 9.3%, to $70,497,000 for the nine months ended September 30, 2021, from $64,521,000 for the comparable period in 2020. This increase was primarily the result of a $5,609,000 increase in death benefits (including, approximately, $2,922,000 for COVID-19 related deaths) and a $606,000 increase in future policy benefits. This increase was partially offset by a $239,000 decrease in surrender and other policy benefits.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$1,159,000, or 10.8%, to $11,941,000 for the nine months ended September 30, 2021, from $10,781,000 for the comparable period in 2020.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increased by $29,640,000, or 15.3%, to $223,096,000 for the nine months ended September 30, 2021, from $193,456,000 for the comparable period in 2020. This increase was primarily the result of a $12,863,000 increase in personnel expenses, a $9,837,000 increase in commissions, a $4,674,000 increase in other expenses, a $1,247,000 increase in advertising expenses, a $663,000 increase in costs related to funding mortgage loans, and a $519,000 increase in rent and rent related expenses. This increase was partially offset by a $163,000 decrease in depreciation on property and equipment.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$736,000, or 12.1%, to $5,327,000 for the nine months ended September 30, 2021, from $6,063,000 for the comparable period in 2020. This decrease was primarily due to a $459,000 decrease in interest expense on mortgage warehouse lines for loans held for sale and a $277,000 decrease in interest expense on bank loans.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and services sold-mortuaries and cemeteries increased by $479,000, or 20.0%, to $2,881,000 for the nine months ended September 30, 2021, from $2,402,000 for the comparable period in 2020. This increase was primarily due to a $189,000 increase in cemetery pre-need sales, a $183,000 increase in cemetery at-need sales, and a $107,000 increase in mortuary at-need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into the secondary market.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 should be noted that current conditions in the financial markets and economy caused by the COVID-19 pandemic may affect the cash flows of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and 2020, the Company’s operations provided cash of $128,891,000 and used cash of $ 164,589,000, respectively. This increase was due primarily to sales of mortgage loans held for sale.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$264,562,000 (at estimated fair value) and $294,384,000 (at estimated fair value) as of September 30, 2021 and December 31, 2020, respectively. This represents 30.9% and 38.0% of the total investments as of September 30, 2021 and December 31, 2020, respectively. Generally, all bonds owned by the life insurance subsidiaries are rated by the National Association of Insurance Commissioners. Under this rating system, there are six categories used for rating bonds. At September 30, 2021, 4.5% (or $11,780,000) and at December 31, 2020, 4.2% (or $12,418,000) of the Company’s total bond investments were invested in bonds in rating categories three through six, which were considered non-investment grade.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September 30, 2021 and December 31, 2020, the life insurance subsidiaries were in compliance with the regulatory criteria.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863"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The Company’s total capitalization of stockholders’ equity, bank and other loans payable was $559,903,000 as of September 30, 2021, as compared to $561,811,000 as of December 31, 2020. Stockholders’ equity as a percent of total capitalization was 53.0% and 47.0% as of September 30, 2021 and December 31, 2020,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2020 was 5.9% as compared to a rate of 9.8% for 2019. The 2021 lapse rate to date has been approximately the same as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the combined statutory capital and surplus of the Company’s life insurance subsidiaries was $74,042,000. The life insurance subsidiaries cannot pay a dividend to its parent company without approval of state insurance regulatory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the outbreak of COVID-19 had spread worldwide and was declared a global pandemic by the World Health Organization on March 11, 2020. COVID-19, and its variants, pose a threat to the health and economic well-being of the Company’s employees, customers, and vendors. The Company is closely monitoring developments relating to the ongoing COVID-19 pandemic and assessing its impact on the Company’s business. The continued uncertainty surrounding the COVID-19 pandemic has had and continues to have a major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2021,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2021,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2018, the Board of Directors of the Company approved a Stock Repurchase Plan that authorized the repurchase of 300,000 shares of the Company’s Class A Common Stock in the open market. The Stock Repurchase Plan was amended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months ended September 30, 2021 under the Stock Repurchase Plan.</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Period</w:t>
      </w:r>
    </w:p>
    <w:p>
      <w:pPr>
        <w:spacing w:after="0" w:line="23"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color w:val="auto"/>
        </w:rPr>
        <w:t>7/1/2021-7/31/2021 8/1/2021-8/31/2021 9/1/2021-9/31/2021</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(d) Maximum Number (or</w:t>
            </w:r>
          </w:p>
        </w:tc>
      </w:tr>
      <w:tr>
        <w:trPr>
          <w:trHeight w:val="216"/>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 Total Number of Class</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A Shares Purchased as</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Value) of Class A Shares</w:t>
            </w:r>
          </w:p>
        </w:tc>
      </w:tr>
      <w:tr>
        <w:trPr>
          <w:trHeight w:val="216"/>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Part of Publicly</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that May Yet Be</w:t>
            </w:r>
          </w:p>
        </w:tc>
      </w:tr>
      <w:tr>
        <w:trPr>
          <w:trHeight w:val="216"/>
        </w:trPr>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(a) Total Number of Class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(b) Average Price Paid</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Announced Plan or</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Purchased Under the Plan</w:t>
            </w:r>
          </w:p>
        </w:tc>
      </w:tr>
      <w:tr>
        <w:trPr>
          <w:trHeight w:val="230"/>
        </w:trPr>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A Shares 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per Class A Share</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Program</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or Program</w:t>
            </w:r>
          </w:p>
        </w:tc>
      </w:tr>
      <w:tr>
        <w:trPr>
          <w:trHeight w:val="195"/>
        </w:trPr>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10,225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8.53</w:t>
            </w:r>
          </w:p>
        </w:tc>
        <w:tc>
          <w:tcPr>
            <w:tcW w:w="320" w:type="dxa"/>
            <w:vAlign w:val="bottom"/>
          </w:tcPr>
          <w:p>
            <w:pPr>
              <w:spacing w:after="0"/>
              <w:rPr>
                <w:sz w:val="16"/>
                <w:szCs w:val="16"/>
                <w:color w:val="auto"/>
              </w:rPr>
            </w:pPr>
          </w:p>
        </w:tc>
        <w:tc>
          <w:tcPr>
            <w:tcW w:w="1900" w:type="dxa"/>
            <w:vAlign w:val="bottom"/>
            <w:tcBorders>
              <w:top w:val="single" w:sz="8" w:color="auto"/>
            </w:tcBorders>
          </w:tcPr>
          <w:p>
            <w:pPr>
              <w:ind w:left="1720"/>
              <w:spacing w:after="0" w:line="195" w:lineRule="exact"/>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710,752</w:t>
            </w:r>
          </w:p>
        </w:tc>
        <w:tc>
          <w:tcPr>
            <w:tcW w:w="20" w:type="dxa"/>
            <w:vAlign w:val="bottom"/>
          </w:tcPr>
          <w:p>
            <w:pPr>
              <w:spacing w:after="0"/>
              <w:rPr>
                <w:sz w:val="16"/>
                <w:szCs w:val="16"/>
                <w:color w:val="auto"/>
              </w:rPr>
            </w:pPr>
          </w:p>
        </w:tc>
      </w:tr>
      <w:tr>
        <w:trPr>
          <w:trHeight w:val="230"/>
        </w:trPr>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710,752</w:t>
            </w:r>
          </w:p>
        </w:tc>
      </w:tr>
      <w:tr>
        <w:trPr>
          <w:trHeight w:val="230"/>
        </w:trPr>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222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690,752</w:t>
            </w:r>
          </w:p>
        </w:tc>
      </w:tr>
      <w:tr>
        <w:trPr>
          <w:trHeight w:val="20"/>
        </w:trPr>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r>
      <w:tr>
        <w:trPr>
          <w:trHeight w:val="453"/>
        </w:trPr>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30,225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8.63</w:t>
            </w:r>
          </w:p>
        </w:tc>
        <w:tc>
          <w:tcPr>
            <w:tcW w:w="222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690,752</w:t>
            </w: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-471170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-179705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-753745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860" w:space="640"/>
            <w:col w:w="8740"/>
          </w:cols>
          <w:pgMar w:left="320" w:top="68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 Financial Statements Schedules and Reports on Form 8-K.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760" w:type="dxa"/>
            <w:vAlign w:val="bottom"/>
            <w:gridSpan w:val="13"/>
          </w:tcPr>
          <w:p>
            <w:pPr>
              <w:ind w:left="18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7"/>
                <w:szCs w:val="17"/>
                <w:color w:val="auto"/>
              </w:rPr>
            </w:pPr>
          </w:p>
        </w:tc>
        <w:tc>
          <w:tcPr>
            <w:tcW w:w="10400" w:type="dxa"/>
            <w:vAlign w:val="bottom"/>
            <w:gridSpan w:val="12"/>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Amended and Restated Articles of Incorporation (4)</w:t>
              </w:r>
            </w:hyperlink>
          </w:p>
        </w:tc>
      </w:tr>
      <w:tr>
        <w:trPr>
          <w:trHeight w:val="176"/>
        </w:trPr>
        <w:tc>
          <w:tcPr>
            <w:tcW w:w="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w:t>
            </w:r>
          </w:p>
        </w:tc>
        <w:tc>
          <w:tcPr>
            <w:tcW w:w="360" w:type="dxa"/>
            <w:vAlign w:val="bottom"/>
            <w:tcBorders>
              <w:top w:val="single" w:sz="8" w:color="CCEEFF"/>
            </w:tcBorders>
          </w:tcPr>
          <w:p>
            <w:pPr>
              <w:spacing w:after="0"/>
              <w:rPr>
                <w:sz w:val="15"/>
                <w:szCs w:val="15"/>
                <w:color w:val="auto"/>
              </w:rPr>
            </w:pPr>
          </w:p>
        </w:tc>
        <w:tc>
          <w:tcPr>
            <w:tcW w:w="37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Amended and Restated Bylaws (7)</w:t>
              </w:r>
            </w:hyperlink>
          </w:p>
        </w:tc>
        <w:tc>
          <w:tcPr>
            <w:tcW w:w="6640" w:type="dxa"/>
            <w:vAlign w:val="bottom"/>
            <w:tcBorders>
              <w:top w:val="single" w:sz="8" w:color="CCEEFF"/>
            </w:tcBorders>
            <w:gridSpan w:val="7"/>
          </w:tcPr>
          <w:p>
            <w:pPr>
              <w:spacing w:after="0"/>
              <w:rPr>
                <w:sz w:val="15"/>
                <w:szCs w:val="15"/>
                <w:color w:val="auto"/>
              </w:rPr>
            </w:pPr>
          </w:p>
        </w:tc>
      </w:tr>
      <w:tr>
        <w:trPr>
          <w:trHeight w:val="21"/>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04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Specimen Class A Stock Certificate (1)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0400" w:type="dxa"/>
            <w:vAlign w:val="bottom"/>
            <w:gridSpan w:val="12"/>
          </w:tcPr>
          <w:p>
            <w:pPr>
              <w:spacing w:after="0"/>
              <w:rPr>
                <w:sz w:val="20"/>
                <w:szCs w:val="20"/>
                <w:color w:val="auto"/>
              </w:rPr>
            </w:pPr>
            <w:r>
              <w:rPr>
                <w:rFonts w:ascii="Arial" w:cs="Arial" w:eastAsia="Arial" w:hAnsi="Arial"/>
                <w:sz w:val="18"/>
                <w:szCs w:val="18"/>
                <w:color w:val="auto"/>
              </w:rPr>
              <w:t>Specimen Class C Stock Certificate (1)</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4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Specimen Preferred Stock Certificate and Certificate of Designation of Preferred Stock (1)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0400" w:type="dxa"/>
            <w:vAlign w:val="bottom"/>
            <w:gridSpan w:val="12"/>
          </w:tcPr>
          <w:p>
            <w:pPr>
              <w:spacing w:after="0"/>
              <w:rPr>
                <w:sz w:val="20"/>
                <w:szCs w:val="20"/>
                <w:color w:val="auto"/>
              </w:rPr>
            </w:pPr>
            <w:r>
              <w:rPr>
                <w:rFonts w:ascii="Arial" w:cs="Arial" w:eastAsia="Arial" w:hAnsi="Arial"/>
                <w:sz w:val="18"/>
                <w:szCs w:val="18"/>
                <w:color w:val="auto"/>
              </w:rPr>
              <w:t>Employee Stock Ownership Plan, as amended and restated (ESOP) and Trust Agreement (1)</w:t>
            </w:r>
          </w:p>
        </w:tc>
      </w:tr>
      <w:tr>
        <w:trPr>
          <w:trHeight w:val="196"/>
        </w:trPr>
        <w:tc>
          <w:tcPr>
            <w:tcW w:w="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17"/>
                <w:szCs w:val="17"/>
                <w:color w:val="auto"/>
              </w:rPr>
            </w:pPr>
          </w:p>
        </w:tc>
        <w:tc>
          <w:tcPr>
            <w:tcW w:w="10400" w:type="dxa"/>
            <w:vAlign w:val="bottom"/>
            <w:gridSpan w:val="12"/>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Amended and Restated 2013 Stock Option and Other Equity Incentive Awards Plan (3)</w:t>
              </w:r>
            </w:hyperlink>
          </w:p>
        </w:tc>
      </w:tr>
      <w:tr>
        <w:trPr>
          <w:trHeight w:val="176"/>
        </w:trPr>
        <w:tc>
          <w:tcPr>
            <w:tcW w:w="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10.3</w:t>
            </w:r>
          </w:p>
        </w:tc>
        <w:tc>
          <w:tcPr>
            <w:tcW w:w="360" w:type="dxa"/>
            <w:vAlign w:val="bottom"/>
            <w:tcBorders>
              <w:top w:val="single" w:sz="8" w:color="CCEEFF"/>
            </w:tcBorders>
          </w:tcPr>
          <w:p>
            <w:pPr>
              <w:spacing w:after="0"/>
              <w:rPr>
                <w:sz w:val="15"/>
                <w:szCs w:val="15"/>
                <w:color w:val="auto"/>
              </w:rPr>
            </w:pPr>
          </w:p>
        </w:tc>
        <w:tc>
          <w:tcPr>
            <w:tcW w:w="628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Amended and Restated 2014 Director Stock Option Plan (10)</w:t>
              </w:r>
            </w:hyperlink>
          </w:p>
        </w:tc>
        <w:tc>
          <w:tcPr>
            <w:tcW w:w="4120" w:type="dxa"/>
            <w:vAlign w:val="bottom"/>
            <w:tcBorders>
              <w:top w:val="single" w:sz="8" w:color="CCEEFF"/>
            </w:tcBorders>
            <w:gridSpan w:val="4"/>
          </w:tcPr>
          <w:p>
            <w:pPr>
              <w:spacing w:after="0"/>
              <w:rPr>
                <w:sz w:val="15"/>
                <w:szCs w:val="15"/>
                <w:color w:val="auto"/>
              </w:rPr>
            </w:pPr>
          </w:p>
        </w:tc>
      </w:tr>
      <w:tr>
        <w:trPr>
          <w:trHeight w:val="21"/>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36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Employment Agreement with Scott M. Quist (2)</w:t>
              </w:r>
            </w:hyperlink>
          </w:p>
        </w:tc>
        <w:tc>
          <w:tcPr>
            <w:tcW w:w="690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48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360" w:type="dxa"/>
            <w:vAlign w:val="bottom"/>
          </w:tcPr>
          <w:p>
            <w:pPr>
              <w:spacing w:after="0"/>
              <w:rPr>
                <w:sz w:val="15"/>
                <w:szCs w:val="15"/>
                <w:color w:val="auto"/>
              </w:rPr>
            </w:pPr>
          </w:p>
        </w:tc>
        <w:tc>
          <w:tcPr>
            <w:tcW w:w="10400" w:type="dxa"/>
            <w:vAlign w:val="bottom"/>
            <w:gridSpan w:val="12"/>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Stock Repurchase Plan (5)</w:t>
              </w:r>
            </w:hyperlink>
          </w:p>
        </w:tc>
      </w:tr>
      <w:tr>
        <w:trPr>
          <w:trHeight w:val="21"/>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Asset Purchase Agreement among SN Probst LLC, Probst Family Funerals and Cremations, L.L.C, Heber Valley Funeral Home, Inc., Joe T.</w:t>
              </w:r>
            </w:hyperlink>
          </w:p>
        </w:tc>
      </w:tr>
      <w:tr>
        <w:trPr>
          <w:trHeight w:val="196"/>
        </w:trPr>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7"/>
                <w:szCs w:val="17"/>
                <w:color w:val="auto"/>
              </w:rPr>
            </w:pPr>
          </w:p>
        </w:tc>
        <w:tc>
          <w:tcPr>
            <w:tcW w:w="10400" w:type="dxa"/>
            <w:vAlign w:val="bottom"/>
            <w:gridSpan w:val="12"/>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Probst, Clinton Wayne Probst, Calle J. Probst, and Marsha J. Probst (6)</w:t>
              </w:r>
            </w:hyperlink>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8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360" w:type="dxa"/>
            <w:vAlign w:val="bottom"/>
          </w:tcPr>
          <w:p>
            <w:pPr>
              <w:spacing w:after="0"/>
              <w:rPr>
                <w:sz w:val="15"/>
                <w:szCs w:val="15"/>
                <w:color w:val="auto"/>
              </w:rPr>
            </w:pPr>
          </w:p>
        </w:tc>
        <w:tc>
          <w:tcPr>
            <w:tcW w:w="10400" w:type="dxa"/>
            <w:vAlign w:val="bottom"/>
            <w:gridSpan w:val="12"/>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Coinsurance Agreement between Kilpatrick Life Insurance Company and Security National Life Insurance Company (8)</w:t>
              </w:r>
            </w:hyperlink>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0" w:type="dxa"/>
            <w:vAlign w:val="bottom"/>
            <w:gridSpan w:val="12"/>
            <w:shd w:val="clear" w:color="auto" w:fill="CCEEFF"/>
          </w:tcPr>
          <w:p>
            <w:pPr>
              <w:spacing w:after="0" w:line="17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Stock Purchase Agreement among Security National Financial Corporation, Kilpatrick Life Insurance Company, and the Shareholders of</w:t>
              </w:r>
            </w:hyperlink>
          </w:p>
        </w:tc>
      </w:tr>
      <w:tr>
        <w:trPr>
          <w:trHeight w:val="196"/>
        </w:trPr>
        <w:tc>
          <w:tcPr>
            <w:tcW w:w="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10.8</w:t>
            </w:r>
          </w:p>
        </w:tc>
        <w:tc>
          <w:tcPr>
            <w:tcW w:w="360" w:type="dxa"/>
            <w:vAlign w:val="bottom"/>
            <w:tcBorders>
              <w:top w:val="single" w:sz="8" w:color="CCEEFF"/>
            </w:tcBorders>
            <w:shd w:val="clear" w:color="auto" w:fill="CCEEFF"/>
          </w:tcPr>
          <w:p>
            <w:pPr>
              <w:spacing w:after="0"/>
              <w:rPr>
                <w:sz w:val="17"/>
                <w:szCs w:val="17"/>
                <w:color w:val="auto"/>
              </w:rPr>
            </w:pPr>
          </w:p>
        </w:tc>
        <w:tc>
          <w:tcPr>
            <w:tcW w:w="103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Kilpatrick Life Insurance Company (8)</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8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360" w:type="dxa"/>
            <w:vAlign w:val="bottom"/>
          </w:tcPr>
          <w:p>
            <w:pPr>
              <w:spacing w:after="0"/>
              <w:rPr>
                <w:sz w:val="15"/>
                <w:szCs w:val="15"/>
                <w:color w:val="auto"/>
              </w:rPr>
            </w:pPr>
          </w:p>
        </w:tc>
        <w:tc>
          <w:tcPr>
            <w:tcW w:w="10400" w:type="dxa"/>
            <w:vAlign w:val="bottom"/>
            <w:gridSpan w:val="12"/>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Consolidated Statement of Assets Acquired and Liabilities Assumed at December 13, 2019 (9)</w:t>
              </w:r>
            </w:hyperlink>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840" w:hanging="832"/>
        <w:spacing w:after="0"/>
        <w:tabs>
          <w:tab w:leader="none" w:pos="840" w:val="left"/>
        </w:tabs>
        <w:numPr>
          <w:ilvl w:val="0"/>
          <w:numId w:val="65"/>
        </w:numPr>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Code of Business Conduct and Ethics (7)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840" w:hanging="832"/>
        <w:spacing w:after="0"/>
        <w:tabs>
          <w:tab w:leader="none" w:pos="840" w:val="left"/>
        </w:tabs>
        <w:numPr>
          <w:ilvl w:val="0"/>
          <w:numId w:val="66"/>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Subsidiaries of the Registrant</w:t>
        </w:r>
      </w:hyperlink>
    </w:p>
    <w:tbl>
      <w:tblPr>
        <w:tblLayout w:type="fixed"/>
        <w:tblInd w:w="0" w:type="dxa"/>
        <w:tblCellMar>
          <w:top w:w="0" w:type="dxa"/>
          <w:left w:w="0" w:type="dxa"/>
          <w:bottom w:w="0" w:type="dxa"/>
          <w:right w:w="0" w:type="dxa"/>
        </w:tblCellMar>
      </w:tblPr>
      <w:tr>
        <w:trPr>
          <w:trHeight w:val="185"/>
        </w:trPr>
        <w:tc>
          <w:tcPr>
            <w:tcW w:w="84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31.1</w:t>
            </w:r>
          </w:p>
        </w:tc>
        <w:tc>
          <w:tcPr>
            <w:tcW w:w="2020" w:type="dxa"/>
            <w:vAlign w:val="bottom"/>
            <w:shd w:val="clear" w:color="auto" w:fill="CCEEFF"/>
          </w:tcPr>
          <w:p>
            <w:pPr>
              <w:spacing w:after="0" w:line="184"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pursuant to 18</w:t>
              </w:r>
            </w:hyperlink>
          </w:p>
        </w:tc>
        <w:tc>
          <w:tcPr>
            <w:tcW w:w="8380" w:type="dxa"/>
            <w:vAlign w:val="bottom"/>
            <w:gridSpan w:val="3"/>
            <w:shd w:val="clear" w:color="auto" w:fill="CCEEFF"/>
          </w:tcPr>
          <w:p>
            <w:pPr>
              <w:ind w:left="20"/>
              <w:spacing w:after="0" w:line="184" w:lineRule="exact"/>
              <w:rPr>
                <w:rFonts w:ascii="Arial" w:cs="Arial" w:eastAsia="Arial" w:hAnsi="Arial"/>
                <w:sz w:val="18"/>
                <w:szCs w:val="18"/>
                <w:color w:val="0000EE"/>
              </w:rPr>
            </w:pPr>
            <w:hyperlink w:anchor="page63">
              <w:r>
                <w:rPr>
                  <w:rFonts w:ascii="Arial" w:cs="Arial" w:eastAsia="Arial" w:hAnsi="Arial"/>
                  <w:sz w:val="18"/>
                  <w:szCs w:val="18"/>
                  <w:color w:val="0000EE"/>
                </w:rPr>
                <w:t>U.S.C. Section 1350, as enacted by Section 302 of the Sarbanes-Oxley Act of 2002</w:t>
              </w:r>
            </w:hyperlink>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60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2020" w:type="dxa"/>
            <w:vAlign w:val="bottom"/>
          </w:tcPr>
          <w:p>
            <w:pPr>
              <w:spacing w:after="0" w:line="17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pursuant to 18</w:t>
              </w:r>
            </w:hyperlink>
          </w:p>
        </w:tc>
        <w:tc>
          <w:tcPr>
            <w:tcW w:w="8380" w:type="dxa"/>
            <w:vAlign w:val="bottom"/>
            <w:gridSpan w:val="3"/>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U.S.C. Section 1350, as enacted by Section 302 of the Sarbanes-Oxley Act of 2002</w:t>
              </w:r>
            </w:hyperlink>
          </w:p>
        </w:tc>
      </w:tr>
      <w:tr>
        <w:trPr>
          <w:trHeight w:val="21"/>
        </w:trPr>
        <w:tc>
          <w:tcPr>
            <w:tcW w:w="840" w:type="dxa"/>
            <w:vAlign w:val="bottom"/>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0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2020" w:type="dxa"/>
            <w:vAlign w:val="bottom"/>
            <w:shd w:val="clear" w:color="auto" w:fill="CCEEFF"/>
          </w:tcPr>
          <w:p>
            <w:pPr>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pursuant to 18</w:t>
              </w:r>
            </w:hyperlink>
          </w:p>
        </w:tc>
        <w:tc>
          <w:tcPr>
            <w:tcW w:w="8380" w:type="dxa"/>
            <w:vAlign w:val="bottom"/>
            <w:gridSpan w:val="3"/>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U.S.C. Section 1350, as adopted pursuant to Section 906 of the Sarbanes-Oxley Act of 2002</w:t>
              </w:r>
            </w:hyperlink>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60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2020" w:type="dxa"/>
            <w:vAlign w:val="bottom"/>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Certification pursuant to 18</w:t>
              </w:r>
            </w:hyperlink>
          </w:p>
        </w:tc>
        <w:tc>
          <w:tcPr>
            <w:tcW w:w="8380" w:type="dxa"/>
            <w:vAlign w:val="bottom"/>
            <w:gridSpan w:val="3"/>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U.S.C. Section 1350, as adopted pursuant to Section 906 of the Sarbanes-Oxley Act of 2002</w:t>
              </w:r>
            </w:hyperlink>
          </w:p>
        </w:tc>
      </w:tr>
      <w:tr>
        <w:trPr>
          <w:trHeight w:val="20"/>
        </w:trPr>
        <w:tc>
          <w:tcPr>
            <w:tcW w:w="840" w:type="dxa"/>
            <w:vAlign w:val="bottom"/>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0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4"/>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4"/>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4"/>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November 12,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8-K/A, as filed on February 26,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14,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Arial" w:cs="Arial" w:eastAsia="Arial" w:hAnsi="Arial"/>
                <w:sz w:val="18"/>
                <w:szCs w:val="18"/>
                <w:b w:val="1"/>
                <w:bCs w:val="1"/>
                <w:i w:val="1"/>
                <w:iCs w:val="1"/>
                <w:color w:val="auto"/>
                <w:w w:val="95"/>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Arial" w:cs="Arial" w:eastAsia="Arial" w:hAnsi="Arial"/>
                <w:sz w:val="18"/>
                <w:szCs w:val="18"/>
                <w:color w:val="auto"/>
                <w:w w:val="90"/>
              </w:rPr>
              <w:t>Registrant</w:t>
            </w:r>
          </w:p>
        </w:tc>
      </w:tr>
      <w:tr>
        <w:trPr>
          <w:trHeight w:val="445"/>
        </w:trPr>
        <w:tc>
          <w:tcPr>
            <w:tcW w:w="3540" w:type="dxa"/>
            <w:vAlign w:val="bottom"/>
          </w:tcPr>
          <w:p>
            <w:pPr>
              <w:spacing w:after="0"/>
              <w:rPr>
                <w:sz w:val="20"/>
                <w:szCs w:val="20"/>
                <w:color w:val="auto"/>
              </w:rPr>
            </w:pPr>
            <w:r>
              <w:rPr>
                <w:rFonts w:ascii="Arial" w:cs="Arial" w:eastAsia="Arial" w:hAnsi="Arial"/>
                <w:sz w:val="18"/>
                <w:szCs w:val="18"/>
                <w:color w:val="auto"/>
              </w:rPr>
              <w:t>Dated: November 15, 2021</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Scott M. Quist</w:t>
            </w:r>
          </w:p>
        </w:tc>
      </w:tr>
      <w:tr>
        <w:trPr>
          <w:trHeight w:val="195"/>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Scott M. Quist</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Dated: November 15, 2021</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Garrett S. Sill</w:t>
            </w:r>
          </w:p>
        </w:tc>
      </w:tr>
      <w:tr>
        <w:trPr>
          <w:trHeight w:val="195"/>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rPr>
              <w:t>Garrett S. Sill</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66"/>
        </w:trPr>
        <w:tc>
          <w:tcPr>
            <w:tcW w:w="3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59</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1" w:name="page62"/>
    <w:bookmarkEnd w:id="61"/>
    <w:p>
      <w:pPr>
        <w:jc w:val="center"/>
        <w:ind w:right="-1080"/>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SUBSIDIARIES OF THE REGISTRANT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Bluebonnet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Insurance Company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9" w:lineRule="exact"/>
        <w:rPr>
          <w:sz w:val="20"/>
          <w:szCs w:val="20"/>
          <w:color w:val="auto"/>
        </w:rPr>
      </w:pPr>
    </w:p>
    <w:p>
      <w:pPr>
        <w:ind w:right="3539"/>
        <w:spacing w:after="0" w:line="250" w:lineRule="auto"/>
        <w:rPr>
          <w:sz w:val="20"/>
          <w:szCs w:val="20"/>
          <w:color w:val="auto"/>
        </w:rPr>
      </w:pPr>
      <w:r>
        <w:rPr>
          <w:rFonts w:ascii="Arial" w:cs="Arial" w:eastAsia="Arial" w:hAnsi="Arial"/>
          <w:sz w:val="18"/>
          <w:szCs w:val="18"/>
          <w:color w:val="auto"/>
        </w:rPr>
        <w:t>Security National Real Estate Services, Inc. also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SNA-Venture LLC</w:t>
      </w:r>
    </w:p>
    <w:p>
      <w:pPr>
        <w:spacing w:after="0" w:line="211" w:lineRule="exact"/>
        <w:rPr>
          <w:sz w:val="20"/>
          <w:szCs w:val="20"/>
          <w:color w:val="auto"/>
        </w:rPr>
      </w:pPr>
    </w:p>
    <w:p>
      <w:pPr>
        <w:ind w:right="1019"/>
        <w:spacing w:after="0" w:line="258" w:lineRule="auto"/>
        <w:rPr>
          <w:sz w:val="20"/>
          <w:szCs w:val="20"/>
          <w:color w:val="auto"/>
        </w:rPr>
      </w:pPr>
      <w:r>
        <w:rPr>
          <w:rFonts w:ascii="Arial" w:cs="Arial" w:eastAsia="Arial" w:hAnsi="Arial"/>
          <w:sz w:val="18"/>
          <w:szCs w:val="18"/>
          <w:color w:val="auto"/>
        </w:rPr>
        <w:t>SNA-AM LLC, SNA-AS LLC, SNA-DM LLC, SNA-GV LLC, SNA-MB LLC, SNA-MM LLC, SNA-MV LLC, SNA-MV2 LLC, SNA-RP LLC, SNA-SE LLC, SNA-SP LLC, SNA-SP2 LLC, SNA-SR LLC, SNA-ST LLC, SNA-SW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SNA-TC LLC, SNA-TM LLC, SNA-TR LLC, SNA-VR LLC, SNA-WC LLC, SNA-WF LLC, SNA-WL LLC, SNCH Venture LLC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Sunset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M. Quist</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Garrett S. Sill</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September 30, 2021,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M. Quist</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September 30, 2021,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Garrett S. Sill</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3"/>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3"/>
    </w:lvl>
  </w:abstractNum>
  <w:abstractNum w:abstractNumId="10">
    <w:nsid w:val="153EA438"/>
    <w:multiLevelType w:val="hybridMultilevel"/>
    <w:lvl w:ilvl="0">
      <w:lvlJc w:val="left"/>
      <w:lvlText w:val="%1)"/>
      <w:numFmt w:val="decimal"/>
      <w:start w:val="3"/>
    </w:lvl>
  </w:abstractNum>
  <w:abstractNum w:abstractNumId="11">
    <w:nsid w:val="3855585C"/>
    <w:multiLevelType w:val="hybridMultilevel"/>
    <w:lvl w:ilvl="0">
      <w:lvlJc w:val="left"/>
      <w:lvlText w:val="%1)"/>
      <w:numFmt w:val="decimal"/>
      <w:start w:val="3"/>
    </w:lvl>
  </w:abstractNum>
  <w:abstractNum w:abstractNumId="12">
    <w:nsid w:val="70A64E2A"/>
    <w:multiLevelType w:val="hybridMultilevel"/>
    <w:lvl w:ilvl="0">
      <w:lvlJc w:val="left"/>
      <w:lvlText w:val="%1)"/>
      <w:numFmt w:val="decimal"/>
      <w:start w:val="3"/>
    </w:lvl>
  </w:abstractNum>
  <w:abstractNum w:abstractNumId="13">
    <w:nsid w:val="6A2342EC"/>
    <w:multiLevelType w:val="hybridMultilevel"/>
    <w:lvl w:ilvl="0">
      <w:lvlJc w:val="left"/>
      <w:lvlText w:val="%1)"/>
      <w:numFmt w:val="decimal"/>
      <w:start w:val="3"/>
    </w:lvl>
  </w:abstractNum>
  <w:abstractNum w:abstractNumId="14">
    <w:nsid w:val="2A487CB0"/>
    <w:multiLevelType w:val="hybridMultilevel"/>
    <w:lvl w:ilvl="0">
      <w:lvlJc w:val="left"/>
      <w:lvlText w:val="%1)"/>
      <w:numFmt w:val="decimal"/>
      <w:start w:val="3"/>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3"/>
    </w:lvl>
  </w:abstractNum>
  <w:abstractNum w:abstractNumId="17">
    <w:nsid w:val="2CD89A32"/>
    <w:multiLevelType w:val="hybridMultilevel"/>
    <w:lvl w:ilvl="0">
      <w:lvlJc w:val="left"/>
      <w:lvlText w:val="%1)"/>
      <w:numFmt w:val="decimal"/>
      <w:start w:val="3"/>
    </w:lvl>
  </w:abstractNum>
  <w:abstractNum w:abstractNumId="18">
    <w:nsid w:val="57E4CCAF"/>
    <w:multiLevelType w:val="hybridMultilevel"/>
    <w:lvl w:ilvl="0">
      <w:lvlJc w:val="left"/>
      <w:lvlText w:val="%1)"/>
      <w:numFmt w:val="decimal"/>
      <w:start w:val="3"/>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3"/>
    </w:lvl>
  </w:abstractNum>
  <w:abstractNum w:abstractNumId="21">
    <w:nsid w:val="542289EC"/>
    <w:multiLevelType w:val="hybridMultilevel"/>
    <w:lvl w:ilvl="0">
      <w:lvlJc w:val="left"/>
      <w:lvlText w:val="%1)"/>
      <w:numFmt w:val="decimal"/>
      <w:start w:val="3"/>
    </w:lvl>
  </w:abstractNum>
  <w:abstractNum w:abstractNumId="22">
    <w:nsid w:val="6DE91B18"/>
    <w:multiLevelType w:val="hybridMultilevel"/>
    <w:lvl w:ilvl="0">
      <w:lvlJc w:val="left"/>
      <w:lvlText w:val="%1)"/>
      <w:numFmt w:val="decimal"/>
      <w:start w:val="4"/>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5"/>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5"/>
    </w:lvl>
  </w:abstractNum>
  <w:abstractNum w:abstractNumId="31">
    <w:nsid w:val="79A1DEAA"/>
    <w:multiLevelType w:val="hybridMultilevel"/>
    <w:lvl w:ilvl="0">
      <w:lvlJc w:val="left"/>
      <w:lvlText w:val="%1)"/>
      <w:numFmt w:val="decimal"/>
      <w:start w:val="6"/>
    </w:lvl>
  </w:abstractNum>
  <w:abstractNum w:abstractNumId="32">
    <w:nsid w:val="75C6C33A"/>
    <w:multiLevelType w:val="hybridMultilevel"/>
    <w:lvl w:ilvl="0">
      <w:lvlJc w:val="left"/>
      <w:lvlText w:val="%1)"/>
      <w:numFmt w:val="decimal"/>
      <w:start w:val="7"/>
    </w:lvl>
  </w:abstractNum>
  <w:abstractNum w:abstractNumId="33">
    <w:nsid w:val="12E685FB"/>
    <w:multiLevelType w:val="hybridMultilevel"/>
    <w:lvl w:ilvl="0">
      <w:lvlJc w:val="left"/>
      <w:lvlText w:val="%1)"/>
      <w:numFmt w:val="decimal"/>
      <w:start w:val="7"/>
    </w:lvl>
  </w:abstractNum>
  <w:abstractNum w:abstractNumId="34">
    <w:nsid w:val="70C6A529"/>
    <w:multiLevelType w:val="hybridMultilevel"/>
    <w:lvl w:ilvl="0">
      <w:lvlJc w:val="left"/>
      <w:lvlText w:val="%1)"/>
      <w:numFmt w:val="decimal"/>
      <w:start w:val="8"/>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decimal"/>
      <w:start w:val="8"/>
    </w:lvl>
  </w:abstractNum>
  <w:abstractNum w:abstractNumId="37">
    <w:nsid w:val="4F4EF005"/>
    <w:multiLevelType w:val="hybridMultilevel"/>
    <w:lvl w:ilvl="0">
      <w:lvlJc w:val="left"/>
      <w:lvlText w:val="%1)"/>
      <w:numFmt w:val="decimal"/>
      <w:start w:val="8"/>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8"/>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8"/>
    </w:lvl>
  </w:abstractNum>
  <w:abstractNum w:abstractNumId="42">
    <w:nsid w:val="1CF10FD8"/>
    <w:multiLevelType w:val="hybridMultilevel"/>
    <w:lvl w:ilvl="0">
      <w:lvlJc w:val="left"/>
      <w:lvlText w:val="%1)"/>
      <w:numFmt w:val="decimal"/>
      <w:start w:val="8"/>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8"/>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8"/>
    </w:lvl>
  </w:abstractNum>
  <w:abstractNum w:abstractNumId="49">
    <w:nsid w:val="D34B6A8"/>
    <w:multiLevelType w:val="hybridMultilevel"/>
    <w:lvl w:ilvl="0">
      <w:lvlJc w:val="left"/>
      <w:lvlText w:val="%1)"/>
      <w:numFmt w:val="decimal"/>
      <w:start w:val="8"/>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8"/>
    </w:lvl>
  </w:abstractNum>
  <w:abstractNum w:abstractNumId="53">
    <w:nsid w:val="7E0C57B1"/>
    <w:multiLevelType w:val="hybridMultilevel"/>
    <w:lvl w:ilvl="0">
      <w:lvlJc w:val="left"/>
      <w:lvlText w:val="%1)"/>
      <w:numFmt w:val="decimal"/>
      <w:start w:val="9"/>
    </w:lvl>
  </w:abstractNum>
  <w:abstractNum w:abstractNumId="54">
    <w:nsid w:val="77AE35EB"/>
    <w:multiLevelType w:val="hybridMultilevel"/>
    <w:lvl w:ilvl="0">
      <w:lvlJc w:val="left"/>
      <w:lvlText w:val="%1)"/>
      <w:numFmt w:val="decimal"/>
      <w:start w:val="10"/>
    </w:lvl>
  </w:abstractNum>
  <w:abstractNum w:abstractNumId="55">
    <w:nsid w:val="579BE4F1"/>
    <w:multiLevelType w:val="hybridMultilevel"/>
    <w:lvl w:ilvl="0">
      <w:lvlJc w:val="left"/>
      <w:lvlText w:val="%1)"/>
      <w:numFmt w:val="decimal"/>
      <w:start w:val="10"/>
    </w:lvl>
  </w:abstractNum>
  <w:abstractNum w:abstractNumId="56">
    <w:nsid w:val="310C50B3"/>
    <w:multiLevelType w:val="hybridMultilevel"/>
    <w:lvl w:ilvl="0">
      <w:lvlJc w:val="left"/>
      <w:lvlText w:val="%1)"/>
      <w:numFmt w:val="decimal"/>
      <w:start w:val="11"/>
    </w:lvl>
  </w:abstractNum>
  <w:abstractNum w:abstractNumId="57">
    <w:nsid w:val="5FF87E05"/>
    <w:multiLevelType w:val="hybridMultilevel"/>
    <w:lvl w:ilvl="0">
      <w:lvlJc w:val="left"/>
      <w:lvlText w:val="%1)"/>
      <w:numFmt w:val="decimal"/>
      <w:start w:val="11"/>
    </w:lvl>
  </w:abstractNum>
  <w:abstractNum w:abstractNumId="58">
    <w:nsid w:val="2F305DEF"/>
    <w:multiLevelType w:val="hybridMultilevel"/>
    <w:lvl w:ilvl="0">
      <w:lvlJc w:val="left"/>
      <w:lvlText w:val="%1)"/>
      <w:numFmt w:val="decimal"/>
      <w:start w:val="11"/>
    </w:lvl>
  </w:abstractNum>
  <w:abstractNum w:abstractNumId="59">
    <w:nsid w:val="25A70BF7"/>
    <w:multiLevelType w:val="hybridMultilevel"/>
    <w:lvl w:ilvl="0">
      <w:lvlJc w:val="left"/>
      <w:lvlText w:val="%1)"/>
      <w:numFmt w:val="decimal"/>
      <w:start w:val="12"/>
    </w:lvl>
  </w:abstractNum>
  <w:abstractNum w:abstractNumId="60">
    <w:nsid w:val="1DBABF00"/>
    <w:multiLevelType w:val="hybridMultilevel"/>
    <w:lvl w:ilvl="0">
      <w:lvlJc w:val="left"/>
      <w:lvlText w:val="%1)"/>
      <w:numFmt w:val="decimal"/>
      <w:start w:val="12"/>
    </w:lvl>
  </w:abstractNum>
  <w:abstractNum w:abstractNumId="61">
    <w:nsid w:val="4AD084E9"/>
    <w:multiLevelType w:val="hybridMultilevel"/>
    <w:lvl w:ilvl="0">
      <w:lvlJc w:val="left"/>
      <w:lvlText w:val="%1)"/>
      <w:numFmt w:val="decimal"/>
      <w:start w:val="13"/>
    </w:lvl>
  </w:abstractNum>
  <w:abstractNum w:abstractNumId="62">
    <w:nsid w:val="1F48EAA1"/>
    <w:multiLevelType w:val="hybridMultilevel"/>
    <w:lvl w:ilvl="0">
      <w:lvlJc w:val="left"/>
      <w:lvlText w:val="%1)"/>
      <w:numFmt w:val="decimal"/>
      <w:start w:val="14"/>
    </w:lvl>
  </w:abstractNum>
  <w:abstractNum w:abstractNumId="63">
    <w:nsid w:val="1381823A"/>
    <w:multiLevelType w:val="hybridMultilevel"/>
    <w:lvl w:ilvl="0">
      <w:lvlJc w:val="left"/>
      <w:lvlText w:val="%1)"/>
      <w:numFmt w:val="decimal"/>
      <w:start w:val="14"/>
    </w:lvl>
  </w:abstractNum>
  <w:abstractNum w:abstractNumId="64">
    <w:nsid w:val="5DB70AE5"/>
    <w:multiLevelType w:val="hybridMultilevel"/>
    <w:lvl w:ilvl="0">
      <w:lvlJc w:val="left"/>
      <w:lvlText w:val="%1"/>
      <w:numFmt w:val="decimal"/>
      <w:start w:val="14"/>
    </w:lvl>
  </w:abstractNum>
  <w:abstractNum w:abstractNumId="65">
    <w:nsid w:val="100F8FCA"/>
    <w:multiLevelType w:val="hybridMultilevel"/>
    <w:lvl w:ilvl="0">
      <w:lvlJc w:val="left"/>
      <w:lvlText w:val="%1"/>
      <w:numFmt w:val="decimal"/>
      <w:start w:val="2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07" Type="http://schemas.openxmlformats.org/officeDocument/2006/relationships/hyperlink" Target="https://www.sec.gov/Archives/edgar/data/318673/000109690617000214/exh3_1.pdf#www.sec.gov/Archives/edgar/data/318673/000109690617000214/exh3_1.pdf" TargetMode="External"/><Relationship Id="rId108" Type="http://schemas.openxmlformats.org/officeDocument/2006/relationships/hyperlink" Target="https://www.sec.gov/Archives/edgar/data/318673/000109690619000199/exh3_2.pdf" TargetMode="External"/><Relationship Id="rId109" Type="http://schemas.openxmlformats.org/officeDocument/2006/relationships/hyperlink" Target="https://www.sec.gov/Archives/edgar/data/318673/000109690616001835/exh10_4.htm" TargetMode="External"/><Relationship Id="rId110" Type="http://schemas.openxmlformats.org/officeDocument/2006/relationships/hyperlink" Target="https://www.sec.gov/Archives/edgar/data/318673/000144586620001192/snfca_ex10z3.htm" TargetMode="External"/><Relationship Id="rId111" Type="http://schemas.openxmlformats.org/officeDocument/2006/relationships/hyperlink" Target="https://www.sec.gov/Archives/edgar/data/318673/000109690615001153/exh108.htm" TargetMode="External"/><Relationship Id="rId112" Type="http://schemas.openxmlformats.org/officeDocument/2006/relationships/hyperlink" Target="https://www.sec.gov/Archives/edgar/data/318673/000109690618000285/exh10_1.htm" TargetMode="External"/><Relationship Id="rId113" Type="http://schemas.openxmlformats.org/officeDocument/2006/relationships/hyperlink" Target="https://www.sec.gov/Archives/edgar/data/318673/000109690619000084/exh10_1.htm" TargetMode="External"/><Relationship Id="rId114" Type="http://schemas.openxmlformats.org/officeDocument/2006/relationships/hyperlink" Target="https://www.sec.gov/Archives/edgar/data/318673/000109690619000367/exh10_2.htm" TargetMode="External"/><Relationship Id="rId115" Type="http://schemas.openxmlformats.org/officeDocument/2006/relationships/hyperlink" Target="https://www.sec.gov/Archives/edgar/data/318673/000109690619000367/exh10_1.htm" TargetMode="External"/><Relationship Id="rId116" Type="http://schemas.openxmlformats.org/officeDocument/2006/relationships/hyperlink" Target="https://www.sec.gov/Archives/edgar/data/318673/000109690620000092/exh99_1.htm" TargetMode="External"/><Relationship Id="rId117"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2021-11-15T10:32:13Z</dcterms:created>
  <dcterms:modified xsi:type="dcterms:W3CDTF">2021-11-15T10:32:13Z</dcterms:modified>
</cp:coreProperties>
</file>