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22" w:lineRule="exact"/>
        <w:rPr>
          <w:sz w:val="24"/>
          <w:szCs w:val="24"/>
          <w:color w:val="auto"/>
        </w:rPr>
      </w:pPr>
    </w:p>
    <w:p>
      <w:pPr>
        <w:ind w:right="2840" w:firstLine="1"/>
        <w:spacing w:after="0" w:line="495" w:lineRule="auto"/>
        <w:tabs>
          <w:tab w:leader="none" w:pos="184"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8" w:lineRule="exact"/>
        <w:rPr>
          <w:sz w:val="24"/>
          <w:szCs w:val="24"/>
          <w:color w:val="auto"/>
        </w:rPr>
      </w:pPr>
    </w:p>
    <w:p>
      <w:pPr>
        <w:ind w:right="2500" w:firstLine="1"/>
        <w:spacing w:after="0" w:line="495" w:lineRule="auto"/>
        <w:tabs>
          <w:tab w:leader="none" w:pos="193"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000-09341</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SECURITY NATIONAL FINANCIAL CORPORATION</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700" w:type="dxa"/>
            <w:vAlign w:val="bottom"/>
            <w:gridSpan w:val="8"/>
          </w:tcPr>
          <w:p>
            <w:pPr>
              <w:jc w:val="center"/>
              <w:ind w:left="3456"/>
              <w:spacing w:after="0"/>
              <w:rPr>
                <w:sz w:val="20"/>
                <w:szCs w:val="20"/>
                <w:color w:val="auto"/>
              </w:rPr>
            </w:pPr>
            <w:r>
              <w:rPr>
                <w:rFonts w:ascii="Times New Roman" w:cs="Times New Roman" w:eastAsia="Times New Roman" w:hAnsi="Times New Roman"/>
                <w:sz w:val="17"/>
                <w:szCs w:val="17"/>
                <w:color w:val="auto"/>
                <w:w w:val="99"/>
              </w:rPr>
              <w:t>(Exact name of registrant as specified in its charter)</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398"/>
        </w:trPr>
        <w:tc>
          <w:tcPr>
            <w:tcW w:w="4780" w:type="dxa"/>
            <w:vAlign w:val="bottom"/>
            <w:tcBorders>
              <w:bottom w:val="single" w:sz="8" w:color="auto"/>
            </w:tcBorders>
            <w:gridSpan w:val="3"/>
          </w:tcPr>
          <w:p>
            <w:pPr>
              <w:jc w:val="center"/>
              <w:ind w:left="656"/>
              <w:spacing w:after="0"/>
              <w:rPr>
                <w:sz w:val="20"/>
                <w:szCs w:val="20"/>
                <w:color w:val="auto"/>
              </w:rPr>
            </w:pPr>
            <w:r>
              <w:rPr>
                <w:rFonts w:ascii="Times New Roman" w:cs="Times New Roman" w:eastAsia="Times New Roman" w:hAnsi="Times New Roman"/>
                <w:sz w:val="17"/>
                <w:szCs w:val="17"/>
                <w:b w:val="1"/>
                <w:bCs w:val="1"/>
                <w:color w:val="auto"/>
                <w:w w:val="97"/>
              </w:rPr>
              <w:t>UTAH</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left="176"/>
              <w:spacing w:after="0"/>
              <w:rPr>
                <w:sz w:val="20"/>
                <w:szCs w:val="20"/>
                <w:color w:val="auto"/>
              </w:rPr>
            </w:pPr>
            <w:r>
              <w:rPr>
                <w:rFonts w:ascii="Times New Roman" w:cs="Times New Roman" w:eastAsia="Times New Roman" w:hAnsi="Times New Roman"/>
                <w:sz w:val="17"/>
                <w:szCs w:val="17"/>
                <w:b w:val="1"/>
                <w:bCs w:val="1"/>
                <w:color w:val="auto"/>
                <w:w w:val="99"/>
              </w:rPr>
              <w:t>87-0345941</w:t>
            </w:r>
          </w:p>
        </w:tc>
        <w:tc>
          <w:tcPr>
            <w:tcW w:w="2220" w:type="dxa"/>
            <w:vAlign w:val="bottom"/>
            <w:tcBorders>
              <w:bottom w:val="single" w:sz="8" w:color="auto"/>
            </w:tcBorders>
          </w:tcPr>
          <w:p>
            <w:pPr>
              <w:spacing w:after="0"/>
              <w:rPr>
                <w:sz w:val="24"/>
                <w:szCs w:val="24"/>
                <w:color w:val="auto"/>
              </w:rPr>
            </w:pPr>
          </w:p>
        </w:tc>
      </w:tr>
      <w:tr>
        <w:trPr>
          <w:trHeight w:val="178"/>
        </w:trPr>
        <w:tc>
          <w:tcPr>
            <w:tcW w:w="4780" w:type="dxa"/>
            <w:vAlign w:val="bottom"/>
            <w:gridSpan w:val="3"/>
          </w:tcPr>
          <w:p>
            <w:pPr>
              <w:jc w:val="center"/>
              <w:ind w:left="656"/>
              <w:spacing w:after="0" w:line="178" w:lineRule="exact"/>
              <w:rPr>
                <w:sz w:val="20"/>
                <w:szCs w:val="20"/>
                <w:color w:val="auto"/>
              </w:rPr>
            </w:pPr>
            <w:r>
              <w:rPr>
                <w:rFonts w:ascii="Times New Roman" w:cs="Times New Roman" w:eastAsia="Times New Roman" w:hAnsi="Times New Roman"/>
                <w:sz w:val="17"/>
                <w:szCs w:val="17"/>
                <w:color w:val="auto"/>
                <w:w w:val="99"/>
              </w:rPr>
              <w:t>(State or other jurisdiction of</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gridSpan w:val="3"/>
          </w:tcPr>
          <w:p>
            <w:pPr>
              <w:jc w:val="center"/>
              <w:ind w:right="1960"/>
              <w:spacing w:after="0" w:line="178"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4780" w:type="dxa"/>
            <w:vAlign w:val="bottom"/>
            <w:gridSpan w:val="3"/>
          </w:tcPr>
          <w:p>
            <w:pPr>
              <w:jc w:val="center"/>
              <w:ind w:left="676"/>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gridSpan w:val="3"/>
          </w:tcPr>
          <w:p>
            <w:pPr>
              <w:jc w:val="center"/>
              <w:ind w:right="1960"/>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416"/>
        </w:trPr>
        <w:tc>
          <w:tcPr>
            <w:tcW w:w="4780" w:type="dxa"/>
            <w:vAlign w:val="bottom"/>
            <w:tcBorders>
              <w:bottom w:val="single" w:sz="8" w:color="auto"/>
            </w:tcBorders>
            <w:gridSpan w:val="3"/>
          </w:tcPr>
          <w:p>
            <w:pPr>
              <w:jc w:val="center"/>
              <w:ind w:left="676"/>
              <w:spacing w:after="0"/>
              <w:rPr>
                <w:sz w:val="20"/>
                <w:szCs w:val="20"/>
                <w:color w:val="auto"/>
              </w:rPr>
            </w:pPr>
            <w:r>
              <w:rPr>
                <w:rFonts w:ascii="Times New Roman" w:cs="Times New Roman" w:eastAsia="Times New Roman" w:hAnsi="Times New Roman"/>
                <w:sz w:val="17"/>
                <w:szCs w:val="17"/>
                <w:b w:val="1"/>
                <w:bCs w:val="1"/>
                <w:color w:val="auto"/>
                <w:w w:val="98"/>
              </w:rPr>
              <w:t>433 West Ascension Way, Salt Lake City, Utah</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left="176"/>
              <w:spacing w:after="0"/>
              <w:rPr>
                <w:sz w:val="20"/>
                <w:szCs w:val="20"/>
                <w:color w:val="auto"/>
              </w:rPr>
            </w:pPr>
            <w:r>
              <w:rPr>
                <w:rFonts w:ascii="Times New Roman" w:cs="Times New Roman" w:eastAsia="Times New Roman" w:hAnsi="Times New Roman"/>
                <w:sz w:val="17"/>
                <w:szCs w:val="17"/>
                <w:b w:val="1"/>
                <w:bCs w:val="1"/>
                <w:color w:val="auto"/>
                <w:w w:val="98"/>
              </w:rPr>
              <w:t>84123</w:t>
            </w:r>
          </w:p>
        </w:tc>
        <w:tc>
          <w:tcPr>
            <w:tcW w:w="2220" w:type="dxa"/>
            <w:vAlign w:val="bottom"/>
            <w:tcBorders>
              <w:bottom w:val="single" w:sz="8" w:color="auto"/>
            </w:tcBorders>
          </w:tcPr>
          <w:p>
            <w:pPr>
              <w:spacing w:after="0"/>
              <w:rPr>
                <w:sz w:val="24"/>
                <w:szCs w:val="24"/>
                <w:color w:val="auto"/>
              </w:rPr>
            </w:pPr>
          </w:p>
        </w:tc>
      </w:tr>
      <w:tr>
        <w:trPr>
          <w:trHeight w:val="211"/>
        </w:trPr>
        <w:tc>
          <w:tcPr>
            <w:tcW w:w="4780" w:type="dxa"/>
            <w:vAlign w:val="bottom"/>
            <w:gridSpan w:val="3"/>
          </w:tcPr>
          <w:p>
            <w:pPr>
              <w:jc w:val="center"/>
              <w:ind w:left="656"/>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gridSpan w:val="2"/>
          </w:tcPr>
          <w:p>
            <w:pPr>
              <w:jc w:val="center"/>
              <w:ind w:right="2220"/>
              <w:spacing w:after="0"/>
              <w:rPr>
                <w:sz w:val="20"/>
                <w:szCs w:val="20"/>
                <w:color w:val="auto"/>
              </w:rPr>
            </w:pPr>
            <w:r>
              <w:rPr>
                <w:rFonts w:ascii="Times New Roman" w:cs="Times New Roman" w:eastAsia="Times New Roman" w:hAnsi="Times New Roman"/>
                <w:sz w:val="17"/>
                <w:szCs w:val="17"/>
                <w:color w:val="auto"/>
                <w:w w:val="98"/>
              </w:rPr>
              <w:t>(Zip Code)</w:t>
            </w:r>
          </w:p>
        </w:tc>
      </w:tr>
      <w:tr>
        <w:trPr>
          <w:trHeight w:val="350"/>
        </w:trPr>
        <w:tc>
          <w:tcPr>
            <w:tcW w:w="4780" w:type="dxa"/>
            <w:vAlign w:val="bottom"/>
            <w:gridSpan w:val="3"/>
          </w:tcPr>
          <w:p>
            <w:pPr>
              <w:jc w:val="center"/>
              <w:ind w:left="656"/>
              <w:spacing w:after="0"/>
              <w:rPr>
                <w:sz w:val="20"/>
                <w:szCs w:val="20"/>
                <w:color w:val="auto"/>
              </w:rPr>
            </w:pPr>
            <w:r>
              <w:rPr>
                <w:rFonts w:ascii="Times New Roman" w:cs="Times New Roman" w:eastAsia="Times New Roman" w:hAnsi="Times New Roman"/>
                <w:sz w:val="17"/>
                <w:szCs w:val="17"/>
                <w:color w:val="auto"/>
                <w:w w:val="97"/>
              </w:rPr>
              <w:t>Registrant’s telephone number, including area code:</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40" w:type="dxa"/>
            <w:vAlign w:val="bottom"/>
            <w:gridSpan w:val="3"/>
          </w:tcPr>
          <w:p>
            <w:pPr>
              <w:jc w:val="center"/>
              <w:ind w:right="1960"/>
              <w:spacing w:after="0"/>
              <w:rPr>
                <w:sz w:val="20"/>
                <w:szCs w:val="20"/>
                <w:color w:val="auto"/>
              </w:rPr>
            </w:pPr>
            <w:r>
              <w:rPr>
                <w:rFonts w:ascii="Times New Roman" w:cs="Times New Roman" w:eastAsia="Times New Roman" w:hAnsi="Times New Roman"/>
                <w:sz w:val="17"/>
                <w:szCs w:val="17"/>
                <w:b w:val="1"/>
                <w:bCs w:val="1"/>
                <w:color w:val="auto"/>
                <w:w w:val="99"/>
              </w:rPr>
              <w:t>(801) 264-1060</w:t>
            </w:r>
          </w:p>
        </w:tc>
      </w:tr>
      <w:tr>
        <w:trPr>
          <w:trHeight w:val="421"/>
        </w:trPr>
        <w:tc>
          <w:tcPr>
            <w:tcW w:w="7700" w:type="dxa"/>
            <w:vAlign w:val="bottom"/>
            <w:gridSpan w:val="8"/>
          </w:tcPr>
          <w:p>
            <w:pPr>
              <w:jc w:val="center"/>
              <w:ind w:left="3456"/>
              <w:spacing w:after="0"/>
              <w:rPr>
                <w:sz w:val="20"/>
                <w:szCs w:val="20"/>
                <w:color w:val="auto"/>
              </w:rPr>
            </w:pPr>
            <w:r>
              <w:rPr>
                <w:rFonts w:ascii="Times New Roman" w:cs="Times New Roman" w:eastAsia="Times New Roman" w:hAnsi="Times New Roman"/>
                <w:sz w:val="17"/>
                <w:szCs w:val="17"/>
                <w:b w:val="1"/>
                <w:bCs w:val="1"/>
                <w:color w:val="auto"/>
                <w:w w:val="98"/>
              </w:rPr>
              <w:t>Securities registered pursuant to Section 12(b) of the Act:</w:t>
            </w:r>
          </w:p>
        </w:tc>
        <w:tc>
          <w:tcPr>
            <w:tcW w:w="2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409"/>
        </w:trPr>
        <w:tc>
          <w:tcPr>
            <w:tcW w:w="4780" w:type="dxa"/>
            <w:vAlign w:val="bottom"/>
            <w:gridSpan w:val="3"/>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2920" w:type="dxa"/>
            <w:vAlign w:val="bottom"/>
            <w:gridSpan w:val="5"/>
          </w:tcPr>
          <w:p>
            <w:pPr>
              <w:jc w:val="center"/>
              <w:ind w:right="1220"/>
              <w:spacing w:after="0"/>
              <w:rPr>
                <w:sz w:val="20"/>
                <w:szCs w:val="20"/>
                <w:color w:val="auto"/>
              </w:rPr>
            </w:pPr>
            <w:r>
              <w:rPr>
                <w:rFonts w:ascii="Times New Roman" w:cs="Times New Roman" w:eastAsia="Times New Roman" w:hAnsi="Times New Roman"/>
                <w:sz w:val="17"/>
                <w:szCs w:val="17"/>
                <w:b w:val="1"/>
                <w:bCs w:val="1"/>
                <w:color w:val="auto"/>
                <w:w w:val="98"/>
              </w:rPr>
              <w:t>Trading symbol</w:t>
            </w:r>
          </w:p>
        </w:tc>
        <w:tc>
          <w:tcPr>
            <w:tcW w:w="3540" w:type="dxa"/>
            <w:vAlign w:val="bottom"/>
            <w:gridSpan w:val="3"/>
          </w:tcPr>
          <w:p>
            <w:pPr>
              <w:jc w:val="center"/>
              <w:ind w:right="700"/>
              <w:spacing w:after="0"/>
              <w:rPr>
                <w:sz w:val="20"/>
                <w:szCs w:val="20"/>
                <w:color w:val="auto"/>
              </w:rPr>
            </w:pPr>
            <w:r>
              <w:rPr>
                <w:rFonts w:ascii="Times New Roman" w:cs="Times New Roman" w:eastAsia="Times New Roman" w:hAnsi="Times New Roman"/>
                <w:sz w:val="17"/>
                <w:szCs w:val="17"/>
                <w:b w:val="1"/>
                <w:bCs w:val="1"/>
                <w:color w:val="auto"/>
                <w:w w:val="98"/>
              </w:rPr>
              <w:t>Name of exchange on which registered</w:t>
            </w:r>
          </w:p>
        </w:tc>
      </w:tr>
      <w:tr>
        <w:trPr>
          <w:trHeight w:val="21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Class A Common Stock</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8"/>
              </w:rPr>
              <w:t>SNFCA</w:t>
            </w: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7"/>
                <w:szCs w:val="17"/>
                <w:color w:val="auto"/>
                <w:w w:val="98"/>
              </w:rPr>
              <w:t>The Nasdaq Global Select Market</w:t>
            </w:r>
          </w:p>
        </w:tc>
      </w:tr>
    </w:tbl>
    <w:p>
      <w:pPr>
        <w:spacing w:after="0" w:line="16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18" w:lineRule="exact"/>
        <w:rPr>
          <w:sz w:val="24"/>
          <w:szCs w:val="24"/>
          <w:color w:val="auto"/>
        </w:rPr>
      </w:pPr>
    </w:p>
    <w:p>
      <w:pPr>
        <w:jc w:val="right"/>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Securities Act.</w:t>
      </w:r>
    </w:p>
    <w:p>
      <w:pPr>
        <w:spacing w:after="0" w:line="18" w:lineRule="exact"/>
        <w:rPr>
          <w:sz w:val="24"/>
          <w:szCs w:val="24"/>
          <w:color w:val="auto"/>
        </w:rPr>
      </w:pPr>
    </w:p>
    <w:p>
      <w:pPr>
        <w:ind w:left="103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9"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3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9"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8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0" w:right="339" w:bottom="12" w:gutter="0" w:footer="0" w:header="0"/>
        </w:sectPr>
      </w:pPr>
    </w:p>
    <w:p>
      <w:pPr>
        <w:spacing w:after="0" w:line="13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380" w:space="720"/>
            <w:col w:w="3140"/>
          </w:cols>
          <w:pgMar w:left="320" w:top="700" w:right="339" w:bottom="12" w:gutter="0" w:footer="0" w:header="0"/>
          <w:type w:val="continuous"/>
        </w:sectPr>
      </w:pP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380" w:space="720"/>
            <w:col w:w="3140"/>
          </w:cols>
          <w:pgMar w:left="320" w:top="700" w:right="339" w:bottom="12" w:gutter="0" w:footer="0" w:header="0"/>
          <w:type w:val="continuous"/>
        </w:sectPr>
      </w:pPr>
    </w:p>
    <w:p>
      <w:pPr>
        <w:spacing w:after="0" w:line="19" w:lineRule="exact"/>
        <w:rPr>
          <w:sz w:val="24"/>
          <w:szCs w:val="24"/>
          <w:color w:val="auto"/>
        </w:rPr>
      </w:pPr>
    </w:p>
    <w:p>
      <w:pPr>
        <w:ind w:left="81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700" w:right="339" w:bottom="12" w:gutter="0" w:footer="0" w:header="0"/>
          <w:type w:val="continuous"/>
        </w:sectPr>
      </w:pPr>
    </w:p>
    <w:p>
      <w:pPr>
        <w:spacing w:after="0" w:line="258" w:lineRule="exact"/>
        <w:rPr>
          <w:sz w:val="24"/>
          <w:szCs w:val="24"/>
          <w:color w:val="auto"/>
        </w:rPr>
      </w:pPr>
    </w:p>
    <w:p>
      <w:pPr>
        <w:ind w:right="200"/>
        <w:spacing w:after="0" w:line="254"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52"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5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40"/>
          </w:cols>
          <w:pgMar w:left="320" w:top="700" w:right="339" w:bottom="12" w:gutter="0" w:footer="0" w:header="0"/>
          <w:type w:val="continuous"/>
        </w:sectPr>
      </w:pPr>
    </w:p>
    <w:bookmarkStart w:id="1" w:name="page2"/>
    <w:bookmarkEnd w:id="1"/>
    <w:p>
      <w:pPr>
        <w:spacing w:after="0" w:line="254"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jc w:val="right"/>
        <w:spacing w:after="0" w:line="171" w:lineRule="exact"/>
        <w:rPr>
          <w:sz w:val="20"/>
          <w:szCs w:val="20"/>
          <w:color w:val="auto"/>
        </w:rPr>
      </w:pPr>
      <w:r>
        <w:rPr>
          <w:rFonts w:ascii="MS PGothic" w:cs="MS PGothic" w:eastAsia="MS PGothic" w:hAnsi="MS PGothic"/>
          <w:sz w:val="17"/>
          <w:szCs w:val="17"/>
          <w:color w:val="auto"/>
        </w:rPr>
        <w:t>☐</w:t>
      </w:r>
    </w:p>
    <w:p>
      <w:pPr>
        <w:spacing w:after="0" w:line="18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of June 30, 2024, the aggregate market value of the registrant’s Class A Common Stock held by non-affiliates of the registrant was approximately $68,000,000, based on the $7.61 closing sale price of the Class A Common Stock as reported on The Nasdaq Global Select Market.</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of March 27, 2025, there were outstanding 21,321,739 shares of Class A Common Stock, $2.00 par value per share, and 3,367,334 shares of Class C Common Stock, $2.00 par value per share.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Portions of the following document are incorporated by reference in Part III of this Report: the registrant’s definitive proxy statement relating to its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135255</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431800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20" w:type="dxa"/>
            <w:vAlign w:val="bottom"/>
            <w:gridSpan w:val="15"/>
          </w:tcPr>
          <w:p>
            <w:pPr>
              <w:jc w:val="center"/>
              <w:ind w:right="3400"/>
              <w:spacing w:after="0"/>
              <w:rPr>
                <w:sz w:val="20"/>
                <w:szCs w:val="20"/>
                <w:color w:val="auto"/>
              </w:rPr>
            </w:pPr>
            <w:r>
              <w:rPr>
                <w:rFonts w:ascii="Times New Roman" w:cs="Times New Roman" w:eastAsia="Times New Roman" w:hAnsi="Times New Roman"/>
                <w:sz w:val="17"/>
                <w:szCs w:val="17"/>
                <w:b w:val="1"/>
                <w:bCs w:val="1"/>
                <w:color w:val="auto"/>
                <w:w w:val="98"/>
              </w:rPr>
              <w:t>Security National Financial Corporation</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60" w:type="dxa"/>
            <w:vAlign w:val="bottom"/>
            <w:gridSpan w:val="13"/>
          </w:tcPr>
          <w:p>
            <w:pPr>
              <w:jc w:val="center"/>
              <w:ind w:right="4380"/>
              <w:spacing w:after="0"/>
              <w:rPr>
                <w:sz w:val="20"/>
                <w:szCs w:val="20"/>
                <w:color w:val="auto"/>
              </w:rPr>
            </w:pPr>
            <w:r>
              <w:rPr>
                <w:rFonts w:ascii="Times New Roman" w:cs="Times New Roman" w:eastAsia="Times New Roman" w:hAnsi="Times New Roman"/>
                <w:sz w:val="17"/>
                <w:szCs w:val="17"/>
                <w:b w:val="1"/>
                <w:bCs w:val="1"/>
                <w:color w:val="auto"/>
                <w:w w:val="99"/>
              </w:rPr>
              <w:t>Form 10-K</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20" w:type="dxa"/>
            <w:vAlign w:val="bottom"/>
            <w:gridSpan w:val="16"/>
          </w:tcPr>
          <w:p>
            <w:pPr>
              <w:jc w:val="center"/>
              <w:ind w:right="3020"/>
              <w:spacing w:after="0"/>
              <w:rPr>
                <w:sz w:val="20"/>
                <w:szCs w:val="20"/>
                <w:color w:val="auto"/>
              </w:rPr>
            </w:pPr>
            <w:r>
              <w:rPr>
                <w:rFonts w:ascii="Times New Roman" w:cs="Times New Roman" w:eastAsia="Times New Roman" w:hAnsi="Times New Roman"/>
                <w:sz w:val="17"/>
                <w:szCs w:val="17"/>
                <w:b w:val="1"/>
                <w:bCs w:val="1"/>
                <w:color w:val="auto"/>
                <w:w w:val="98"/>
              </w:rPr>
              <w:t>For the Fiscal Year Ended December 31, 2024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20" w:type="dxa"/>
            <w:vAlign w:val="bottom"/>
            <w:gridSpan w:val="15"/>
          </w:tcPr>
          <w:p>
            <w:pPr>
              <w:jc w:val="center"/>
              <w:ind w:right="342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40" w:type="dxa"/>
            <w:vAlign w:val="bottom"/>
            <w:gridSpan w:val="9"/>
            <w:shd w:val="clear" w:color="auto" w:fill="CCEEFF"/>
          </w:tcPr>
          <w:p>
            <w:pPr>
              <w:jc w:val="center"/>
              <w:ind w:right="4680"/>
              <w:spacing w:after="0" w:line="144" w:lineRule="exact"/>
              <w:rPr>
                <w:sz w:val="20"/>
                <w:szCs w:val="20"/>
                <w:color w:val="auto"/>
              </w:rPr>
            </w:pPr>
            <w:r>
              <w:rPr>
                <w:rFonts w:ascii="Times New Roman" w:cs="Times New Roman" w:eastAsia="Times New Roman" w:hAnsi="Times New Roman"/>
                <w:sz w:val="16"/>
                <w:szCs w:val="16"/>
                <w:color w:val="0000EE"/>
              </w:rPr>
              <w:t>Part I</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w:t>
            </w:r>
          </w:p>
        </w:tc>
        <w:tc>
          <w:tcPr>
            <w:tcW w:w="180" w:type="dxa"/>
            <w:vAlign w:val="bottom"/>
            <w:shd w:val="clear" w:color="auto" w:fill="CCEEFF"/>
          </w:tcPr>
          <w:p>
            <w:pPr>
              <w:spacing w:after="0"/>
              <w:rPr>
                <w:sz w:val="14"/>
                <w:szCs w:val="14"/>
                <w:color w:val="auto"/>
              </w:rPr>
            </w:pPr>
          </w:p>
        </w:tc>
        <w:tc>
          <w:tcPr>
            <w:tcW w:w="9740" w:type="dxa"/>
            <w:vAlign w:val="bottom"/>
            <w:gridSpan w:val="2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Business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1A.</w:t>
            </w:r>
          </w:p>
        </w:tc>
        <w:tc>
          <w:tcPr>
            <w:tcW w:w="180" w:type="dxa"/>
            <w:vAlign w:val="bottom"/>
          </w:tcPr>
          <w:p>
            <w:pPr>
              <w:spacing w:after="0"/>
              <w:rPr>
                <w:sz w:val="14"/>
                <w:szCs w:val="14"/>
                <w:color w:val="auto"/>
              </w:rPr>
            </w:pPr>
          </w:p>
        </w:tc>
        <w:tc>
          <w:tcPr>
            <w:tcW w:w="860" w:type="dxa"/>
            <w:vAlign w:val="bottom"/>
            <w:tcBorders>
              <w:bottom w:val="single" w:sz="8" w:color="0000EE"/>
            </w:tcBorders>
            <w:gridSpan w:val="3"/>
          </w:tcPr>
          <w:p>
            <w:pPr>
              <w:spacing w:after="0" w:line="164" w:lineRule="exact"/>
              <w:rPr>
                <w:sz w:val="20"/>
                <w:szCs w:val="20"/>
                <w:color w:val="auto"/>
              </w:rPr>
            </w:pPr>
            <w:r>
              <w:rPr>
                <w:rFonts w:ascii="Times New Roman" w:cs="Times New Roman" w:eastAsia="Times New Roman" w:hAnsi="Times New Roman"/>
                <w:sz w:val="17"/>
                <w:szCs w:val="17"/>
                <w:color w:val="0000EE"/>
                <w:w w:val="98"/>
              </w:rPr>
              <w:t>Risk Factors</w:t>
            </w:r>
          </w:p>
        </w:tc>
        <w:tc>
          <w:tcPr>
            <w:tcW w:w="8880" w:type="dxa"/>
            <w:vAlign w:val="bottom"/>
            <w:gridSpan w:val="25"/>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1B.</w:t>
            </w:r>
          </w:p>
        </w:tc>
        <w:tc>
          <w:tcPr>
            <w:tcW w:w="1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Unresolved Staff Comments</w:t>
            </w:r>
          </w:p>
        </w:tc>
        <w:tc>
          <w:tcPr>
            <w:tcW w:w="7820" w:type="dxa"/>
            <w:vAlign w:val="bottom"/>
            <w:tcBorders>
              <w:bottom w:val="single" w:sz="8" w:color="CCEEFF"/>
            </w:tcBorders>
            <w:gridSpan w:val="18"/>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1C.</w:t>
            </w:r>
          </w:p>
        </w:tc>
        <w:tc>
          <w:tcPr>
            <w:tcW w:w="180" w:type="dxa"/>
            <w:vAlign w:val="bottom"/>
          </w:tcPr>
          <w:p>
            <w:pPr>
              <w:spacing w:after="0"/>
              <w:rPr>
                <w:sz w:val="14"/>
                <w:szCs w:val="14"/>
                <w:color w:val="auto"/>
              </w:rPr>
            </w:pPr>
          </w:p>
        </w:tc>
        <w:tc>
          <w:tcPr>
            <w:tcW w:w="96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8"/>
              </w:rPr>
              <w:t>Cybersecurity</w:t>
            </w:r>
          </w:p>
        </w:tc>
        <w:tc>
          <w:tcPr>
            <w:tcW w:w="8780" w:type="dxa"/>
            <w:vAlign w:val="bottom"/>
            <w:gridSpan w:val="24"/>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2.</w:t>
            </w:r>
          </w:p>
        </w:tc>
        <w:tc>
          <w:tcPr>
            <w:tcW w:w="180" w:type="dxa"/>
            <w:vAlign w:val="bottom"/>
            <w:shd w:val="clear" w:color="auto" w:fill="CCEEFF"/>
          </w:tcPr>
          <w:p>
            <w:pPr>
              <w:spacing w:after="0"/>
              <w:rPr>
                <w:sz w:val="15"/>
                <w:szCs w:val="15"/>
                <w:color w:val="auto"/>
              </w:rPr>
            </w:pPr>
          </w:p>
        </w:tc>
        <w:tc>
          <w:tcPr>
            <w:tcW w:w="974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Properties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3.</w:t>
            </w:r>
          </w:p>
        </w:tc>
        <w:tc>
          <w:tcPr>
            <w:tcW w:w="180" w:type="dxa"/>
            <w:vAlign w:val="bottom"/>
          </w:tcPr>
          <w:p>
            <w:pPr>
              <w:spacing w:after="0"/>
              <w:rPr>
                <w:sz w:val="14"/>
                <w:szCs w:val="14"/>
                <w:color w:val="auto"/>
              </w:rPr>
            </w:pPr>
          </w:p>
        </w:tc>
        <w:tc>
          <w:tcPr>
            <w:tcW w:w="126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w w:val="98"/>
              </w:rPr>
              <w:t>Legal Proceedings</w:t>
            </w:r>
          </w:p>
        </w:tc>
        <w:tc>
          <w:tcPr>
            <w:tcW w:w="8480" w:type="dxa"/>
            <w:vAlign w:val="bottom"/>
            <w:gridSpan w:val="22"/>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4.</w:t>
            </w:r>
          </w:p>
        </w:tc>
        <w:tc>
          <w:tcPr>
            <w:tcW w:w="9920" w:type="dxa"/>
            <w:vAlign w:val="bottom"/>
            <w:gridSpan w:val="29"/>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0000EE"/>
              </w:rPr>
              <w:t>Mine Safety Disclosures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80" w:type="dxa"/>
            <w:vAlign w:val="bottom"/>
            <w:gridSpan w:val="10"/>
            <w:shd w:val="clear" w:color="auto" w:fill="CCEEFF"/>
          </w:tcPr>
          <w:p>
            <w:pPr>
              <w:jc w:val="center"/>
              <w:ind w:right="4660"/>
              <w:spacing w:after="0" w:line="164" w:lineRule="exact"/>
              <w:rPr>
                <w:sz w:val="20"/>
                <w:szCs w:val="20"/>
                <w:color w:val="auto"/>
              </w:rPr>
            </w:pPr>
            <w:r>
              <w:rPr>
                <w:rFonts w:ascii="Times New Roman" w:cs="Times New Roman" w:eastAsia="Times New Roman" w:hAnsi="Times New Roman"/>
                <w:sz w:val="17"/>
                <w:szCs w:val="17"/>
                <w:color w:val="0000EE"/>
                <w:w w:val="97"/>
              </w:rPr>
              <w:t>Part II</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5.</w:t>
            </w:r>
          </w:p>
        </w:tc>
        <w:tc>
          <w:tcPr>
            <w:tcW w:w="180" w:type="dxa"/>
            <w:vAlign w:val="bottom"/>
            <w:shd w:val="clear" w:color="auto" w:fill="CCEEFF"/>
          </w:tcPr>
          <w:p>
            <w:pPr>
              <w:spacing w:after="0"/>
              <w:rPr>
                <w:sz w:val="15"/>
                <w:szCs w:val="15"/>
                <w:color w:val="auto"/>
              </w:rPr>
            </w:pPr>
          </w:p>
        </w:tc>
        <w:tc>
          <w:tcPr>
            <w:tcW w:w="9740" w:type="dxa"/>
            <w:vAlign w:val="bottom"/>
            <w:gridSpan w:val="2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 Securities</w:t>
            </w: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top w:val="single" w:sz="8" w:color="CCEEFF"/>
            </w:tcBorders>
          </w:tcPr>
          <w:p>
            <w:pPr>
              <w:spacing w:after="0" w:line="164" w:lineRule="exact"/>
              <w:rPr>
                <w:sz w:val="20"/>
                <w:szCs w:val="20"/>
                <w:color w:val="auto"/>
              </w:rPr>
            </w:pPr>
            <w:r>
              <w:rPr>
                <w:rFonts w:ascii="Times New Roman" w:cs="Times New Roman" w:eastAsia="Times New Roman" w:hAnsi="Times New Roman"/>
                <w:sz w:val="17"/>
                <w:szCs w:val="17"/>
                <w:color w:val="auto"/>
              </w:rPr>
              <w:t>Item 6.</w:t>
            </w:r>
          </w:p>
        </w:tc>
        <w:tc>
          <w:tcPr>
            <w:tcW w:w="180" w:type="dxa"/>
            <w:vAlign w:val="bottom"/>
            <w:tcBorders>
              <w:top w:val="single" w:sz="8" w:color="CCEEFF"/>
            </w:tcBorders>
          </w:tcPr>
          <w:p>
            <w:pPr>
              <w:spacing w:after="0"/>
              <w:rPr>
                <w:sz w:val="14"/>
                <w:szCs w:val="14"/>
                <w:color w:val="auto"/>
              </w:rPr>
            </w:pPr>
          </w:p>
        </w:tc>
        <w:tc>
          <w:tcPr>
            <w:tcW w:w="7540" w:type="dxa"/>
            <w:vAlign w:val="bottom"/>
            <w:tcBorders>
              <w:top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7"/>
                <w:szCs w:val="17"/>
                <w:color w:val="0000EE"/>
              </w:rPr>
              <w:t>[Reserved]</w:t>
            </w:r>
          </w:p>
        </w:tc>
        <w:tc>
          <w:tcPr>
            <w:tcW w:w="220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7.</w:t>
            </w:r>
          </w:p>
        </w:tc>
        <w:tc>
          <w:tcPr>
            <w:tcW w:w="18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0000EE"/>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Management’s Discussion and Analysis of Financial Condition and Results of Operations</w:t>
            </w:r>
          </w:p>
        </w:tc>
        <w:tc>
          <w:tcPr>
            <w:tcW w:w="370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7A.</w:t>
            </w:r>
          </w:p>
        </w:tc>
        <w:tc>
          <w:tcPr>
            <w:tcW w:w="180" w:type="dxa"/>
            <w:vAlign w:val="bottom"/>
          </w:tcPr>
          <w:p>
            <w:pPr>
              <w:spacing w:after="0"/>
              <w:rPr>
                <w:sz w:val="14"/>
                <w:szCs w:val="14"/>
                <w:color w:val="auto"/>
              </w:rPr>
            </w:pPr>
          </w:p>
        </w:tc>
        <w:tc>
          <w:tcPr>
            <w:tcW w:w="408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7"/>
                <w:szCs w:val="17"/>
                <w:color w:val="0000EE"/>
                <w:w w:val="98"/>
              </w:rPr>
              <w:t>Quantitative and Qualitative Disclosures About Market Risk</w:t>
            </w:r>
          </w:p>
        </w:tc>
        <w:tc>
          <w:tcPr>
            <w:tcW w:w="5660" w:type="dxa"/>
            <w:vAlign w:val="bottom"/>
            <w:gridSpan w:val="13"/>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8.</w:t>
            </w:r>
          </w:p>
        </w:tc>
        <w:tc>
          <w:tcPr>
            <w:tcW w:w="18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0000EE"/>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Financial Statements and Supplementary Data</w:t>
            </w:r>
          </w:p>
        </w:tc>
        <w:tc>
          <w:tcPr>
            <w:tcW w:w="662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9.</w:t>
            </w:r>
          </w:p>
        </w:tc>
        <w:tc>
          <w:tcPr>
            <w:tcW w:w="180" w:type="dxa"/>
            <w:vAlign w:val="bottom"/>
          </w:tcPr>
          <w:p>
            <w:pPr>
              <w:spacing w:after="0"/>
              <w:rPr>
                <w:sz w:val="14"/>
                <w:szCs w:val="14"/>
                <w:color w:val="auto"/>
              </w:rPr>
            </w:pPr>
          </w:p>
        </w:tc>
        <w:tc>
          <w:tcPr>
            <w:tcW w:w="6060" w:type="dxa"/>
            <w:vAlign w:val="bottom"/>
            <w:tcBorders>
              <w:bottom w:val="single" w:sz="8" w:color="0000EE"/>
            </w:tcBorders>
            <w:gridSpan w:val="25"/>
          </w:tcPr>
          <w:p>
            <w:pPr>
              <w:spacing w:after="0" w:line="164" w:lineRule="exact"/>
              <w:rPr>
                <w:sz w:val="20"/>
                <w:szCs w:val="20"/>
                <w:color w:val="auto"/>
              </w:rPr>
            </w:pPr>
            <w:r>
              <w:rPr>
                <w:rFonts w:ascii="Times New Roman" w:cs="Times New Roman" w:eastAsia="Times New Roman" w:hAnsi="Times New Roman"/>
                <w:sz w:val="17"/>
                <w:szCs w:val="17"/>
                <w:color w:val="0000EE"/>
                <w:w w:val="98"/>
              </w:rPr>
              <w:t>Changes in and Disagreements with Accountants on Accounting and Financial Disclosure</w:t>
            </w:r>
          </w:p>
        </w:tc>
        <w:tc>
          <w:tcPr>
            <w:tcW w:w="3680" w:type="dxa"/>
            <w:vAlign w:val="bottom"/>
            <w:gridSpan w:val="3"/>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9A.</w:t>
            </w:r>
          </w:p>
        </w:tc>
        <w:tc>
          <w:tcPr>
            <w:tcW w:w="180" w:type="dxa"/>
            <w:vAlign w:val="bottom"/>
            <w:shd w:val="clear" w:color="auto" w:fill="CCEEFF"/>
          </w:tcPr>
          <w:p>
            <w:pPr>
              <w:spacing w:after="0"/>
              <w:rPr>
                <w:sz w:val="17"/>
                <w:szCs w:val="17"/>
                <w:color w:val="auto"/>
              </w:rPr>
            </w:pPr>
          </w:p>
        </w:tc>
        <w:tc>
          <w:tcPr>
            <w:tcW w:w="974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Controls and Procedures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118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top w:val="single" w:sz="8" w:color="CCEEFF"/>
            </w:tcBorders>
          </w:tcPr>
          <w:p>
            <w:pPr>
              <w:spacing w:after="0" w:line="164" w:lineRule="exact"/>
              <w:rPr>
                <w:sz w:val="20"/>
                <w:szCs w:val="20"/>
                <w:color w:val="auto"/>
              </w:rPr>
            </w:pPr>
            <w:r>
              <w:rPr>
                <w:rFonts w:ascii="Times New Roman" w:cs="Times New Roman" w:eastAsia="Times New Roman" w:hAnsi="Times New Roman"/>
                <w:sz w:val="17"/>
                <w:szCs w:val="17"/>
                <w:color w:val="auto"/>
              </w:rPr>
              <w:t>Item 9B.</w:t>
            </w:r>
          </w:p>
        </w:tc>
        <w:tc>
          <w:tcPr>
            <w:tcW w:w="180" w:type="dxa"/>
            <w:vAlign w:val="bottom"/>
            <w:tcBorders>
              <w:top w:val="single" w:sz="8" w:color="CCEEFF"/>
            </w:tcBorders>
          </w:tcPr>
          <w:p>
            <w:pPr>
              <w:spacing w:after="0"/>
              <w:rPr>
                <w:sz w:val="14"/>
                <w:szCs w:val="14"/>
                <w:color w:val="auto"/>
              </w:rPr>
            </w:pPr>
          </w:p>
        </w:tc>
        <w:tc>
          <w:tcPr>
            <w:tcW w:w="1240" w:type="dxa"/>
            <w:vAlign w:val="bottom"/>
            <w:tcBorders>
              <w:top w:val="single" w:sz="8" w:color="0000EE"/>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7"/>
                <w:szCs w:val="17"/>
                <w:color w:val="0000EE"/>
                <w:w w:val="98"/>
              </w:rPr>
              <w:t>Other Information</w:t>
            </w:r>
          </w:p>
        </w:tc>
        <w:tc>
          <w:tcPr>
            <w:tcW w:w="420" w:type="dxa"/>
            <w:vAlign w:val="bottom"/>
            <w:tcBorders>
              <w:top w:val="single" w:sz="8" w:color="0000EE"/>
            </w:tcBorders>
            <w:gridSpan w:val="3"/>
          </w:tcPr>
          <w:p>
            <w:pPr>
              <w:spacing w:after="0"/>
              <w:rPr>
                <w:sz w:val="14"/>
                <w:szCs w:val="14"/>
                <w:color w:val="auto"/>
              </w:rPr>
            </w:pPr>
          </w:p>
        </w:tc>
        <w:tc>
          <w:tcPr>
            <w:tcW w:w="8080" w:type="dxa"/>
            <w:vAlign w:val="bottom"/>
            <w:tcBorders>
              <w:top w:val="single" w:sz="8" w:color="CCEEFF"/>
            </w:tcBorders>
            <w:gridSpan w:val="20"/>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9C.</w:t>
            </w:r>
          </w:p>
        </w:tc>
        <w:tc>
          <w:tcPr>
            <w:tcW w:w="9920" w:type="dxa"/>
            <w:vAlign w:val="bottom"/>
            <w:gridSpan w:val="29"/>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100" w:type="dxa"/>
            <w:vAlign w:val="bottom"/>
            <w:gridSpan w:val="11"/>
            <w:shd w:val="clear" w:color="auto" w:fill="CCEEFF"/>
          </w:tcPr>
          <w:p>
            <w:pPr>
              <w:jc w:val="center"/>
              <w:ind w:right="4620"/>
              <w:spacing w:after="0" w:line="164" w:lineRule="exact"/>
              <w:rPr>
                <w:sz w:val="20"/>
                <w:szCs w:val="20"/>
                <w:color w:val="auto"/>
              </w:rPr>
            </w:pPr>
            <w:r>
              <w:rPr>
                <w:rFonts w:ascii="Times New Roman" w:cs="Times New Roman" w:eastAsia="Times New Roman" w:hAnsi="Times New Roman"/>
                <w:sz w:val="17"/>
                <w:szCs w:val="17"/>
                <w:color w:val="0000EE"/>
                <w:w w:val="98"/>
              </w:rPr>
              <w:t>Part III</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0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10.</w:t>
            </w:r>
          </w:p>
        </w:tc>
        <w:tc>
          <w:tcPr>
            <w:tcW w:w="18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tcBorders>
            <w:gridSpan w:val="14"/>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98"/>
              </w:rPr>
              <w:t>Directors, Executive Officers, and Corporate Governance</w:t>
            </w:r>
          </w:p>
        </w:tc>
        <w:tc>
          <w:tcPr>
            <w:tcW w:w="5860" w:type="dxa"/>
            <w:vAlign w:val="bottom"/>
            <w:tcBorders>
              <w:bottom w:val="single" w:sz="8" w:color="CCEEFF"/>
            </w:tcBorders>
            <w:gridSpan w:val="14"/>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11.</w:t>
            </w:r>
          </w:p>
        </w:tc>
        <w:tc>
          <w:tcPr>
            <w:tcW w:w="180" w:type="dxa"/>
            <w:vAlign w:val="bottom"/>
          </w:tcPr>
          <w:p>
            <w:pPr>
              <w:spacing w:after="0"/>
              <w:rPr>
                <w:sz w:val="14"/>
                <w:szCs w:val="14"/>
                <w:color w:val="auto"/>
              </w:rPr>
            </w:pPr>
          </w:p>
        </w:tc>
        <w:tc>
          <w:tcPr>
            <w:tcW w:w="1700" w:type="dxa"/>
            <w:vAlign w:val="bottom"/>
            <w:tcBorders>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color w:val="0000EE"/>
                <w:w w:val="98"/>
              </w:rPr>
              <w:t>Executive Compensation</w:t>
            </w:r>
          </w:p>
        </w:tc>
        <w:tc>
          <w:tcPr>
            <w:tcW w:w="8040" w:type="dxa"/>
            <w:vAlign w:val="bottom"/>
            <w:gridSpan w:val="19"/>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12.</w:t>
            </w:r>
          </w:p>
        </w:tc>
        <w:tc>
          <w:tcPr>
            <w:tcW w:w="18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2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Security Ownership of Certain Beneficial Owners and Management and Related Stockholder Matters</w:t>
            </w:r>
          </w:p>
        </w:tc>
        <w:tc>
          <w:tcPr>
            <w:tcW w:w="292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13.</w:t>
            </w:r>
          </w:p>
        </w:tc>
        <w:tc>
          <w:tcPr>
            <w:tcW w:w="180" w:type="dxa"/>
            <w:vAlign w:val="bottom"/>
          </w:tcPr>
          <w:p>
            <w:pPr>
              <w:spacing w:after="0"/>
              <w:rPr>
                <w:sz w:val="14"/>
                <w:szCs w:val="14"/>
                <w:color w:val="auto"/>
              </w:rPr>
            </w:pPr>
          </w:p>
        </w:tc>
        <w:tc>
          <w:tcPr>
            <w:tcW w:w="5100" w:type="dxa"/>
            <w:vAlign w:val="bottom"/>
            <w:tcBorders>
              <w:bottom w:val="single" w:sz="8" w:color="0000EE"/>
            </w:tcBorders>
            <w:gridSpan w:val="22"/>
          </w:tcPr>
          <w:p>
            <w:pPr>
              <w:spacing w:after="0" w:line="164" w:lineRule="exact"/>
              <w:rPr>
                <w:sz w:val="20"/>
                <w:szCs w:val="20"/>
                <w:color w:val="auto"/>
              </w:rPr>
            </w:pPr>
            <w:r>
              <w:rPr>
                <w:rFonts w:ascii="Times New Roman" w:cs="Times New Roman" w:eastAsia="Times New Roman" w:hAnsi="Times New Roman"/>
                <w:sz w:val="17"/>
                <w:szCs w:val="17"/>
                <w:color w:val="0000EE"/>
                <w:w w:val="98"/>
              </w:rPr>
              <w:t>Certain Relationships and Related Transactions, and Director Independence</w:t>
            </w:r>
          </w:p>
        </w:tc>
        <w:tc>
          <w:tcPr>
            <w:tcW w:w="4640" w:type="dxa"/>
            <w:vAlign w:val="bottom"/>
            <w:gridSpan w:val="6"/>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Item 14.</w:t>
            </w:r>
          </w:p>
        </w:tc>
        <w:tc>
          <w:tcPr>
            <w:tcW w:w="9920" w:type="dxa"/>
            <w:vAlign w:val="bottom"/>
            <w:gridSpan w:val="29"/>
            <w:shd w:val="clear" w:color="auto" w:fill="CCEEFF"/>
          </w:tcPr>
          <w:p>
            <w:pPr>
              <w:ind w:left="180"/>
              <w:spacing w:after="0" w:line="182" w:lineRule="exact"/>
              <w:rPr>
                <w:sz w:val="20"/>
                <w:szCs w:val="20"/>
                <w:color w:val="auto"/>
              </w:rPr>
            </w:pPr>
            <w:r>
              <w:rPr>
                <w:rFonts w:ascii="Times New Roman" w:cs="Times New Roman" w:eastAsia="Times New Roman" w:hAnsi="Times New Roman"/>
                <w:sz w:val="17"/>
                <w:szCs w:val="17"/>
                <w:color w:val="0000EE"/>
              </w:rPr>
              <w:t>Principal Accounting Fees and Services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160" w:type="dxa"/>
            <w:vAlign w:val="bottom"/>
            <w:gridSpan w:val="12"/>
            <w:shd w:val="clear" w:color="auto" w:fill="CCEEFF"/>
          </w:tcPr>
          <w:p>
            <w:pPr>
              <w:jc w:val="center"/>
              <w:ind w:right="4560"/>
              <w:spacing w:after="0" w:line="164" w:lineRule="exact"/>
              <w:rPr>
                <w:sz w:val="20"/>
                <w:szCs w:val="20"/>
                <w:color w:val="auto"/>
              </w:rPr>
            </w:pPr>
            <w:r>
              <w:rPr>
                <w:rFonts w:ascii="Times New Roman" w:cs="Times New Roman" w:eastAsia="Times New Roman" w:hAnsi="Times New Roman"/>
                <w:sz w:val="17"/>
                <w:szCs w:val="17"/>
                <w:color w:val="0000EE"/>
                <w:w w:val="96"/>
              </w:rPr>
              <w:t>Part IV</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00" w:type="dxa"/>
            <w:vAlign w:val="bottom"/>
            <w:tcBorders>
              <w:bottom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15.</w:t>
            </w:r>
          </w:p>
        </w:tc>
        <w:tc>
          <w:tcPr>
            <w:tcW w:w="180" w:type="dxa"/>
            <w:vAlign w:val="bottom"/>
            <w:tcBorders>
              <w:bottom w:val="single" w:sz="8" w:color="CCEEFF"/>
            </w:tcBorders>
            <w:shd w:val="clear" w:color="auto" w:fill="CCEEFF"/>
          </w:tcPr>
          <w:p>
            <w:pPr>
              <w:spacing w:after="0"/>
              <w:rPr>
                <w:sz w:val="15"/>
                <w:szCs w:val="15"/>
                <w:color w:val="auto"/>
              </w:rPr>
            </w:pPr>
          </w:p>
        </w:tc>
        <w:tc>
          <w:tcPr>
            <w:tcW w:w="2720" w:type="dxa"/>
            <w:vAlign w:val="bottom"/>
            <w:tcBorders>
              <w:bottom w:val="single" w:sz="8" w:color="0000EE"/>
            </w:tcBorders>
            <w:gridSpan w:val="1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98"/>
              </w:rPr>
              <w:t>Exhibits, Financial Statement Schedules</w:t>
            </w:r>
          </w:p>
        </w:tc>
        <w:tc>
          <w:tcPr>
            <w:tcW w:w="7020" w:type="dxa"/>
            <w:vAlign w:val="bottom"/>
            <w:tcBorders>
              <w:bottom w:val="single" w:sz="8" w:color="CCEEFF"/>
            </w:tcBorders>
            <w:gridSpan w:val="16"/>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line="164" w:lineRule="exact"/>
              <w:rPr>
                <w:sz w:val="20"/>
                <w:szCs w:val="20"/>
                <w:color w:val="auto"/>
              </w:rPr>
            </w:pPr>
            <w:r>
              <w:rPr>
                <w:rFonts w:ascii="Times New Roman" w:cs="Times New Roman" w:eastAsia="Times New Roman" w:hAnsi="Times New Roman"/>
                <w:sz w:val="17"/>
                <w:szCs w:val="17"/>
                <w:color w:val="auto"/>
              </w:rPr>
              <w:t>Item 16.</w:t>
            </w:r>
          </w:p>
        </w:tc>
        <w:tc>
          <w:tcPr>
            <w:tcW w:w="9920" w:type="dxa"/>
            <w:vAlign w:val="bottom"/>
            <w:gridSpan w:val="29"/>
          </w:tcPr>
          <w:p>
            <w:pPr>
              <w:ind w:left="180"/>
              <w:spacing w:after="0" w:line="164" w:lineRule="exact"/>
              <w:rPr>
                <w:sz w:val="20"/>
                <w:szCs w:val="20"/>
                <w:color w:val="auto"/>
              </w:rPr>
            </w:pPr>
            <w:r>
              <w:rPr>
                <w:rFonts w:ascii="Times New Roman" w:cs="Times New Roman" w:eastAsia="Times New Roman" w:hAnsi="Times New Roman"/>
                <w:sz w:val="17"/>
                <w:szCs w:val="17"/>
                <w:color w:val="0000EE"/>
              </w:rPr>
              <w:t>Form 10-K Summary</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tcBorders>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4"/>
              </w:rPr>
              <w:t>Signatures</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top w:val="single" w:sz="8" w:color="0000EE"/>
              <w:bottom w:val="single" w:sz="8" w:color="CCEEFF"/>
            </w:tcBorders>
            <w:shd w:val="clear" w:color="auto" w:fill="CCEEFF"/>
          </w:tcPr>
          <w:p>
            <w:pPr>
              <w:spacing w:after="0"/>
              <w:rPr>
                <w:sz w:val="17"/>
                <w:szCs w:val="17"/>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0" w:type="dxa"/>
            <w:vAlign w:val="bottom"/>
            <w:tcBorders>
              <w:top w:val="single" w:sz="8" w:color="0000EE"/>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1"/>
          </w:tcPr>
          <w:p>
            <w:pPr>
              <w:jc w:val="center"/>
              <w:ind w:left="4476"/>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Security National Financial Corporation (the “Company”) operates in three reportable business segments: life insurance, cemetery and mortuary, and mortgages. The life insurance segment is engaged in the business of selling and servicing selected lines of life insurance, annuity products, and accident and health insurance. These products are marketed in 42 states through a commissioned sales force of independent licensed insurance agents who may also sell insurance products of other companies. The cemetery and mortuary segment consists of eleven mortuaries and five cemeteries in the state of Utah, one cemetery in the state of California, and one cemetery and four mortuaries in the state of New Mexico. The Company also engages in pre-need selling of funeral, cemetery, mortuary, and cremation services through its cemetery and mortuary locations. The mortgage segment originates and underwrites or otherwise purchases residential and commercial loans for new construction, existing homes, and other real estate projects. The mortgage segment operates through 97 retail offices in 26 states and is an approved mortgage lender in several other states.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its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 (1998), Menlo Life Insurance Company (1999), Acadian Life Insurance Company (2002), Paramount Security Life Insurance Company (2004), Memorial Insurance Company of America (2005 and subsequently sold in 2021 to FOXO Life Insurance Company),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First Guaranty Insurance Company (2016), Kilpatrick Life Insurance Company (2019), and merger with FOXO Life Insurance Company (2023).</w:t>
      </w:r>
    </w:p>
    <w:p>
      <w:pPr>
        <w:spacing w:after="0" w:line="16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Heber Valley Funeral Home, Inc. (2019), Rivera Funerals, Cremations and Memorial Gardens (2021), and Holbrook Mortuary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1993, the Company formed SecurityNational Mortgage Company (“SecurityNational Mortgage”) to originate and refinance residential mortgage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15 of the Notes to Consolidated Financial Statements for additional information regarding the business segments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Life Insurance</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Products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Company, through Security National Life, First Guaranty Insurance Company (“First Guaranty”), and Kilpatrick Life Insurance Company (“Kilpatrick”), issues and administers selected lines of life insurance and annuities. The Company’s life insurance business includes funeral plans and interest-sensitive life insurance, as well as other traditional life, accident, and limited health insurance products. The Company places specific marketing emphasis on funeral plans through pre-need planning. The Company’s insurance subsidiaries, Kilpatrick, Southern Security Life Insurance Company, Inc. (“Southern Security”) and Trans-Western Life Insurance Company (“Trans-Western”), do not actively write policies, but service and maintain policies that were issued prior to their acquisition by Security National Life.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7"/>
          <w:szCs w:val="17"/>
          <w:color w:val="auto"/>
        </w:rPr>
        <w:t>A funeral plan is a small face value life insurance policy that generally has face coverage of up to $30,000. The Company believes that funeral plans represent a marketing niche that has less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Markets and Distribution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licensed to sell insurance in 42 states. In marketing its life insurance products, the Company seeks to locate, develop and service specific niche markets. The Company’s funeral plan policies are sold primarily to people who range in age from 45 to 85 and have low to moderate income. Most of the Company’s funeral plan premiums come from the states of Arkansas, California, Florida, Georgia, Louisiana, Mississippi, Texas, and Utah.</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sells its life insurance products through direct agents, brokers, and independent licensed agents who may also sell insurance products of other companies. The commissions on life insurance products range from approximately 50% to 150% of first year premiums. In those cases where the Company utilizes its direct agents in selling such policies, those agents customarily receive advances against future commissions.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2021</w:t>
            </w:r>
          </w:p>
        </w:tc>
        <w:tc>
          <w:tcPr>
            <w:tcW w:w="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2020</w:t>
            </w:r>
          </w:p>
        </w:tc>
        <w:tc>
          <w:tcPr>
            <w:tcW w:w="200" w:type="dxa"/>
            <w:vAlign w:val="bottom"/>
            <w:tcBorders>
              <w:bottom w:val="single" w:sz="8" w:color="CCEEFF"/>
            </w:tcBorders>
          </w:tcPr>
          <w:p>
            <w:pPr>
              <w:spacing w:after="0"/>
              <w:rPr>
                <w:sz w:val="18"/>
                <w:szCs w:val="18"/>
                <w:color w:val="auto"/>
              </w:rPr>
            </w:pPr>
          </w:p>
        </w:tc>
      </w:tr>
      <w:tr>
        <w:trPr>
          <w:trHeight w:val="19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Life Insurance</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2"/>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Policy/Certificate Count as of December 31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635,791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640,970</w:t>
            </w:r>
          </w:p>
        </w:tc>
        <w:tc>
          <w:tcPr>
            <w:tcW w:w="240" w:type="dxa"/>
            <w:vAlign w:val="bottom"/>
          </w:tcPr>
          <w:p>
            <w:pPr>
              <w:spacing w:after="0"/>
              <w:rPr>
                <w:sz w:val="17"/>
                <w:szCs w:val="17"/>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646,296</w:t>
            </w:r>
          </w:p>
        </w:tc>
        <w:tc>
          <w:tcPr>
            <w:tcW w:w="220" w:type="dxa"/>
            <w:vAlign w:val="bottom"/>
          </w:tcPr>
          <w:p>
            <w:pPr>
              <w:spacing w:after="0"/>
              <w:rPr>
                <w:sz w:val="17"/>
                <w:szCs w:val="17"/>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653,450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659,237</w:t>
            </w:r>
          </w:p>
        </w:tc>
        <w:tc>
          <w:tcPr>
            <w:tcW w:w="200" w:type="dxa"/>
            <w:vAlign w:val="bottom"/>
          </w:tcPr>
          <w:p>
            <w:pPr>
              <w:spacing w:after="0"/>
              <w:rPr>
                <w:sz w:val="17"/>
                <w:szCs w:val="17"/>
                <w:color w:val="auto"/>
              </w:rPr>
            </w:pPr>
          </w:p>
        </w:tc>
      </w:tr>
      <w:tr>
        <w:trPr>
          <w:trHeight w:val="20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in force as of December 31 (in thousands)</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3,947,671</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3,552,554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3,446,836(1)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3,415,368(1)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3,379,921(1)</w:t>
            </w: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Premiums Collected (in thousands)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118,151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113,584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103,304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99,006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4" w:lineRule="exact"/>
        <w:rPr>
          <w:sz w:val="20"/>
          <w:szCs w:val="20"/>
          <w:color w:val="auto"/>
        </w:rPr>
      </w:pPr>
    </w:p>
    <w:p>
      <w:pPr>
        <w:ind w:left="5580" w:right="3140" w:hanging="5579"/>
        <w:spacing w:after="0" w:line="522" w:lineRule="auto"/>
        <w:tabs>
          <w:tab w:leader="none" w:pos="23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years have been adjusted to include accidental death benefit insurance in force that was inadvertently excluded.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7"/>
          <w:szCs w:val="17"/>
          <w:i w:val="1"/>
          <w:iCs w:val="1"/>
          <w:color w:val="auto"/>
        </w:rPr>
        <w:t>Underwriting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factors considered in evaluating an application for ordinary life insurance coverage can include the applicant’s age, occupation, general health condition, and medical history. Upon receipt of a satisfactory (non-funeral plan insurance) application, which contains pertinent medical questions, the Company issues insurance based upon its medical limits and requirements subject to the following general non-medical limits:</w:t>
      </w:r>
    </w:p>
    <w:p>
      <w:pPr>
        <w:spacing w:after="0" w:line="169" w:lineRule="exact"/>
        <w:rPr>
          <w:sz w:val="20"/>
          <w:szCs w:val="20"/>
          <w:color w:val="auto"/>
        </w:rPr>
      </w:pPr>
    </w:p>
    <w:tbl>
      <w:tblPr>
        <w:tblLayout w:type="fixed"/>
        <w:tblInd w:w="900" w:type="dxa"/>
        <w:tblCellMar>
          <w:top w:w="0" w:type="dxa"/>
          <w:left w:w="0" w:type="dxa"/>
          <w:bottom w:w="0" w:type="dxa"/>
          <w:right w:w="0" w:type="dxa"/>
        </w:tblCellMar>
      </w:tblPr>
      <w:tr>
        <w:trPr>
          <w:trHeight w:val="202"/>
        </w:trPr>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Non-Medical</w:t>
            </w:r>
          </w:p>
        </w:tc>
        <w:tc>
          <w:tcPr>
            <w:tcW w:w="3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Age Nearest</w:t>
            </w:r>
          </w:p>
        </w:tc>
      </w:tr>
      <w:tr>
        <w:trPr>
          <w:trHeight w:val="223"/>
        </w:trPr>
        <w:tc>
          <w:tcPr>
            <w:tcW w:w="34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Limits</w:t>
            </w:r>
          </w:p>
        </w:tc>
        <w:tc>
          <w:tcPr>
            <w:tcW w:w="3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Birthday</w:t>
            </w:r>
          </w:p>
        </w:tc>
      </w:tr>
      <w:tr>
        <w:trPr>
          <w:trHeight w:val="185"/>
        </w:trPr>
        <w:tc>
          <w:tcPr>
            <w:tcW w:w="33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w w:val="96"/>
              </w:rPr>
              <w:t>0-50</w:t>
            </w:r>
          </w:p>
        </w:tc>
        <w:tc>
          <w:tcPr>
            <w:tcW w:w="140" w:type="dxa"/>
            <w:vAlign w:val="bottom"/>
          </w:tcPr>
          <w:p>
            <w:pPr>
              <w:spacing w:after="0"/>
              <w:rPr>
                <w:sz w:val="16"/>
                <w:szCs w:val="16"/>
                <w:color w:val="auto"/>
              </w:rPr>
            </w:pPr>
          </w:p>
        </w:tc>
        <w:tc>
          <w:tcPr>
            <w:tcW w:w="33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$100,000</w:t>
            </w:r>
          </w:p>
        </w:tc>
      </w:tr>
      <w:tr>
        <w:trPr>
          <w:trHeight w:val="202"/>
        </w:trPr>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5"/>
              </w:rPr>
              <w:t>51-up</w:t>
            </w:r>
          </w:p>
        </w:tc>
        <w:tc>
          <w:tcPr>
            <w:tcW w:w="3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Medical information</w:t>
            </w:r>
          </w:p>
        </w:tc>
      </w:tr>
      <w:tr>
        <w:trPr>
          <w:trHeight w:val="218"/>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required (APS or exam)</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When underwriting life insurance, the Company will sometimes issue policies with higher premium rates for substandard risks.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funeral plan insurance is written on a simplified medical application with underwriting requirements being a completed application, a phone interview of the applicant, and an intelliscript prescription history inquiry. There are several underwriting classes in which an applicant can be placed.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Annuities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Products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such as an individual’s life, or for such other period as may be designated.</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Annuities have guaranteed interest rates that range from 1% to 6.5% per annum. Rates above the guaranteed interest rate credited are periodically modified by the Company’s Board of Directors at its discretion. For the Company to make a profit on an annuity product, the Company must maintain an interest rate spread between its investment income and the interest rates credited to the annuities. Commissions, issuance expenses, and general and administrative expenses are deducted from this interest rate spread.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Markets and Distribution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general market for the Company’s annuities is middle to older age individuals. A major source of annuity sales comes from direct agents and are sold in conjunction with other insurance sales. If an individual does not qualify for a funeral plan, the agent will often sell that individual an annuity to fund final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annuity business for the five years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2021</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2020</w:t>
            </w:r>
          </w:p>
        </w:tc>
        <w:tc>
          <w:tcPr>
            <w:tcW w:w="10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Annuities Policy/Certificate Count as of December 31</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24,296</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25,476</w:t>
            </w:r>
          </w:p>
        </w:tc>
        <w:tc>
          <w:tcPr>
            <w:tcW w:w="10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Deposits Collected (in thousands)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11,740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10,946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9,972</w:t>
            </w: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9,719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9,637</w:t>
            </w:r>
          </w:p>
        </w:tc>
        <w:tc>
          <w:tcPr>
            <w:tcW w:w="1120" w:type="dxa"/>
            <w:vAlign w:val="bottom"/>
          </w:tcPr>
          <w:p>
            <w:pPr>
              <w:spacing w:after="0"/>
              <w:rPr>
                <w:sz w:val="18"/>
                <w:szCs w:val="18"/>
                <w:color w:val="auto"/>
              </w:rPr>
            </w:pPr>
          </w:p>
        </w:tc>
      </w:tr>
      <w:tr>
        <w:trPr>
          <w:trHeight w:val="387"/>
        </w:trPr>
        <w:tc>
          <w:tcPr>
            <w:tcW w:w="4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93"/>
              </w:rPr>
              <w:t>5</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Accident and Health</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Products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Through its various acquisitions, the Company occasionally acquires small blocks of accident and health insurance policies, which it continues to service. The Company offered a low-cost comprehensive diver’s accident insurance policy that provided worldwide coverage for medical expense reimbursement in the event of a diving accident. This product was discontinued in March 2024.</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Markets and Distribution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marketed its diver’s accident insurance policies through the internet.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accident and health insurance business for the five years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2021</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2020</w:t>
            </w:r>
          </w:p>
        </w:tc>
        <w:tc>
          <w:tcPr>
            <w:tcW w:w="100" w:type="dxa"/>
            <w:vAlign w:val="bottom"/>
            <w:tcBorders>
              <w:bottom w:val="single" w:sz="8" w:color="CCEEFF"/>
            </w:tcBorders>
          </w:tcPr>
          <w:p>
            <w:pPr>
              <w:spacing w:after="0"/>
              <w:rPr>
                <w:sz w:val="18"/>
                <w:szCs w:val="18"/>
                <w:color w:val="auto"/>
              </w:rPr>
            </w:pPr>
          </w:p>
        </w:tc>
      </w:tr>
      <w:tr>
        <w:trPr>
          <w:trHeight w:val="166"/>
        </w:trPr>
        <w:tc>
          <w:tcPr>
            <w:tcW w:w="42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Accident and Health Policy/Certificate Count as of</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7,592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9,379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12,494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13,735</w:t>
            </w: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Premiums Collected (in thousands)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188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353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296</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Reinsurance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currently cedes and assumes certain risks with various authorized unaffiliated reinsurers pursuant to reinsurance treaties, which are generally renewed annually. The premiums paid by the Company are based on a number of factors, primarily including the age of the insured and the risk ceded to the reinsurer.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It is the Company’s policy to retain no more than $100,000 of ordinary insurance per life insured, with the excess risk being reinsured. The total policy amount of life insurance reinsured by other companies as of December 31, 2024 and 2023, was $325,189,000 and $333,211,000, which represented approximately 9.4% and 9.3% of the Company’s total life insurance policy amount in force on that date, respectively.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See “Management’s Discussion and Analysis of Results of Operations and Financial Condition” and “Notes to Consolidated Financial Statements” for additional disclosure and discussion regarding reinsurance.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investments that support the Company’s life insurance and annuity obligations are determined by the investment committees of the Company’s subsidiaries and ratified by the full boards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See “Management’s Discussion and Analysis of Results of Operations and Financial Condition” and “Notes to Consolidated Financial Statements” for additional disclosure and discussion regarding investments.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Cemetery and Mortuary</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Products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ten separate stand-alone mortuary facilities.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Markets and Distribution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pre-need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the geographic area.</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actively seeks to sell its cemetery and funeral products to customers on a pre-need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Potential customers are located via telephone sales prospecting, responses to letters mailed by the pre-planning consultants, billboards and other outside advertising, referrals, and door-to-door canvassing. The Company trains its sales representatives and helps generate leads for them.</w:t>
      </w:r>
    </w:p>
    <w:p>
      <w:pPr>
        <w:spacing w:after="0" w:line="155" w:lineRule="exact"/>
        <w:rPr>
          <w:sz w:val="20"/>
          <w:szCs w:val="20"/>
          <w:color w:val="auto"/>
        </w:rPr>
      </w:pPr>
    </w:p>
    <w:p>
      <w:pPr>
        <w:jc w:val="center"/>
        <w:ind w:right="10060"/>
        <w:spacing w:after="0"/>
        <w:rPr>
          <w:sz w:val="20"/>
          <w:szCs w:val="20"/>
          <w:color w:val="auto"/>
        </w:rPr>
      </w:pPr>
      <w:r>
        <w:rPr>
          <w:rFonts w:ascii="Times New Roman" w:cs="Times New Roman" w:eastAsia="Times New Roman" w:hAnsi="Times New Roman"/>
          <w:sz w:val="16"/>
          <w:szCs w:val="16"/>
          <w:b w:val="1"/>
          <w:bCs w:val="1"/>
          <w:color w:val="auto"/>
        </w:rPr>
        <w:t>Mortgage Loans</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Products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through SecurityNational Mortgage, is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The Company uses internal and external funding sources to fund mortgage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National Life originates and funds commercial real estate loans, residential construction loans, and land development loans for internal investment.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Markets and Distribution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residential mortgage lending services are marketed primarily to real estate brokers, builders and directly to consumers. The Company has a strong retail origination presence in the Utah, Florida, Texas, Nevada and Arizona markets and many other states across the country. See “Management’s Discussion and Analysis of Results of Operations and Financial Condition” and “Notes to Consolidated Financial Statements” for additional disclosure and discussion regarding mortgage loans.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Acquisitions and Other Business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Real Estate Development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capitalizing on the opportunity to develop commercial and residential assets on its existing and recently acquired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primarily relating to the Center53 Development and multiple single family residential development projects. The Company plans to continue its development endeavors based upon its assessment of the market demand.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7"/>
          <w:szCs w:val="17"/>
          <w:i w:val="1"/>
          <w:iCs w:val="1"/>
          <w:u w:val="single" w:color="auto"/>
          <w:color w:val="auto"/>
        </w:rPr>
        <w:t>Center53 Development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Center53 Development is an office development project comprising nearly 20 acres of land that is currently owned by the Company in the central valley of Salt Lake City. At final completion, the multi-year phased development is expected to create a campus atmosphere and include nearly one million square-feet of office space in five buildings, ranging from four to eleven stories, and will be serviced by three parking structures with approximately 4,000 stalls. In 2015, the Company broke ground and commenced development on the first phase which included a six-story building of nearly 200,000 square feet and a parking garage with 748 parking stalls. The first phase of the project was completed in July 2017 and is currently 88% leased. The second phase of the project began in March 2020 and includes a second six-story building of nearly 221,000 square feet and a parking garage with approximately 870 stalls. The Company began its occupancy of a portion of the building in October 2021 and the remainder of the building is currently 100% leased. The Company plans to initiate future phases of the Center53 Development for additional Class A office space in the central valley of Salt Lake 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insurance subsidiaries are subject to comprehensive regulations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 and annuity contracts, policy claims, unearned premiums, and other matters. The Company’s insurance subsidiaries are subject to this type of regulation in any state in which they conduct relevant business. Such regulations may cause unforeseen costs and operational restrictions, and delay implementation of the Company’s business plans.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life insurance subsidiaries are currently subject to regulations in Utah, Louisiana, Mississippi and Texas under insurance holding company legislation, and other states where applicable. Generally, intercompany transfers of assets and dividend payments from insurance subsidiaries are subject to prior notice of approval from the relevant state insurance department when they are deemed “extraordinary” under relevant state law. The insurance subsidiaries are required, under state insurance laws, to file detailed annual reports with the supervisory agencies in each of the states in which they do business. Their business and accounts are also subject to examination by these agencies every three to five years. The Company’s life insurance subsidiaries completed their last examinations in 2021 and 2022 for the period ending December 31, 2020 and the resulting final examination reports were approved by the insurance departments and are public records. Security National Life, First Guaranty, Kilpatrick, and Southern Security have received notice of a regularly scheduled multi-year examination for the years 2021-2024 that will commence in the second quarter of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Texas Department of Banking also audits pre-need insurance policies that are issued in the state of Texas. Pre-need policies include the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is also required to indicate the number of new policies issued for that year, all death claims paid that year, and all premiums received.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California, and New Mexico. The subsidiaries are required to keep annual reports on file including financial information concerning the number of spaces sold and, where applicable, funds provided to the Endowment Care Trust Fund. Licenses are issued annually based on such reports. The cemeteries maintain city or county licenses where they conduct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7"/>
          <w:szCs w:val="17"/>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procedures for loan origination and underwriting, licensing of brokers and loan officers and quality review audits and specify the fees that can be charged to borrowers. Each year, the Company is required to have an audit completed for its mortgage subsidiary by an independent registered public accounting firm to verify compliance with the relevant regulations. In addition to the government regulations, the Company must meet loan requirements, and underwriting guidelines of various investors who purchase the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insurance subsidiaries, Security National Life, First Guaranty and Kilpatrick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Under The Tax Cuts and Jobs Act (the “Tax Act”), December 31, 2017 policyholder surplus account balances result in taxable income over a period of eight years.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Security National Life, First Guaranty and Kilpatrick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non-life insurance company subsidiaries are taxed in general under the regular corporate tax provisions. The Company’s subsidiaries Southern Security and Trans-Western are regulated as life insurance companies but do not meet the Internal Revenue Code definition of a life insurance company, so they are taxed as insurance companies other than life insurance companies.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life insurance industry is highly competitive. There are approximately 700 legal reserve life insurance companies in business in the United States. These insurance companies differentiate themselves through marketing techniques, product features, pricing, and customer service. The Company’s insurance subsidiaries compete with many insurance companies, many of which have greater financial resources, longer business histories, and more diversified lines of insurance products than the Company. In addition, such companies generally have larger sales forces.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cemetery and mortuary industry are highly competitive. In the Utah, California, and New Mexico markets where the Company competes, there are several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pre-need sales program that is not incurred by those competitors which do not have a pre-need sales force. The Company believes that its products and prices are generally competitive with those in the industry.</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mortgage industry is highly competitive with many mortgage companies and banks in the same geographic area in which the Company is operating. The mortgage industry in general is sensitive to changes in interest rates and the refinancing market is particularly vulnerable to changes in interest rates.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business is generally not subject to seasonal fluctuations.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2024, the Company employed 1,186 full-time and 235 part-time employees. Of the full-time employees, 678 were employed by the mortgage segment, 388 by the life insurance segment, and 120 by the cemetery and mortuary segment. The Company requires monthly acknowledgement of its anti-discrimination and anti-harassment policies and communicates to its employees how to report concerns that relate to their employment experience.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Benefits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eligible employees may elect coverage under the Company’s group health (including health savings and flexible spending), retirement, supplemental life and voluntary benefit programs. As of December 31, 2024, 757 employees had elected to participate in the Company’s group health insurance plans.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sponsors a 401(k) retirement plan for each business segment. These retirement plans qualify under section 401(k) of the Internal Revenue Code and, if approved by the Company’s Board of Directors, the Company makes a matching contribution in Company stock based on the employee’s contribution amount.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provides other time off benefits such as paid sick time and paid vacation time. The Company provides discounts on certain services provided by the Company to its employees. Additionally, the Company offers an employee assistance program that provides 24/7 counseling services for employees who may be facing challenges outside of the workplace.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internet address is www.securitynational.com. The Company’s investor relations website is www.investor.securitynational.com and the Company promptly makes available on this website, free of charge, the reports that it files or furnishes with the Securities and Exchange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the Company is not required to provide information typically disclosed under this item.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 As a smaller reporting company, the Company is not required to provide information typically disclosed under this item.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maintains a strong information security program and systems (“Cybersecurity System”) to guard against unauthorized access, malicious software, corruption of data, disruption of its networks and systems and unauthorized release of confidential information. The Company’s Cybersecurity System is comprised of multiple layers of controls to reduce the risk of cybersecurity incidents.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 and Strategy</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Company’s Cybersecurity System includes administrative, technical, and physical safeguards and is designed to provide an appropriate level of protection to maintain the confidentiality, integrity and availability of the Company’s and its customers’ information. This includes protecting against known and evolving threats to the security of the Company’s systems and information, and against unauthorized access, compromise, or loss of data. The Cybersecurity System is managed centrally, so the same security controls, policies and procedures are implemented across the organization. The Company maintains cybersecurity policies including an Acceptable Use Policy that all system users sign to acknowledge that they understand their security responsibilities. All system users receive security awareness training which includes phishing attack simulation testing.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7"/>
          <w:szCs w:val="17"/>
          <w:color w:val="auto"/>
        </w:rPr>
        <w:t>A key element of the Company’s Cybersecurity System is to mature the program to align with the Center for Internet Security (CIS) Critical Security Controls security framework. CIS controls are designed based on real-world data about cyber-attacks, to ensure that the measures are effective against current threats. The framework provides a prioritized set of actions, which enables the Company to focus its efforts on the most effective defensive measures first. This prioritization helps in optimizing the use of resources for maximum impact on security. This strategy provides a structured and effective approach to cybersecurity, helping the Company to protect its assets, comply with regulations, manage risks, and improve its overall security posture.</w:t>
      </w:r>
    </w:p>
    <w:p>
      <w:pPr>
        <w:spacing w:after="0" w:line="17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The Company maintains cyber insurance coverage that may, subject to policy terms, conditions, and limitations, cover certain aspects of cybersecurity risks; however, such insurance coverage may be unavailable or insufficient to cover all losses or all types of claims that may arise in the continually evolving area of cyber risk.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established controls and procedures to escalate enterprise-level issues, including cybersecurity matters, to the appropriate management levels within its organization and to its Board of Directors, or members or committees thereof, as appropriate. The Company’s Board of Directors has oversight for enterprise risk management, including its approach to managing cybersecurity risk, and has delegated oversight responsibility of information security risks to its Audit Committee. Matters determined to present potential material impacts to the Company’s financial results, operations, and/or reputation are reported by management to the Company’s Board of Directors or its Audit Committee, as appropriate, in accordance with its escalation framework.</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addition, the Company has established procedures to ensure that management personnel are informed in a timely manner of known cybersecurity risks and incidents that may materially impact the Company’s operations and that timely public disclosure is made as appropriate. The Company’s Cybersecurity System is led by the Chief Information Officer (“CIO”) in collaboration with a third-party virtual Chief Information Security Officer (“vCISO”) and other third-party cybersecurity service providers which in turn assist in monitoring the Company’s exposure from significant information technology suppliers, significant software as service providers and major vendors with access to the Company’s information technology systems. The Company’s CIO has 10+ years of cybersecurity industry experience. Further, team members who support the Company’s cybersecurity program have relevant educational and industry experience through various roles involving information technology, security, auditing, compliance, systems, and programming, as well as cybersecurity certifications such as a Certified Information Systems Security Professional (CISSP) and Certified Information Security Manager (CISM). During the last three years, the Company has not experienced a material security breach and, as a result, the Company has not incurred any material expenses from such a breach. Furthermore, during such time, the Company has not been penalized or paid any amount under any information security breach settlement.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2. Properties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03"/>
        </w:trPr>
        <w:tc>
          <w:tcPr>
            <w:tcW w:w="904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The tables below set forth the location of the Company’s office facilities and certain other information relating to these properties.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7"/>
        </w:trPr>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Approximate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Owned /</w:t>
            </w:r>
          </w:p>
        </w:tc>
        <w:tc>
          <w:tcPr>
            <w:tcW w:w="2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Square</w:t>
            </w:r>
          </w:p>
        </w:tc>
        <w:tc>
          <w:tcPr>
            <w:tcW w:w="120" w:type="dxa"/>
            <w:vAlign w:val="bottom"/>
          </w:tcPr>
          <w:p>
            <w:pPr>
              <w:spacing w:after="0"/>
              <w:rPr>
                <w:sz w:val="17"/>
                <w:szCs w:val="17"/>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Lease</w:t>
            </w:r>
          </w:p>
        </w:tc>
        <w:tc>
          <w:tcPr>
            <w:tcW w:w="1000" w:type="dxa"/>
            <w:vAlign w:val="bottom"/>
          </w:tcPr>
          <w:p>
            <w:pPr>
              <w:spacing w:after="0"/>
              <w:rPr>
                <w:sz w:val="17"/>
                <w:szCs w:val="17"/>
                <w:color w:val="auto"/>
              </w:rPr>
            </w:pPr>
          </w:p>
        </w:tc>
      </w:tr>
      <w:tr>
        <w:trPr>
          <w:trHeight w:val="218"/>
        </w:trPr>
        <w:tc>
          <w:tcPr>
            <w:tcW w:w="360" w:type="dxa"/>
            <w:vAlign w:val="bottom"/>
          </w:tcPr>
          <w:p>
            <w:pPr>
              <w:spacing w:after="0"/>
              <w:rPr>
                <w:sz w:val="18"/>
                <w:szCs w:val="18"/>
                <w:color w:val="auto"/>
              </w:rPr>
            </w:pPr>
          </w:p>
        </w:tc>
        <w:tc>
          <w:tcPr>
            <w:tcW w:w="20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Street</w:t>
            </w:r>
          </w:p>
        </w:tc>
        <w:tc>
          <w:tcPr>
            <w:tcW w:w="178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City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Function</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Leased</w:t>
            </w: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Footage</w:t>
            </w: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Amount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Expiration</w:t>
            </w:r>
          </w:p>
        </w:tc>
      </w:tr>
      <w:tr>
        <w:trPr>
          <w:trHeight w:val="178"/>
        </w:trPr>
        <w:tc>
          <w:tcPr>
            <w:tcW w:w="36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Corporate</w:t>
            </w: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2"/>
        </w:trPr>
        <w:tc>
          <w:tcPr>
            <w:tcW w:w="3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Headquarters,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3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Operations,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3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Cemetery and</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3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Mortuary Operations,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433 W. Ascension Way, Floors</w:t>
            </w: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Operations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 5 and 6</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Salt Lake City</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Owned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0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1818</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Marshall St.</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Shreveport</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Insurance Operations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Owned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12,274</w:t>
            </w:r>
          </w:p>
        </w:tc>
        <w:tc>
          <w:tcPr>
            <w:tcW w:w="12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02"/>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812 Sheppard St.</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Minden</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Owned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0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4901</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Memory Lane</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Holladay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Funeral Service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Owned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185"/>
        </w:trPr>
        <w:tc>
          <w:tcPr>
            <w:tcW w:w="3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1080</w:t>
            </w:r>
          </w:p>
        </w:tc>
        <w:tc>
          <w:tcPr>
            <w:tcW w:w="206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River Oaks Drive Suite</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#B204</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Flowood</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MS</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3,916/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8/31/2028</w:t>
            </w:r>
          </w:p>
        </w:tc>
      </w:tr>
      <w:tr>
        <w:trPr>
          <w:trHeight w:val="202"/>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 Sanctuary Blvd #302</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Manderville</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Insurance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2,146/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6/30/2025</w:t>
            </w:r>
          </w:p>
        </w:tc>
      </w:tr>
      <w:tr>
        <w:trPr>
          <w:trHeight w:val="202"/>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79 E. Main Street</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Midway</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Funeral Service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6,233/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10/31/2025</w:t>
            </w:r>
          </w:p>
        </w:tc>
      </w:tr>
      <w:tr>
        <w:trPr>
          <w:trHeight w:val="20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4387</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500 W.</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Salt Lake City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Funeral Service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1,895/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7/31/2025</w:t>
            </w:r>
          </w:p>
        </w:tc>
      </w:tr>
      <w:tr>
        <w:trPr>
          <w:trHeight w:val="185"/>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1627A Central Ave.</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 Alamos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NM</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Funeral Service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Fast Funding</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200 Market Way</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Rainbow City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AL</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Operations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12,850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10,910/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1/31/2027</w:t>
            </w:r>
          </w:p>
        </w:tc>
      </w:tr>
      <w:tr>
        <w:trPr>
          <w:trHeight w:val="186"/>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Fast Funding</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500 W Main St. #106</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Russellville</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5100</w:t>
            </w:r>
          </w:p>
        </w:tc>
        <w:tc>
          <w:tcPr>
            <w:tcW w:w="20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 99th Ave., Suite</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Sub-</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101/103</w:t>
            </w:r>
          </w:p>
        </w:tc>
        <w:tc>
          <w:tcPr>
            <w:tcW w:w="2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Phoenix</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AZ</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3,586/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1490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 Price Road, Suite 318</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Chandler</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AZ</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3,840/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6/30/2025</w:t>
            </w: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1951</w:t>
            </w:r>
          </w:p>
        </w:tc>
        <w:tc>
          <w:tcPr>
            <w:tcW w:w="20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West Camelback Rd, Ste</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200</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Phoenix</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AZ</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4,077/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1/31/2026</w:t>
            </w:r>
          </w:p>
        </w:tc>
      </w:tr>
      <w:tr>
        <w:trPr>
          <w:trHeight w:val="186"/>
        </w:trPr>
        <w:tc>
          <w:tcPr>
            <w:tcW w:w="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2220</w:t>
            </w:r>
          </w:p>
        </w:tc>
        <w:tc>
          <w:tcPr>
            <w:tcW w:w="20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S. Country Club Drive</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Suite 101</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Mesa</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AZ</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2/14/2028</w:t>
            </w:r>
          </w:p>
        </w:tc>
      </w:tr>
      <w:tr>
        <w:trPr>
          <w:trHeight w:val="20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6751</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 Sunset Blvd. #E260</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Glendale</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AZ</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5,319/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04/30/25</w:t>
            </w:r>
          </w:p>
        </w:tc>
      </w:tr>
      <w:tr>
        <w:trPr>
          <w:trHeight w:val="185"/>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7014</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 Camelback Rd. #B100A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Scottsdale</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AZ</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1,538/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1360</w:t>
            </w:r>
          </w:p>
        </w:tc>
        <w:tc>
          <w:tcPr>
            <w:tcW w:w="20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N Bullard Ave. #I-207 &amp;</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#J-208</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Goodyear</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AZ</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3,610/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8/31/2025</w:t>
            </w:r>
          </w:p>
        </w:tc>
      </w:tr>
      <w:tr>
        <w:trPr>
          <w:trHeight w:val="186"/>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40977 Oak Dr.</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Forest Falls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2934</w:t>
            </w:r>
          </w:p>
        </w:tc>
        <w:tc>
          <w:tcPr>
            <w:tcW w:w="20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E. Garvey Ave. South,</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Suite 250</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West Covina</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7398</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Fox Trail Unit B</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Yucca Valley</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155 S. Highway 101 Suite 7</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Solana Beach</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7,649/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7/31/2026</w:t>
            </w: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2455</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Bennett Valley Rd. #C107</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Santa Rosa</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1,729/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7/31/2025</w:t>
            </w:r>
          </w:p>
        </w:tc>
      </w:tr>
      <w:tr>
        <w:trPr>
          <w:trHeight w:val="185"/>
        </w:trPr>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78-065 Main St. #205C</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La Quinta</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27 Main St., Suite C-104B</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Edwards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1,950/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4501</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Mohawk Dr.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Larkspur</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Sub-</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7800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 Union Ave., Suite 550</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Denver</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11,834/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2/28/2026</w:t>
            </w:r>
          </w:p>
        </w:tc>
      </w:tr>
      <w:tr>
        <w:trPr>
          <w:trHeight w:val="185"/>
        </w:trPr>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5982 s Zeno Ct</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Aurora</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5475</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 Center Drive #201-A</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Colorado Springs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1,185/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12/31/2027</w:t>
            </w:r>
          </w:p>
        </w:tc>
      </w:tr>
      <w:tr>
        <w:trPr>
          <w:trHeight w:val="202"/>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447 Naubuc Ave. #110</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Glasonbury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2367/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3/31/2027</w:t>
            </w:r>
          </w:p>
        </w:tc>
      </w:tr>
      <w:tr>
        <w:trPr>
          <w:trHeight w:val="202"/>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84 Broad St. 2nd Fl #6</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Milford</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5/31/2025</w:t>
            </w: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8191</w:t>
            </w:r>
          </w:p>
        </w:tc>
        <w:tc>
          <w:tcPr>
            <w:tcW w:w="20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College Parkway, Suite</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201</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Ft Myers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FL</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4,676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4,871/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8/21/2025</w:t>
            </w: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2350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Fruitville Rd Ste, Ste 101</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Sarasota</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FL</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5,424/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3/14/2026</w:t>
            </w:r>
          </w:p>
        </w:tc>
      </w:tr>
      <w:tr>
        <w:trPr>
          <w:trHeight w:val="185"/>
        </w:trPr>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970 Island Grove Drive</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Deland</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FL</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3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10293 61st Ct N</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Pinellas Park</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FL</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250 International Pkwy #118</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Lake Mary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FL</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3,630/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3/31/2027</w:t>
            </w: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5666</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Seminole Blvd. #128</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Seminole</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FL</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785.00/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6/30/2025</w:t>
            </w:r>
          </w:p>
        </w:tc>
      </w:tr>
      <w:tr>
        <w:trPr>
          <w:trHeight w:val="202"/>
        </w:trPr>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900 Cricle 75 Parkway, Ste 175</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Atlanta</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GA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3,020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6,531/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6/30/2026</w:t>
            </w:r>
          </w:p>
        </w:tc>
      </w:tr>
      <w:tr>
        <w:trPr>
          <w:trHeight w:val="185"/>
        </w:trPr>
        <w:tc>
          <w:tcPr>
            <w:tcW w:w="3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6600</w:t>
            </w:r>
          </w:p>
        </w:tc>
        <w:tc>
          <w:tcPr>
            <w:tcW w:w="206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Peachtree Dunwoody Rd,</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Ste 135</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Atlanta</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5,138/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3/31/2026</w:t>
            </w:r>
          </w:p>
        </w:tc>
      </w:tr>
      <w:tr>
        <w:trPr>
          <w:trHeight w:val="185"/>
        </w:trPr>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2570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Stonevalley Ln Cumming</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Atlanta</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GA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3330</w:t>
            </w:r>
          </w:p>
        </w:tc>
        <w:tc>
          <w:tcPr>
            <w:tcW w:w="20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Cumberland Blvd. Suite</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500 #62</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Atlanta</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1,190/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9"/>
              </w:rPr>
              <w:t>3330</w:t>
            </w:r>
          </w:p>
        </w:tc>
        <w:tc>
          <w:tcPr>
            <w:tcW w:w="20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Cumberland Blvd. Suite</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500 #63</w:t>
            </w:r>
          </w:p>
        </w:tc>
        <w:tc>
          <w:tcPr>
            <w:tcW w:w="2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Atlanta</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GA</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860/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82"/>
        </w:trPr>
        <w:tc>
          <w:tcPr>
            <w:tcW w:w="3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49"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3330</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Cumberland Blvd. Suite</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Atlanta</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GA</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 to</w:t>
            </w:r>
          </w:p>
        </w:tc>
        <w:tc>
          <w:tcPr>
            <w:tcW w:w="0" w:type="dxa"/>
            <w:vAlign w:val="bottom"/>
          </w:tcPr>
          <w:p>
            <w:pPr>
              <w:spacing w:after="0"/>
              <w:rPr>
                <w:sz w:val="1"/>
                <w:szCs w:val="1"/>
                <w:color w:val="auto"/>
              </w:rPr>
            </w:pP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500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#65</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c>
          <w:tcPr>
            <w:tcW w:w="0" w:type="dxa"/>
            <w:vAlign w:val="bottom"/>
          </w:tcPr>
          <w:p>
            <w:pPr>
              <w:spacing w:after="0"/>
              <w:rPr>
                <w:sz w:val="1"/>
                <w:szCs w:val="1"/>
                <w:color w:val="auto"/>
              </w:rPr>
            </w:pPr>
          </w:p>
        </w:tc>
      </w:tr>
      <w:tr>
        <w:trPr>
          <w:trHeight w:val="88"/>
        </w:trPr>
        <w:tc>
          <w:tcPr>
            <w:tcW w:w="360" w:type="dxa"/>
            <w:vAlign w:val="bottom"/>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auto"/>
                <w:w w:val="99"/>
              </w:rPr>
              <w:t>4370</w:t>
            </w:r>
          </w:p>
        </w:tc>
        <w:tc>
          <w:tcPr>
            <w:tcW w:w="1920" w:type="dxa"/>
            <w:vAlign w:val="bottom"/>
            <w:vMerge w:val="restart"/>
          </w:tcPr>
          <w:p>
            <w:pPr>
              <w:ind w:left="20"/>
              <w:spacing w:after="0" w:line="185" w:lineRule="exact"/>
              <w:rPr>
                <w:sz w:val="20"/>
                <w:szCs w:val="20"/>
                <w:color w:val="auto"/>
              </w:rPr>
            </w:pPr>
            <w:r>
              <w:rPr>
                <w:rFonts w:ascii="Times New Roman" w:cs="Times New Roman" w:eastAsia="Times New Roman" w:hAnsi="Times New Roman"/>
                <w:sz w:val="17"/>
                <w:szCs w:val="17"/>
                <w:color w:val="auto"/>
              </w:rPr>
              <w:t>Kukui Grove St., Suite</w:t>
            </w: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60" w:type="dxa"/>
            <w:vAlign w:val="bottom"/>
            <w:gridSpan w:val="2"/>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Lihue</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HI</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864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1,589/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2/28/2025</w:t>
            </w:r>
          </w:p>
        </w:tc>
        <w:tc>
          <w:tcPr>
            <w:tcW w:w="0" w:type="dxa"/>
            <w:vAlign w:val="bottom"/>
          </w:tcPr>
          <w:p>
            <w:pPr>
              <w:spacing w:after="0"/>
              <w:rPr>
                <w:sz w:val="1"/>
                <w:szCs w:val="1"/>
                <w:color w:val="auto"/>
              </w:rPr>
            </w:pPr>
          </w:p>
        </w:tc>
      </w:tr>
      <w:tr>
        <w:trPr>
          <w:trHeight w:val="202"/>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1001</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Kamokila Blvd.</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Kapolei</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HI</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1,865/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12/31/2025</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677</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Ala Moana Blvd. Suite 609</w:t>
            </w: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Honolulu</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HI</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716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2,270/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1/31/2025</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802</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West Bartlett Road</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Bartlett</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IL</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2,300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6,000/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12/31/2025</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c>
          <w:tcPr>
            <w:tcW w:w="0" w:type="dxa"/>
            <w:vAlign w:val="bottom"/>
          </w:tcPr>
          <w:p>
            <w:pPr>
              <w:spacing w:after="0"/>
              <w:rPr>
                <w:sz w:val="1"/>
                <w:szCs w:val="1"/>
                <w:color w:val="auto"/>
              </w:rPr>
            </w:pPr>
          </w:p>
        </w:tc>
      </w:tr>
      <w:tr>
        <w:trPr>
          <w:trHeight w:val="218"/>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81 Boulder Drive</w:t>
            </w: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Elizabethtown</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KY</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c>
          <w:tcPr>
            <w:tcW w:w="0" w:type="dxa"/>
            <w:vAlign w:val="bottom"/>
          </w:tcPr>
          <w:p>
            <w:pPr>
              <w:spacing w:after="0"/>
              <w:rPr>
                <w:sz w:val="1"/>
                <w:szCs w:val="1"/>
                <w:color w:val="auto"/>
              </w:rPr>
            </w:pPr>
          </w:p>
        </w:tc>
      </w:tr>
      <w:tr>
        <w:trPr>
          <w:trHeight w:val="202"/>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8684</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Veterans Hwy, Ste 101</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Millersville</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MD</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4,018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7,135/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7/31/2026</w:t>
            </w:r>
          </w:p>
        </w:tc>
        <w:tc>
          <w:tcPr>
            <w:tcW w:w="0" w:type="dxa"/>
            <w:vAlign w:val="bottom"/>
          </w:tcPr>
          <w:p>
            <w:pPr>
              <w:spacing w:after="0"/>
              <w:rPr>
                <w:sz w:val="1"/>
                <w:szCs w:val="1"/>
                <w:color w:val="auto"/>
              </w:rPr>
            </w:pPr>
          </w:p>
        </w:tc>
      </w:tr>
      <w:tr>
        <w:trPr>
          <w:trHeight w:val="185"/>
        </w:trPr>
        <w:tc>
          <w:tcPr>
            <w:tcW w:w="2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860</w:t>
            </w:r>
          </w:p>
        </w:tc>
        <w:tc>
          <w:tcPr>
            <w:tcW w:w="20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Blue Gentian Road Suite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Eagan</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MN</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383/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c>
          <w:tcPr>
            <w:tcW w:w="0" w:type="dxa"/>
            <w:vAlign w:val="bottom"/>
          </w:tcPr>
          <w:p>
            <w:pPr>
              <w:spacing w:after="0"/>
              <w:rPr>
                <w:sz w:val="1"/>
                <w:szCs w:val="1"/>
                <w:color w:val="auto"/>
              </w:rPr>
            </w:pP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c>
          <w:tcPr>
            <w:tcW w:w="0" w:type="dxa"/>
            <w:vAlign w:val="bottom"/>
          </w:tcPr>
          <w:p>
            <w:pPr>
              <w:spacing w:after="0"/>
              <w:rPr>
                <w:sz w:val="1"/>
                <w:szCs w:val="1"/>
                <w:color w:val="auto"/>
              </w:rPr>
            </w:pPr>
          </w:p>
        </w:tc>
      </w:tr>
      <w:tr>
        <w:trPr>
          <w:trHeight w:val="218"/>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4987</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Fall Creek Rd. Suite 1</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Branson</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MO</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1,400/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960</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24th St. West Suite I</w:t>
            </w: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Billings</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MT</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750/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739</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11th Avenue Blvd. SE</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Hickory</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NC</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5/31/2025</w:t>
            </w:r>
          </w:p>
        </w:tc>
        <w:tc>
          <w:tcPr>
            <w:tcW w:w="0" w:type="dxa"/>
            <w:vAlign w:val="bottom"/>
          </w:tcPr>
          <w:p>
            <w:pPr>
              <w:spacing w:after="0"/>
              <w:rPr>
                <w:sz w:val="1"/>
                <w:szCs w:val="1"/>
                <w:color w:val="auto"/>
              </w:rPr>
            </w:pPr>
          </w:p>
        </w:tc>
      </w:tr>
      <w:tr>
        <w:trPr>
          <w:trHeight w:val="185"/>
        </w:trPr>
        <w:tc>
          <w:tcPr>
            <w:tcW w:w="3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w w:val="99"/>
              </w:rPr>
              <w:t>1980</w:t>
            </w:r>
          </w:p>
        </w:tc>
        <w:tc>
          <w:tcPr>
            <w:tcW w:w="192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Festival Plaza Dr., Suite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Las Vegas</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NV</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12,866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47,862/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3/31/2027</w:t>
            </w:r>
          </w:p>
        </w:tc>
        <w:tc>
          <w:tcPr>
            <w:tcW w:w="0" w:type="dxa"/>
            <w:vAlign w:val="bottom"/>
          </w:tcPr>
          <w:p>
            <w:pPr>
              <w:spacing w:after="0"/>
              <w:rPr>
                <w:sz w:val="1"/>
                <w:szCs w:val="1"/>
                <w:color w:val="auto"/>
              </w:rPr>
            </w:pP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c>
          <w:tcPr>
            <w:tcW w:w="0" w:type="dxa"/>
            <w:vAlign w:val="bottom"/>
          </w:tcPr>
          <w:p>
            <w:pPr>
              <w:spacing w:after="0"/>
              <w:rPr>
                <w:sz w:val="1"/>
                <w:szCs w:val="1"/>
                <w:color w:val="auto"/>
              </w:rPr>
            </w:pP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840</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Pinnacle Ct., Suite 3</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Mesquite</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NV</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720/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c>
          <w:tcPr>
            <w:tcW w:w="0" w:type="dxa"/>
            <w:vAlign w:val="bottom"/>
          </w:tcPr>
          <w:p>
            <w:pPr>
              <w:spacing w:after="0"/>
              <w:rPr>
                <w:sz w:val="1"/>
                <w:szCs w:val="1"/>
                <w:color w:val="auto"/>
              </w:rPr>
            </w:pPr>
          </w:p>
        </w:tc>
      </w:tr>
      <w:tr>
        <w:trPr>
          <w:trHeight w:val="185"/>
        </w:trPr>
        <w:tc>
          <w:tcPr>
            <w:tcW w:w="3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w w:val="99"/>
              </w:rPr>
              <w:t>2635</w:t>
            </w:r>
          </w:p>
        </w:tc>
        <w:tc>
          <w:tcPr>
            <w:tcW w:w="192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St. Rose Pkwy, Suites D</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100, 110, 120</w:t>
            </w: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Hendeson</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NV</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5,788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13,029/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9/30/2025</w:t>
            </w:r>
          </w:p>
        </w:tc>
        <w:tc>
          <w:tcPr>
            <w:tcW w:w="0" w:type="dxa"/>
            <w:vAlign w:val="bottom"/>
          </w:tcPr>
          <w:p>
            <w:pPr>
              <w:spacing w:after="0"/>
              <w:rPr>
                <w:sz w:val="1"/>
                <w:szCs w:val="1"/>
                <w:color w:val="auto"/>
              </w:rPr>
            </w:pP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c>
          <w:tcPr>
            <w:tcW w:w="0" w:type="dxa"/>
            <w:vAlign w:val="bottom"/>
          </w:tcPr>
          <w:p>
            <w:pPr>
              <w:spacing w:after="0"/>
              <w:rPr>
                <w:sz w:val="1"/>
                <w:szCs w:val="1"/>
                <w:color w:val="auto"/>
              </w:rPr>
            </w:pPr>
          </w:p>
        </w:tc>
      </w:tr>
      <w:tr>
        <w:trPr>
          <w:trHeight w:val="218"/>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2546</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Findlater</w:t>
            </w: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Henderson</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NV</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c>
          <w:tcPr>
            <w:tcW w:w="0" w:type="dxa"/>
            <w:vAlign w:val="bottom"/>
          </w:tcPr>
          <w:p>
            <w:pPr>
              <w:spacing w:after="0"/>
              <w:rPr>
                <w:sz w:val="1"/>
                <w:szCs w:val="1"/>
                <w:color w:val="auto"/>
              </w:rPr>
            </w:pPr>
          </w:p>
        </w:tc>
      </w:tr>
      <w:tr>
        <w:trPr>
          <w:trHeight w:val="218"/>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1180 N Town Center Dr. #265</w:t>
            </w:r>
          </w:p>
        </w:tc>
        <w:tc>
          <w:tcPr>
            <w:tcW w:w="1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Las Vegas</w:t>
            </w:r>
          </w:p>
        </w:tc>
        <w:tc>
          <w:tcPr>
            <w:tcW w:w="1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NV</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2,638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7,650/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9/30/2027</w:t>
            </w:r>
          </w:p>
        </w:tc>
        <w:tc>
          <w:tcPr>
            <w:tcW w:w="0" w:type="dxa"/>
            <w:vAlign w:val="bottom"/>
          </w:tcPr>
          <w:p>
            <w:pPr>
              <w:spacing w:after="0"/>
              <w:rPr>
                <w:sz w:val="1"/>
                <w:szCs w:val="1"/>
                <w:color w:val="auto"/>
              </w:rPr>
            </w:pPr>
          </w:p>
        </w:tc>
      </w:tr>
      <w:tr>
        <w:trPr>
          <w:trHeight w:val="387"/>
        </w:trPr>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12</w:t>
            </w:r>
          </w:p>
        </w:tc>
        <w:tc>
          <w:tcPr>
            <w:tcW w:w="1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-3338195</wp:posOffset>
            </wp:positionV>
            <wp:extent cx="7141210" cy="255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2559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2. Properties (Continued)</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87"/>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Approximate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Owned /</w:t>
            </w:r>
          </w:p>
        </w:tc>
        <w:tc>
          <w:tcPr>
            <w:tcW w:w="2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Square</w:t>
            </w:r>
          </w:p>
        </w:tc>
        <w:tc>
          <w:tcPr>
            <w:tcW w:w="120" w:type="dxa"/>
            <w:vAlign w:val="bottom"/>
          </w:tcPr>
          <w:p>
            <w:pPr>
              <w:spacing w:after="0"/>
              <w:rPr>
                <w:sz w:val="17"/>
                <w:szCs w:val="17"/>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Lease</w:t>
            </w:r>
          </w:p>
        </w:tc>
        <w:tc>
          <w:tcPr>
            <w:tcW w:w="1000" w:type="dxa"/>
            <w:vAlign w:val="bottom"/>
          </w:tcPr>
          <w:p>
            <w:pPr>
              <w:spacing w:after="0"/>
              <w:rPr>
                <w:sz w:val="17"/>
                <w:szCs w:val="17"/>
                <w:color w:val="auto"/>
              </w:rPr>
            </w:pPr>
          </w:p>
        </w:tc>
      </w:tr>
      <w:tr>
        <w:trPr>
          <w:trHeight w:val="218"/>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Street</w:t>
            </w:r>
          </w:p>
        </w:tc>
        <w:tc>
          <w:tcPr>
            <w:tcW w:w="178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City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Function</w:t>
            </w: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Leased</w:t>
            </w: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Footage</w:t>
            </w: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Amount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Expiration</w:t>
            </w:r>
          </w:p>
        </w:tc>
      </w:tr>
      <w:tr>
        <w:trPr>
          <w:trHeight w:val="178"/>
        </w:trPr>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630</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 4th St. #100C</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Las Vegas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NV</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2,195/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401</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 Frontage Rd. #1</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Pahrump</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NV</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8/31/2025</w:t>
            </w:r>
          </w:p>
        </w:tc>
      </w:tr>
      <w:tr>
        <w:trPr>
          <w:trHeight w:val="185"/>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670</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Meridian Way, Suite 146</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Westerville</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OH</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644/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1000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 Wilshire Blvd. #220</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Oklahoma City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OK</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11592 SW Roundup Place</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Terrebonne</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OR</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709</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Pacific Ave</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Tillamook</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OR</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323</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NW 13th Ave. #403</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Portland</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OR</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9/30/2027</w:t>
            </w:r>
          </w:p>
        </w:tc>
      </w:tr>
      <w:tr>
        <w:trPr>
          <w:trHeight w:val="202"/>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3970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Post Rd. #2PH</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Warwick</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RI</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3/31/2025</w:t>
            </w:r>
          </w:p>
        </w:tc>
      </w:tr>
      <w:tr>
        <w:trPr>
          <w:trHeight w:val="185"/>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Sub-</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144</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Alf Taylor Rd.</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Johnson City</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TN</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1/31/2025</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1607</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Solitude Ct.</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Spring Hill</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TN</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3292</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Winbrook Dr.</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Memphis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TN</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3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w w:val="99"/>
              </w:rPr>
              <w:t>1213</w:t>
            </w:r>
          </w:p>
        </w:tc>
        <w:tc>
          <w:tcPr>
            <w:tcW w:w="20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East Alton Gloor Blvd.,</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Suite H</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Brownsville</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2/28/2025</w:t>
            </w: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722</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Kiowa Dr. West</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Lake Kiowa</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23227 Red River Drive</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Katy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4500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1-40 West, Suite B</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Amarillo</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12/31/2025</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30417 Fifth Street Suite B</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Fulshear</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1,311/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4908</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Midkiff Road</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Midland</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462</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Mid Cities Boulevard</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Hurst</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3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99"/>
              </w:rPr>
              <w:t>2600</w:t>
            </w:r>
          </w:p>
        </w:tc>
        <w:tc>
          <w:tcPr>
            <w:tcW w:w="20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South Shore Boulevard,</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Suite 300</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League City</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823/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4/30/2025</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1600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Lee Travino, Suite A-1</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El Paso</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2,110/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1777</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 Loop 410, Suite 600</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 Antonio</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1,140/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299</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South Columbia,</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Stephenville</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6,500/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4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10000 Central Expressway Ste</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428</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Dallas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12/31/2025</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5757</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Flewellen Oaks Ln #104</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Fulshear</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2100</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Kramer Ln. #900</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Austin</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10,329/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7/31/2029</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10024 County Rd. 1016</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Burleson</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2001</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Timberloch Pl. #500-31</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Woodlands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7/1/2025</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1526</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Katy Gap Rd. #802</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Katy</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4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14090 SW Freeway Suite 300</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#374</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Sugar Land</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1,077/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800</w:t>
            </w:r>
          </w:p>
        </w:tc>
        <w:tc>
          <w:tcPr>
            <w:tcW w:w="2140" w:type="dxa"/>
            <w:vAlign w:val="bottom"/>
            <w:gridSpan w:val="3"/>
          </w:tcPr>
          <w:p>
            <w:pPr>
              <w:ind w:left="20"/>
              <w:spacing w:after="0" w:line="185" w:lineRule="exact"/>
              <w:rPr>
                <w:sz w:val="20"/>
                <w:szCs w:val="20"/>
                <w:color w:val="auto"/>
              </w:rPr>
            </w:pPr>
            <w:r>
              <w:rPr>
                <w:rFonts w:ascii="Times New Roman" w:cs="Times New Roman" w:eastAsia="Times New Roman" w:hAnsi="Times New Roman"/>
                <w:sz w:val="17"/>
                <w:szCs w:val="17"/>
                <w:color w:val="auto"/>
              </w:rPr>
              <w:t>Town &amp; Country Blvd.,</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Suite 500 #369</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Austin</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793/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800</w:t>
            </w:r>
          </w:p>
        </w:tc>
        <w:tc>
          <w:tcPr>
            <w:tcW w:w="2140" w:type="dxa"/>
            <w:vAlign w:val="bottom"/>
            <w:gridSpan w:val="3"/>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Town &amp; Country Blvd.,</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Suite 500 #370</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Austin</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793/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801</w:t>
            </w:r>
          </w:p>
        </w:tc>
        <w:tc>
          <w:tcPr>
            <w:tcW w:w="2140" w:type="dxa"/>
            <w:vAlign w:val="bottom"/>
            <w:gridSpan w:val="3"/>
          </w:tcPr>
          <w:p>
            <w:pPr>
              <w:ind w:left="20"/>
              <w:spacing w:after="0" w:line="185" w:lineRule="exact"/>
              <w:rPr>
                <w:sz w:val="20"/>
                <w:szCs w:val="20"/>
                <w:color w:val="auto"/>
              </w:rPr>
            </w:pPr>
            <w:r>
              <w:rPr>
                <w:rFonts w:ascii="Times New Roman" w:cs="Times New Roman" w:eastAsia="Times New Roman" w:hAnsi="Times New Roman"/>
                <w:sz w:val="17"/>
                <w:szCs w:val="17"/>
                <w:color w:val="auto"/>
              </w:rPr>
              <w:t>Town &amp; Country Blvd.,</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Suite 500 #371</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Austin</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TX</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793/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126</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 Sego Lily Dr., Suite 126</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Sandy</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7,090/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1/31/2027</w:t>
            </w:r>
          </w:p>
        </w:tc>
      </w:tr>
      <w:tr>
        <w:trPr>
          <w:trHeight w:val="202"/>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497</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 Main</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Ephraim</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4/30/2025</w:t>
            </w:r>
          </w:p>
        </w:tc>
      </w:tr>
      <w:tr>
        <w:trPr>
          <w:trHeight w:val="202"/>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11240 S. River Heights Dr.</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 Jordan</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8,468/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11/30/2026</w:t>
            </w:r>
          </w:p>
        </w:tc>
      </w:tr>
      <w:tr>
        <w:trPr>
          <w:trHeight w:val="202"/>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1350</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 300 S. 3rd Floor</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Lehi</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15,446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39,542/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12/22/2026</w:t>
            </w:r>
          </w:p>
        </w:tc>
      </w:tr>
      <w:tr>
        <w:trPr>
          <w:trHeight w:val="185"/>
        </w:trPr>
        <w:tc>
          <w:tcPr>
            <w:tcW w:w="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9"/>
              </w:rPr>
              <w:t>2455</w:t>
            </w:r>
          </w:p>
        </w:tc>
        <w:tc>
          <w:tcPr>
            <w:tcW w:w="206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 Parleys Way, Suites 120</w:t>
            </w: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8"/>
        </w:trPr>
        <w:tc>
          <w:tcPr>
            <w:tcW w:w="2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&amp; 150</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Salt Lake City</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9,186/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7/31/2030</w:t>
            </w:r>
          </w:p>
        </w:tc>
      </w:tr>
      <w:tr>
        <w:trPr>
          <w:trHeight w:val="185"/>
        </w:trPr>
        <w:tc>
          <w:tcPr>
            <w:tcW w:w="2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859</w:t>
            </w:r>
          </w:p>
        </w:tc>
        <w:tc>
          <w:tcPr>
            <w:tcW w:w="2140" w:type="dxa"/>
            <w:vAlign w:val="bottom"/>
            <w:gridSpan w:val="3"/>
          </w:tcPr>
          <w:p>
            <w:pPr>
              <w:ind w:left="20"/>
              <w:spacing w:after="0" w:line="185" w:lineRule="exact"/>
              <w:rPr>
                <w:sz w:val="20"/>
                <w:szCs w:val="20"/>
                <w:color w:val="auto"/>
              </w:rPr>
            </w:pPr>
            <w:r>
              <w:rPr>
                <w:rFonts w:ascii="Times New Roman" w:cs="Times New Roman" w:eastAsia="Times New Roman" w:hAnsi="Times New Roman"/>
                <w:sz w:val="17"/>
                <w:szCs w:val="17"/>
                <w:color w:val="auto"/>
              </w:rPr>
              <w:t>W South Jordan Pkwy,</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Suite 101,</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South Jordan</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3,376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6,360/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5/30/2025</w:t>
            </w:r>
          </w:p>
        </w:tc>
      </w:tr>
      <w:tr>
        <w:trPr>
          <w:trHeight w:val="186"/>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768</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 1600 W., Suite B</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Mapleton</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4,240/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998</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 1200 W, Suite 104 Orem</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Orem</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2,162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5,648/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162</w:t>
            </w:r>
          </w:p>
        </w:tc>
        <w:tc>
          <w:tcPr>
            <w:tcW w:w="2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 400 E #C205</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 George</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2,297/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4/30/2026</w:t>
            </w:r>
          </w:p>
        </w:tc>
      </w:tr>
      <w:tr>
        <w:trPr>
          <w:trHeight w:val="202"/>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500</w:t>
            </w:r>
          </w:p>
        </w:tc>
        <w:tc>
          <w:tcPr>
            <w:tcW w:w="21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 Village Blvd. #108</w:t>
            </w:r>
          </w:p>
        </w:tc>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Stansbury Park</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UT</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600/ mo</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4/30/2025</w:t>
            </w:r>
          </w:p>
        </w:tc>
      </w:tr>
      <w:tr>
        <w:trPr>
          <w:trHeight w:val="185"/>
        </w:trPr>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15650 NE Fourth Blvd Ste 101</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Vancouver</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Sales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Leased</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485/ mo</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bl>
    <w:p>
      <w:pPr>
        <w:sectPr>
          <w:pgSz w:w="11900" w:h="16838" w:orient="portrait"/>
          <w:cols w:equalWidth="0" w:num="1">
            <w:col w:w="11240"/>
          </w:cols>
          <w:pgMar w:left="320" w:top="649" w:right="3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1508 24th Ave., Suite 23</w:t>
            </w:r>
          </w:p>
        </w:tc>
        <w:tc>
          <w:tcPr>
            <w:tcW w:w="1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Kenosha</w:t>
            </w:r>
          </w:p>
        </w:tc>
        <w:tc>
          <w:tcPr>
            <w:tcW w:w="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WI</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250</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150/ mo</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27903 99th St.</w:t>
            </w:r>
          </w:p>
        </w:tc>
        <w:tc>
          <w:tcPr>
            <w:tcW w:w="1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Trevor</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WI</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300</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150/ mo</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645</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3rd St. #7</w:t>
            </w:r>
          </w:p>
        </w:tc>
        <w:tc>
          <w:tcPr>
            <w:tcW w:w="1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Beloit</w:t>
            </w:r>
          </w:p>
        </w:tc>
        <w:tc>
          <w:tcPr>
            <w:tcW w:w="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WI</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110</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567/ mo</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6"/>
        </w:trPr>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2527 S Business Dr.</w:t>
            </w:r>
          </w:p>
        </w:tc>
        <w:tc>
          <w:tcPr>
            <w:tcW w:w="1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Sheboygan</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WI</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980</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1,200/ mo</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202"/>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14775 W National Ave.</w:t>
            </w:r>
          </w:p>
        </w:tc>
        <w:tc>
          <w:tcPr>
            <w:tcW w:w="1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New Berlin</w:t>
            </w:r>
          </w:p>
        </w:tc>
        <w:tc>
          <w:tcPr>
            <w:tcW w:w="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WI</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2,390</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2,000/ mo</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9/1/2026</w:t>
            </w:r>
          </w:p>
        </w:tc>
      </w:tr>
      <w:tr>
        <w:trPr>
          <w:trHeight w:val="185"/>
        </w:trPr>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255</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 2nd St. #1</w:t>
            </w:r>
          </w:p>
        </w:tc>
        <w:tc>
          <w:tcPr>
            <w:tcW w:w="1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Powell</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WY</w:t>
            </w:r>
          </w:p>
        </w:tc>
        <w:tc>
          <w:tcPr>
            <w:tcW w:w="1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200</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300/ mo</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month</w:t>
            </w:r>
          </w:p>
        </w:tc>
      </w:tr>
      <w:tr>
        <w:trPr>
          <w:trHeight w:val="185"/>
        </w:trPr>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month to</w:t>
            </w:r>
          </w:p>
        </w:tc>
      </w:tr>
      <w:tr>
        <w:trPr>
          <w:trHeight w:val="218"/>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288</w:t>
            </w: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Scrub Oak Dr.</w:t>
            </w:r>
          </w:p>
        </w:tc>
        <w:tc>
          <w:tcPr>
            <w:tcW w:w="1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Star Valley Ranch</w:t>
            </w:r>
          </w:p>
        </w:tc>
        <w:tc>
          <w:tcPr>
            <w:tcW w:w="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WY</w:t>
            </w:r>
          </w:p>
        </w:tc>
        <w:tc>
          <w:tcPr>
            <w:tcW w:w="1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Mortgage Sales</w:t>
            </w:r>
          </w:p>
        </w:tc>
        <w:tc>
          <w:tcPr>
            <w:tcW w:w="1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Leased</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 mo</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month</w:t>
            </w:r>
          </w:p>
        </w:tc>
      </w:tr>
    </w:tbl>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believes the office facilities it occupies are in good operating condition and adequate for current operations. The Company will generally enter into additional leases, modify existing leases or extend current leases based on its assessments of current market demand for its services. Those leases are expected to be month to month where possible.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Item 2. Properties (Continued)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summarizes the location and acreage of the seven Company owned cemeteries, each of which includes one or more mausoleums. The acreage represents estimates of acres that are based upon survey reports, title reports, appraisal reports, or the Company’s inspection of the cemeteries. The Company estimates that there are approximately 1,200 spaces per developed acre.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Net Saleable Acreage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320"/>
              <w:spacing w:after="0" w:line="178" w:lineRule="exact"/>
              <w:rPr>
                <w:sz w:val="20"/>
                <w:szCs w:val="20"/>
                <w:color w:val="auto"/>
              </w:rPr>
            </w:pPr>
            <w:r>
              <w:rPr>
                <w:rFonts w:ascii="Times New Roman" w:cs="Times New Roman" w:eastAsia="Times New Roman" w:hAnsi="Times New Roman"/>
                <w:sz w:val="17"/>
                <w:szCs w:val="17"/>
                <w:color w:val="auto"/>
                <w:w w:val="95"/>
              </w:rPr>
              <w:t>Acres</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Sold as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Cemetery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Date</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w w:val="97"/>
              </w:rPr>
              <w:t>Developed</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Spaces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Available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Name of Cemetery</w:t>
            </w:r>
          </w:p>
        </w:tc>
        <w:tc>
          <w:tcPr>
            <w:tcW w:w="220" w:type="dxa"/>
            <w:vAlign w:val="bottom"/>
          </w:tcPr>
          <w:p>
            <w:pPr>
              <w:spacing w:after="0"/>
              <w:rPr>
                <w:sz w:val="18"/>
                <w:szCs w:val="18"/>
                <w:color w:val="auto"/>
              </w:rPr>
            </w:pPr>
          </w:p>
        </w:tc>
        <w:tc>
          <w:tcPr>
            <w:tcW w:w="3840" w:type="dxa"/>
            <w:vAlign w:val="bottom"/>
            <w:gridSpan w:val="2"/>
          </w:tcPr>
          <w:p>
            <w:pPr>
              <w:ind w:left="1500"/>
              <w:spacing w:after="0"/>
              <w:rPr>
                <w:sz w:val="20"/>
                <w:szCs w:val="20"/>
                <w:color w:val="auto"/>
              </w:rPr>
            </w:pPr>
            <w:r>
              <w:rPr>
                <w:rFonts w:ascii="Times New Roman" w:cs="Times New Roman" w:eastAsia="Times New Roman" w:hAnsi="Times New Roman"/>
                <w:sz w:val="17"/>
                <w:szCs w:val="17"/>
                <w:color w:val="auto"/>
              </w:rPr>
              <w:t>Location</w:t>
            </w: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Acquired</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Acreage</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Acreage</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Acreage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Memorial Estates, Inc.</w:t>
            </w:r>
          </w:p>
        </w:tc>
        <w:tc>
          <w:tcPr>
            <w:tcW w:w="220" w:type="dxa"/>
            <w:vAlign w:val="bottom"/>
            <w:tcBorders>
              <w:top w:val="single" w:sz="8" w:color="CCEEFF"/>
            </w:tcBorders>
            <w:shd w:val="clear" w:color="auto" w:fill="CCEEFF"/>
          </w:tcPr>
          <w:p>
            <w:pPr>
              <w:spacing w:after="0"/>
              <w:rPr>
                <w:sz w:val="15"/>
                <w:szCs w:val="15"/>
                <w:color w:val="auto"/>
              </w:rPr>
            </w:pPr>
          </w:p>
        </w:tc>
        <w:tc>
          <w:tcPr>
            <w:tcW w:w="36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1640 East Lakeview Drive</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Lakeview Cemetery</w:t>
            </w:r>
          </w:p>
        </w:tc>
        <w:tc>
          <w:tcPr>
            <w:tcW w:w="4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Bountiful, Utah</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Memorial Estates, Inc.</w:t>
            </w:r>
          </w:p>
        </w:tc>
        <w:tc>
          <w:tcPr>
            <w:tcW w:w="406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3115 East 7800 South</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Mountain View Cemetery</w:t>
            </w:r>
          </w:p>
        </w:tc>
        <w:tc>
          <w:tcPr>
            <w:tcW w:w="4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Salt Lake City, Utah</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Memorial Estates, Inc.</w:t>
            </w:r>
          </w:p>
        </w:tc>
        <w:tc>
          <w:tcPr>
            <w:tcW w:w="406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6500 South Redwood Road</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Redwood Cemetery</w:t>
            </w:r>
          </w:p>
        </w:tc>
        <w:tc>
          <w:tcPr>
            <w:tcW w:w="4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West Jordan, Utah</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Deseret Memorial Inc.</w:t>
            </w:r>
          </w:p>
        </w:tc>
        <w:tc>
          <w:tcPr>
            <w:tcW w:w="406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10055 South State Street</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Lake Hills Cemetery</w:t>
            </w:r>
          </w:p>
        </w:tc>
        <w:tc>
          <w:tcPr>
            <w:tcW w:w="4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Sandy, Utah</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Holladay Memorial Park, Inc.</w:t>
            </w:r>
          </w:p>
        </w:tc>
        <w:tc>
          <w:tcPr>
            <w:tcW w:w="406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4900 South Memory Lane</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Holladay Memorial Park</w:t>
            </w:r>
          </w:p>
        </w:tc>
        <w:tc>
          <w:tcPr>
            <w:tcW w:w="4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Holladay, Utah</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7"/>
              </w:rPr>
              <w:t>California Memorial Estates, Inc.</w:t>
            </w:r>
          </w:p>
        </w:tc>
        <w:tc>
          <w:tcPr>
            <w:tcW w:w="406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2800 Dehesa Road</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Singing Hills Memorial Park</w:t>
            </w:r>
          </w:p>
        </w:tc>
        <w:tc>
          <w:tcPr>
            <w:tcW w:w="4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El Cajon, California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 (2)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7"/>
              </w:rPr>
              <w:t>SNR-SF Cemetery LLC Santa Fe</w:t>
            </w:r>
          </w:p>
        </w:tc>
        <w:tc>
          <w:tcPr>
            <w:tcW w:w="4060" w:type="dxa"/>
            <w:vAlign w:val="bottom"/>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rPr>
              <w:t>417 Rodeo Rd</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Memorial Gardens</w:t>
            </w:r>
          </w:p>
        </w:tc>
        <w:tc>
          <w:tcPr>
            <w:tcW w:w="4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Santa Fe, New Mexico</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 (3)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reserved and occupied spaces.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an open easement with a total acreage of approximately 62 acres.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five main columbariums that can hold approximately 6,000 inurnments.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Item 2. Properties (Continued)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location, square footage and the number of viewing rooms and chapels of the twelve Company owned mortuaries: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Date</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Viewing</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Square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Name of Mortuary</w:t>
            </w:r>
          </w:p>
        </w:tc>
        <w:tc>
          <w:tcPr>
            <w:tcW w:w="34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Location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Acquired</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Room(s)</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Chapel(s)</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Footage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Memorial Mortuary, Inc.</w:t>
            </w:r>
          </w:p>
        </w:tc>
        <w:tc>
          <w:tcPr>
            <w:tcW w:w="2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gridSpan w:val="4"/>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5850 South 900 East, Murray,</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Memorial Mortuary</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Utah</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1973</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Affordable Funerals and</w:t>
            </w:r>
          </w:p>
        </w:tc>
        <w:tc>
          <w:tcPr>
            <w:tcW w:w="2360" w:type="dxa"/>
            <w:vAlign w:val="bottom"/>
            <w:gridSpan w:val="5"/>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157 East Riverside Dr., No. 3A,</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Cremations, St. George</w:t>
            </w: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 George, Utah</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2016</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2,360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Memorial Estates, Inc.</w:t>
            </w:r>
          </w:p>
        </w:tc>
        <w:tc>
          <w:tcPr>
            <w:tcW w:w="3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3"/>
              </w:rPr>
              <w:t>6500</w:t>
            </w:r>
          </w:p>
        </w:tc>
        <w:tc>
          <w:tcPr>
            <w:tcW w:w="6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South</w:t>
            </w:r>
          </w:p>
        </w:tc>
        <w:tc>
          <w:tcPr>
            <w:tcW w:w="7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Redwood</w:t>
            </w:r>
          </w:p>
        </w:tc>
        <w:tc>
          <w:tcPr>
            <w:tcW w:w="58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Rd.,</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Redwood Mortuary (1)</w:t>
            </w: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West Jordan, Utah</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1973</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Memorial Estates, Inc.</w:t>
            </w:r>
          </w:p>
        </w:tc>
        <w:tc>
          <w:tcPr>
            <w:tcW w:w="2360" w:type="dxa"/>
            <w:vAlign w:val="bottom"/>
            <w:gridSpan w:val="5"/>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3115  East  7800  South,  Salt</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Mountain View Mortuary (1)</w:t>
            </w: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Lake City, Utah</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1973</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Memorial Estates, Inc.</w:t>
            </w:r>
          </w:p>
        </w:tc>
        <w:tc>
          <w:tcPr>
            <w:tcW w:w="3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3"/>
              </w:rPr>
              <w:t>1640</w:t>
            </w:r>
          </w:p>
        </w:tc>
        <w:tc>
          <w:tcPr>
            <w:tcW w:w="6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East</w:t>
            </w:r>
          </w:p>
        </w:tc>
        <w:tc>
          <w:tcPr>
            <w:tcW w:w="7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Lakeview</w:t>
            </w:r>
          </w:p>
        </w:tc>
        <w:tc>
          <w:tcPr>
            <w:tcW w:w="58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Dr.,</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Lakeview Mortuary (1)</w:t>
            </w: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Bountiful, Utah</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1973</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Deseret Memorial Inc.</w:t>
            </w:r>
          </w:p>
        </w:tc>
        <w:tc>
          <w:tcPr>
            <w:tcW w:w="2360" w:type="dxa"/>
            <w:vAlign w:val="bottom"/>
            <w:gridSpan w:val="5"/>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10055 South State St., Sandy,</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Lakehills Mortuary (1)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Utah</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1991</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Cottonwood Mortuary, Inc.</w:t>
            </w:r>
          </w:p>
        </w:tc>
        <w:tc>
          <w:tcPr>
            <w:tcW w:w="3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w w:val="93"/>
              </w:rPr>
              <w:t>4670</w:t>
            </w:r>
          </w:p>
        </w:tc>
        <w:tc>
          <w:tcPr>
            <w:tcW w:w="66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rPr>
              <w:t>South</w:t>
            </w:r>
          </w:p>
        </w:tc>
        <w:tc>
          <w:tcPr>
            <w:tcW w:w="780" w:type="dxa"/>
            <w:vAlign w:val="bottom"/>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rPr>
              <w:t>Highland</w:t>
            </w:r>
          </w:p>
        </w:tc>
        <w:tc>
          <w:tcPr>
            <w:tcW w:w="58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Dr.,</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Cottonwood Mortuary</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4"/>
              </w:rPr>
              <w:t>Holladay, Utah</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1991</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SN Probst LLC</w:t>
            </w:r>
          </w:p>
        </w:tc>
        <w:tc>
          <w:tcPr>
            <w:tcW w:w="2360" w:type="dxa"/>
            <w:vAlign w:val="bottom"/>
            <w:gridSpan w:val="5"/>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288  North  Main  St.,  Heber</w:t>
            </w: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Heber Valley Funeral Home</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Utah</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2019</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SN Holbrook LLC</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Milcreek Funeral Home</w:t>
            </w:r>
          </w:p>
        </w:tc>
        <w:tc>
          <w:tcPr>
            <w:tcW w:w="2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3251 S 2300 E, Millcreek, Utah</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2021</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SNR-SF Mortuary LLC</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Rivera Family Funeral Home</w:t>
            </w:r>
          </w:p>
        </w:tc>
        <w:tc>
          <w:tcPr>
            <w:tcW w:w="2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417 Rodeo RD, Santa Fe, New</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Santa Fe (1)</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2021</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SNR-Espanola LLC</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Rivera Family Funeral Home</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305</w:t>
            </w:r>
          </w:p>
        </w:tc>
        <w:tc>
          <w:tcPr>
            <w:tcW w:w="2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Calle  Salazar,  Española,</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Española</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Mexico</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2021</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SNR-Taos LLC</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Rivera Family Funeral Home</w:t>
            </w:r>
          </w:p>
        </w:tc>
        <w:tc>
          <w:tcPr>
            <w:tcW w:w="2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818  Paseo  Del  Pueblo  Sur,</w:t>
            </w: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Taos</w:t>
            </w: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Taos, New Mexico</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2021</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jc w:val="right"/>
        <w:ind w:left="5540" w:right="5540" w:hanging="5237"/>
        <w:spacing w:after="0" w:line="405" w:lineRule="auto"/>
        <w:tabs>
          <w:tab w:leader="none" w:pos="60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funeral homes also provide burial niches at their respective locations.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the Registrant’s Common Stock, Related Stockholder Matters, and Issuer Purchases of Equity Securities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Company’s Class A Common Stock trades on The Nasdaq Global Select Market under the symbol “SNFCA.” As of March 27, 2025, the closing stock price of the Class A Common Stock was $12.61 per share. As of March 27, 2025, there were 1,605 registered stockholders of record of the Company’s Class A Common Stock and 45 registered stockholders of record of the Company’s Class C Common Stock. Because many of the Company’s shares of Class A Common Stock are held by brokers and other institutions on behalf of the stockholders, the Company is unable to estimate the total number of stockholders represented by these record 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were the high and low market closing stock prices for the Class A Common Stock by quarter as reported by NASDAQ since January 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Price Range (1)</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Period (Calendar Year)</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High</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rPr>
              <w:t>Low</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First Quarter</w:t>
            </w:r>
          </w:p>
        </w:tc>
        <w:tc>
          <w:tcPr>
            <w:tcW w:w="1060" w:type="dxa"/>
            <w:vAlign w:val="bottom"/>
            <w:gridSpan w:val="2"/>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6.85</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Second Quarter</w:t>
            </w:r>
          </w:p>
        </w:tc>
        <w:tc>
          <w:tcPr>
            <w:tcW w:w="106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8.05</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Third Quarter</w:t>
            </w:r>
          </w:p>
        </w:tc>
        <w:tc>
          <w:tcPr>
            <w:tcW w:w="1060" w:type="dxa"/>
            <w:vAlign w:val="bottom"/>
            <w:gridSpan w:val="2"/>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8.41</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Fourth Quarter</w:t>
            </w:r>
          </w:p>
        </w:tc>
        <w:tc>
          <w:tcPr>
            <w:tcW w:w="106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9.14</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First Quarter</w:t>
            </w:r>
          </w:p>
        </w:tc>
        <w:tc>
          <w:tcPr>
            <w:tcW w:w="1060" w:type="dxa"/>
            <w:vAlign w:val="bottom"/>
            <w:gridSpan w:val="2"/>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9.04</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Second Quarter</w:t>
            </w:r>
          </w:p>
        </w:tc>
        <w:tc>
          <w:tcPr>
            <w:tcW w:w="106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8.00</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Third Quarter</w:t>
            </w:r>
          </w:p>
        </w:tc>
        <w:tc>
          <w:tcPr>
            <w:tcW w:w="1060" w:type="dxa"/>
            <w:vAlign w:val="bottom"/>
            <w:gridSpan w:val="2"/>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9.20</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Fourth Quarter</w:t>
            </w:r>
          </w:p>
        </w:tc>
        <w:tc>
          <w:tcPr>
            <w:tcW w:w="106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13.42</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9.12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First Quarter (through March 27, 2025)</w:t>
            </w:r>
          </w:p>
        </w:tc>
        <w:tc>
          <w:tcPr>
            <w:tcW w:w="1060" w:type="dxa"/>
            <w:vAlign w:val="bottom"/>
            <w:gridSpan w:val="2"/>
          </w:tcPr>
          <w:p>
            <w:pPr>
              <w:jc w:val="right"/>
              <w:ind w:right="71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13.46</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Stock prices have been adjusted retroactively for the effect of annual stock dividends.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Class C Common Stock is not registered or traded on a national exchange. See Note 12 of the Notes to Consolidated Financial Statements.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never paid a cash dividend on its Class A or Class C Common Stock. The Company currently anticipates that all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its Board of Directors may deem appropriate. The Company paid a 5% stock dividend on Class A and Class C Common Stock each year from 1990 through 2019, a 7.5% stock dividend for the year 2020, and a 5.0% stock dividend for the years 2021 through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7"/>
          <w:szCs w:val="17"/>
          <w:color w:val="auto"/>
        </w:rPr>
        <w:t>On April 15, 2024, the Company executed a 10b5-1 agreement with a broker to repurchase shares of the Company’s Class A Common Stock. Under the terms of the agreement, the broker is permitted to repurchase up to $1,000,000 of the Company’s Class A Common Stock. Purchases commenced May 15, 2024. The agreement is subject to the daily time, price and volume conditions of Rule 10b-18. The agreement expired on December 31, 2024.</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shows the Company’s repurchase activity of its common stock during the three-month period ended December 31, 2024, under the 10b5-1 agreement.</w:t>
      </w:r>
    </w:p>
    <w:p>
      <w:pPr>
        <w:sectPr>
          <w:pgSz w:w="11900" w:h="16838" w:orient="portrait"/>
          <w:cols w:equalWidth="0" w:num="1">
            <w:col w:w="11240"/>
          </w:cols>
          <w:pgMar w:left="320" w:top="6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Period</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10/1/2024-10/31/2024</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11/1/2024-11/30/2024</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12/1/2024-12/31/2024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182245</wp:posOffset>
            </wp:positionV>
            <wp:extent cx="1785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(d) Maximum</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(c) Total Number</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Number of Class</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of Class A Shares</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8"/>
              </w:rPr>
              <w:t>A Shares that</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Purchased as Part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6"/>
              </w:rPr>
              <w:t>May Yet Be</w:t>
            </w:r>
          </w:p>
        </w:tc>
      </w:tr>
      <w:tr>
        <w:trPr>
          <w:trHeight w:val="202"/>
        </w:trPr>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7"/>
              </w:rPr>
              <w:t>(a) Total Number</w:t>
            </w: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7"/>
              </w:rPr>
              <w:t>(b) Average Price</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of Publicly</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Purchased Under</w:t>
            </w:r>
          </w:p>
        </w:tc>
      </w:tr>
      <w:tr>
        <w:trPr>
          <w:trHeight w:val="202"/>
        </w:trPr>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of Class A 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Paid per Class A</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Announced Plan</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the Plan or</w:t>
            </w:r>
          </w:p>
        </w:tc>
      </w:tr>
      <w:tr>
        <w:trPr>
          <w:trHeight w:val="218"/>
        </w:trPr>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Purchased</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Share (1)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or Program</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9"/>
              </w:rPr>
              <w:t>Program (2)</w:t>
            </w:r>
          </w:p>
        </w:tc>
      </w:tr>
      <w:tr>
        <w:trPr>
          <w:trHeight w:val="178"/>
        </w:trPr>
        <w:tc>
          <w:tcPr>
            <w:tcW w:w="12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5"/>
                <w:szCs w:val="15"/>
                <w:color w:val="auto"/>
              </w:rPr>
            </w:pPr>
          </w:p>
        </w:tc>
        <w:tc>
          <w:tcPr>
            <w:tcW w:w="1180" w:type="dxa"/>
            <w:vAlign w:val="bottom"/>
            <w:tcBorders>
              <w:top w:val="single" w:sz="8" w:color="auto"/>
            </w:tcBorders>
          </w:tcPr>
          <w:p>
            <w:pPr>
              <w:jc w:val="right"/>
              <w:ind w:right="101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5"/>
                <w:szCs w:val="15"/>
                <w:color w:val="auto"/>
              </w:rPr>
            </w:pPr>
          </w:p>
        </w:tc>
        <w:tc>
          <w:tcPr>
            <w:tcW w:w="12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5"/>
                <w:szCs w:val="15"/>
                <w:color w:val="auto"/>
              </w:rPr>
            </w:pPr>
          </w:p>
        </w:tc>
        <w:tc>
          <w:tcPr>
            <w:tcW w:w="12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194,612</w:t>
            </w:r>
          </w:p>
        </w:tc>
        <w:tc>
          <w:tcPr>
            <w:tcW w:w="20" w:type="dxa"/>
            <w:vAlign w:val="bottom"/>
          </w:tcPr>
          <w:p>
            <w:pPr>
              <w:spacing w:after="0"/>
              <w:rPr>
                <w:sz w:val="15"/>
                <w:szCs w:val="15"/>
                <w:color w:val="auto"/>
              </w:rPr>
            </w:pPr>
          </w:p>
        </w:tc>
      </w:tr>
      <w:tr>
        <w:trPr>
          <w:trHeight w:val="214"/>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8"/>
                <w:szCs w:val="18"/>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194,612</w:t>
            </w:r>
          </w:p>
        </w:tc>
      </w:tr>
      <w:tr>
        <w:trPr>
          <w:trHeight w:val="218"/>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194,612</w:t>
            </w:r>
          </w:p>
        </w:tc>
      </w:tr>
      <w:tr>
        <w:trPr>
          <w:trHeight w:val="20"/>
        </w:trPr>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r>
      <w:tr>
        <w:trPr>
          <w:trHeight w:val="434"/>
        </w:trPr>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1180" w:type="dxa"/>
            <w:vAlign w:val="bottom"/>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4"/>
                <w:szCs w:val="24"/>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194,612</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-447675</wp:posOffset>
            </wp:positionV>
            <wp:extent cx="7141210" cy="135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-167640</wp:posOffset>
            </wp:positionV>
            <wp:extent cx="7141210" cy="15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-711835</wp:posOffset>
            </wp:positionV>
            <wp:extent cx="7141210" cy="135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653" w:right="339" w:bottom="1440" w:gutter="0" w:footer="0" w:header="0"/>
          <w:type w:val="continuous"/>
        </w:sectPr>
      </w:pPr>
    </w:p>
    <w:p>
      <w:pPr>
        <w:spacing w:after="0" w:line="10" w:lineRule="exact"/>
        <w:rPr>
          <w:sz w:val="20"/>
          <w:szCs w:val="20"/>
          <w:color w:val="auto"/>
        </w:rPr>
      </w:pPr>
    </w:p>
    <w:p>
      <w:pPr>
        <w:ind w:left="300" w:hanging="299"/>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fees and commissions paid on stock repurchases.</w:t>
      </w:r>
    </w:p>
    <w:p>
      <w:pPr>
        <w:spacing w:after="0" w:line="22" w:lineRule="exact"/>
        <w:rPr>
          <w:rFonts w:ascii="Times New Roman" w:cs="Times New Roman" w:eastAsia="Times New Roman" w:hAnsi="Times New Roman"/>
          <w:sz w:val="17"/>
          <w:szCs w:val="17"/>
          <w:color w:val="auto"/>
        </w:rPr>
      </w:pPr>
    </w:p>
    <w:p>
      <w:pPr>
        <w:jc w:val="both"/>
        <w:ind w:left="300" w:hanging="299"/>
        <w:spacing w:after="0" w:line="249"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of the Company’s Class A Common Stock with the cumulative total return on the Standard &amp; Poor’s 500 Stock Index and the Standard &amp; Poor’s Insurance Index for the period from December 31, 2020 through December 31, 2024. The graph assumes that the value of the investment in the Company’s Class A Common Stock and in each of the indexes was $100 as of December 31, 2020 and that all dividends were reinvested.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111125</wp:posOffset>
            </wp:positionV>
            <wp:extent cx="4363085" cy="2930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63085" cy="293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1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12/31/20</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12/31/21</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12/31/22</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12/31/23</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12/31/24</w:t>
            </w:r>
          </w:p>
        </w:tc>
        <w:tc>
          <w:tcPr>
            <w:tcW w:w="80" w:type="dxa"/>
            <w:vAlign w:val="bottom"/>
            <w:tcBorders>
              <w:bottom w:val="single" w:sz="8" w:color="CCEEFF"/>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SNFC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S &amp; P 500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 &amp; P Insurance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the Company is not required to provide information typically disclosed under this item.</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cemetery and mortuary business; and (iii) capitalizing on the housing market by originating mortgage loans.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 Operations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shows the condensed financial results for the Company’s insurance operations for 2024 and 2023. See Note 15 of the Notes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7"/>
          </w:tcPr>
          <w:p>
            <w:pPr>
              <w:jc w:val="center"/>
              <w:ind w:left="796"/>
              <w:spacing w:after="0"/>
              <w:rPr>
                <w:sz w:val="20"/>
                <w:szCs w:val="20"/>
                <w:color w:val="auto"/>
              </w:rPr>
            </w:pPr>
            <w:r>
              <w:rPr>
                <w:rFonts w:ascii="Times New Roman" w:cs="Times New Roman" w:eastAsia="Times New Roman" w:hAnsi="Times New Roman"/>
                <w:sz w:val="17"/>
                <w:szCs w:val="17"/>
                <w:color w:val="auto"/>
                <w:w w:val="97"/>
              </w:rPr>
              <w:t>Years ended December 31</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7"/>
                <w:szCs w:val="17"/>
                <w:color w:val="auto"/>
                <w:w w:val="98"/>
              </w:rPr>
              <w:t>(in thousands of dollars)</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2024 vs 2023 %</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8"/>
              </w:rPr>
              <w:t>Increase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9"/>
              </w:rPr>
              <w:t>2023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color w:val="auto"/>
              </w:rPr>
              <w:t>(Decrease)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from external customers:</w:t>
            </w: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Insurance premiums</w:t>
            </w:r>
          </w:p>
        </w:tc>
        <w:tc>
          <w:tcPr>
            <w:tcW w:w="13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119,656</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114,658</w:t>
            </w:r>
          </w:p>
        </w:tc>
        <w:tc>
          <w:tcPr>
            <w:tcW w:w="40" w:type="dxa"/>
            <w:vAlign w:val="bottom"/>
          </w:tcPr>
          <w:p>
            <w:pPr>
              <w:spacing w:after="0"/>
              <w:rPr>
                <w:sz w:val="17"/>
                <w:szCs w:val="17"/>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68,255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67,812</w:t>
            </w:r>
          </w:p>
        </w:tc>
        <w:tc>
          <w:tcPr>
            <w:tcW w:w="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Mortgage fee income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77</w:t>
            </w:r>
          </w:p>
        </w:tc>
        <w:tc>
          <w:tcPr>
            <w:tcW w:w="4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on investments and other assets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2,055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963</w:t>
            </w:r>
          </w:p>
        </w:tc>
        <w:tc>
          <w:tcPr>
            <w:tcW w:w="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1,564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1,666</w:t>
            </w:r>
          </w:p>
        </w:tc>
        <w:tc>
          <w:tcPr>
            <w:tcW w:w="4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Intersegment revenues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8,203</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segment revenues</w:t>
            </w:r>
          </w:p>
        </w:tc>
        <w:tc>
          <w:tcPr>
            <w:tcW w:w="1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198,802</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193,379</w:t>
            </w:r>
          </w:p>
        </w:tc>
        <w:tc>
          <w:tcPr>
            <w:tcW w:w="2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Segment net earnings</w:t>
            </w:r>
          </w:p>
        </w:tc>
        <w:tc>
          <w:tcPr>
            <w:tcW w:w="13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24,851</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21,617</w:t>
            </w:r>
          </w:p>
        </w:tc>
        <w:tc>
          <w:tcPr>
            <w:tcW w:w="4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Profitability for 2024 increased due to (a) a $4,998,000 increase in insurance premiums and other considerations, (b) a $3,301,000 decrease in death, surrenders and other policy benefits, (c) a $2,323,000 decrease in amortization of deferred policy acquisition costs, (d) a $1,092,000 increase in gains on investments and other assets,</w:t>
      </w:r>
    </w:p>
    <w:p>
      <w:pPr>
        <w:spacing w:after="0" w:line="1" w:lineRule="exact"/>
        <w:rPr>
          <w:sz w:val="20"/>
          <w:szCs w:val="20"/>
          <w:color w:val="auto"/>
        </w:rPr>
      </w:pPr>
    </w:p>
    <w:p>
      <w:pPr>
        <w:jc w:val="both"/>
        <w:ind w:firstLine="1"/>
        <w:spacing w:after="0" w:line="250" w:lineRule="auto"/>
        <w:tabs>
          <w:tab w:leader="none" w:pos="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$443,000 increase in net investment income, and (f) a $354,000 decrease in interest expense, which were partially offset by (i) a $2,949,000 increase in income tax expense, (ii) a $2,929,000 increase in selling, general and administrative expenses, (iii) a $2,245,000 increase in future policy benefits, (iv) a $931,000 decrease in intersegment revenue, (v) a $102,000 decrease in other revenues, (vi) a $77,000 decrease in mortgage fee income, and (vii) a $42,000 increase in intersegment interest expense and other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Cemetery and Mortuary Operations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shows the condensed financial results for the Company’s cemetery and mortuary operations for 2024 and 2023. See Note 15 of the Notes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7"/>
          </w:tcPr>
          <w:p>
            <w:pPr>
              <w:jc w:val="center"/>
              <w:ind w:left="796"/>
              <w:spacing w:after="0"/>
              <w:rPr>
                <w:sz w:val="20"/>
                <w:szCs w:val="20"/>
                <w:color w:val="auto"/>
              </w:rPr>
            </w:pPr>
            <w:r>
              <w:rPr>
                <w:rFonts w:ascii="Times New Roman" w:cs="Times New Roman" w:eastAsia="Times New Roman" w:hAnsi="Times New Roman"/>
                <w:sz w:val="17"/>
                <w:szCs w:val="17"/>
                <w:color w:val="auto"/>
                <w:w w:val="97"/>
              </w:rPr>
              <w:t>Years ended December 31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8"/>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7"/>
                <w:szCs w:val="17"/>
                <w:color w:val="auto"/>
                <w:w w:val="98"/>
              </w:rPr>
              <w:t>(in thousands of dollars)</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78"/>
        </w:trPr>
        <w:tc>
          <w:tcPr>
            <w:tcW w:w="3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2024 vs 2023 %</w:t>
            </w: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2"/>
        </w:trPr>
        <w:tc>
          <w:tcPr>
            <w:tcW w:w="3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2"/>
          </w:tcPr>
          <w:p>
            <w:pPr>
              <w:jc w:val="center"/>
              <w:ind w:right="176"/>
              <w:spacing w:after="0"/>
              <w:rPr>
                <w:sz w:val="20"/>
                <w:szCs w:val="20"/>
                <w:color w:val="auto"/>
              </w:rPr>
            </w:pPr>
            <w:r>
              <w:rPr>
                <w:rFonts w:ascii="Times New Roman" w:cs="Times New Roman" w:eastAsia="Times New Roman" w:hAnsi="Times New Roman"/>
                <w:sz w:val="17"/>
                <w:szCs w:val="17"/>
                <w:color w:val="auto"/>
                <w:w w:val="98"/>
              </w:rPr>
              <w:t>Increase</w:t>
            </w:r>
          </w:p>
        </w:tc>
        <w:tc>
          <w:tcPr>
            <w:tcW w:w="2240" w:type="dxa"/>
            <w:vAlign w:val="bottom"/>
          </w:tcPr>
          <w:p>
            <w:pPr>
              <w:spacing w:after="0"/>
              <w:rPr>
                <w:sz w:val="17"/>
                <w:szCs w:val="17"/>
                <w:color w:val="auto"/>
              </w:rPr>
            </w:pPr>
          </w:p>
        </w:tc>
      </w:tr>
      <w:tr>
        <w:trPr>
          <w:trHeight w:val="218"/>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9"/>
              </w:rPr>
              <w:t>2023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right="156"/>
              <w:spacing w:after="0"/>
              <w:rPr>
                <w:sz w:val="20"/>
                <w:szCs w:val="20"/>
                <w:color w:val="auto"/>
              </w:rPr>
            </w:pPr>
            <w:r>
              <w:rPr>
                <w:rFonts w:ascii="Times New Roman" w:cs="Times New Roman" w:eastAsia="Times New Roman" w:hAnsi="Times New Roman"/>
                <w:sz w:val="17"/>
                <w:szCs w:val="17"/>
                <w:color w:val="auto"/>
              </w:rPr>
              <w:t>(Decrease)</w:t>
            </w:r>
          </w:p>
        </w:tc>
        <w:tc>
          <w:tcPr>
            <w:tcW w:w="2240" w:type="dxa"/>
            <w:vAlign w:val="bottom"/>
          </w:tcPr>
          <w:p>
            <w:pPr>
              <w:spacing w:after="0"/>
              <w:rPr>
                <w:sz w:val="18"/>
                <w:szCs w:val="18"/>
                <w:color w:val="auto"/>
              </w:rPr>
            </w:pPr>
          </w:p>
        </w:tc>
      </w:tr>
      <w:tr>
        <w:trPr>
          <w:trHeight w:val="195"/>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from external customers:</w:t>
            </w:r>
          </w:p>
        </w:tc>
        <w:tc>
          <w:tcPr>
            <w:tcW w:w="1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Pr>
          <w:p>
            <w:pPr>
              <w:spacing w:after="0"/>
              <w:rPr>
                <w:sz w:val="16"/>
                <w:szCs w:val="16"/>
                <w:color w:val="auto"/>
              </w:rPr>
            </w:pPr>
          </w:p>
        </w:tc>
      </w:tr>
      <w:tr>
        <w:trPr>
          <w:trHeight w:val="202"/>
        </w:trPr>
        <w:tc>
          <w:tcPr>
            <w:tcW w:w="3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Cemetery revenues</w:t>
            </w:r>
          </w:p>
        </w:tc>
        <w:tc>
          <w:tcPr>
            <w:tcW w:w="13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16,101</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15,189</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40" w:type="dxa"/>
            <w:vAlign w:val="bottom"/>
          </w:tcPr>
          <w:p>
            <w:pPr>
              <w:spacing w:after="0"/>
              <w:rPr>
                <w:sz w:val="17"/>
                <w:szCs w:val="17"/>
                <w:color w:val="auto"/>
              </w:rPr>
            </w:pPr>
          </w:p>
        </w:tc>
      </w:tr>
      <w:tr>
        <w:trPr>
          <w:trHeight w:val="202"/>
        </w:trPr>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Mortuary revenues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12,936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12,676</w:t>
            </w: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40" w:type="dxa"/>
            <w:vAlign w:val="bottom"/>
          </w:tcPr>
          <w:p>
            <w:pPr>
              <w:spacing w:after="0"/>
              <w:rPr>
                <w:sz w:val="17"/>
                <w:szCs w:val="17"/>
                <w:color w:val="auto"/>
              </w:rPr>
            </w:pPr>
          </w:p>
        </w:tc>
      </w:tr>
      <w:tr>
        <w:trPr>
          <w:trHeight w:val="202"/>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2,569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2,952</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40" w:type="dxa"/>
            <w:vAlign w:val="bottom"/>
          </w:tcPr>
          <w:p>
            <w:pPr>
              <w:spacing w:after="0"/>
              <w:rPr>
                <w:sz w:val="17"/>
                <w:szCs w:val="17"/>
                <w:color w:val="auto"/>
              </w:rPr>
            </w:pPr>
          </w:p>
        </w:tc>
      </w:tr>
      <w:tr>
        <w:trPr>
          <w:trHeight w:val="20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on investments and other assets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717</w:t>
            </w: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40" w:type="dxa"/>
            <w:vAlign w:val="bottom"/>
          </w:tcPr>
          <w:p>
            <w:pPr>
              <w:spacing w:after="0"/>
              <w:rPr>
                <w:sz w:val="17"/>
                <w:szCs w:val="17"/>
                <w:color w:val="auto"/>
              </w:rPr>
            </w:pPr>
          </w:p>
        </w:tc>
      </w:tr>
      <w:tr>
        <w:trPr>
          <w:trHeight w:val="202"/>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404</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240" w:type="dxa"/>
            <w:vAlign w:val="bottom"/>
          </w:tcPr>
          <w:p>
            <w:pPr>
              <w:spacing w:after="0"/>
              <w:rPr>
                <w:sz w:val="17"/>
                <w:szCs w:val="17"/>
                <w:color w:val="auto"/>
              </w:rPr>
            </w:pPr>
          </w:p>
        </w:tc>
      </w:tr>
      <w:tr>
        <w:trPr>
          <w:trHeight w:val="21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Intersegment revenues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340</w:t>
            </w: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40" w:type="dxa"/>
            <w:vAlign w:val="bottom"/>
          </w:tcPr>
          <w:p>
            <w:pPr>
              <w:spacing w:after="0"/>
              <w:rPr>
                <w:sz w:val="18"/>
                <w:szCs w:val="18"/>
                <w:color w:val="auto"/>
              </w:rPr>
            </w:pPr>
          </w:p>
        </w:tc>
      </w:tr>
      <w:tr>
        <w:trPr>
          <w:trHeight w:val="247"/>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segment revenues</w:t>
            </w:r>
          </w:p>
        </w:tc>
        <w:tc>
          <w:tcPr>
            <w:tcW w:w="1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33,363</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32,278</w:t>
            </w:r>
          </w:p>
        </w:tc>
        <w:tc>
          <w:tcPr>
            <w:tcW w:w="2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240" w:type="dxa"/>
            <w:vAlign w:val="bottom"/>
          </w:tcPr>
          <w:p>
            <w:pPr>
              <w:spacing w:after="0"/>
              <w:rPr>
                <w:sz w:val="21"/>
                <w:szCs w:val="21"/>
                <w:color w:val="auto"/>
              </w:rPr>
            </w:pPr>
          </w:p>
        </w:tc>
      </w:tr>
      <w:tr>
        <w:trPr>
          <w:trHeight w:val="180"/>
        </w:trPr>
        <w:tc>
          <w:tcPr>
            <w:tcW w:w="366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Segment net earnings</w:t>
            </w:r>
          </w:p>
        </w:tc>
        <w:tc>
          <w:tcPr>
            <w:tcW w:w="1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6,634</w:t>
            </w: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6,313</w:t>
            </w: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5</w:t>
            </w:r>
          </w:p>
        </w:tc>
        <w:tc>
          <w:tcPr>
            <w:tcW w:w="220" w:type="dxa"/>
            <w:vAlign w:val="bottom"/>
            <w:tcBorders>
              <w:bottom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w w:val="84"/>
              </w:rPr>
              <w:t>%</w:t>
            </w:r>
          </w:p>
        </w:tc>
        <w:tc>
          <w:tcPr>
            <w:tcW w:w="224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81"/>
        </w:trPr>
        <w:tc>
          <w:tcPr>
            <w:tcW w:w="3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7"/>
          <w:szCs w:val="17"/>
          <w:color w:val="auto"/>
        </w:rPr>
        <w:t>Profitability in 2024 increased due to (a) a $1,140,000 increase in cemetery pre-need sales, (b) a $260,000 increase in mortuary at-need sales, (c) a $156,000 increase in gains on investments and other assets, (d) a $139,000 increase in other revenues, and (e) a $26,000 decrease in intersegment interest expense and other expenses, which were partially offset by (i) a $458,000 increase in selling, general and administrative expenses, (ii) a $383,000 decrease in net investment income, (iii) a $239,000 increase in amortization of deferred policy acquisition costs, (iv) a $228,000 decrease in cemetery at-need sales, and (v) a $96,000 increase in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Mortgage Operations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SecurityNational Mortgage are funded through loan purchase agreements with the Company, Security National Life, Kilpatrick Life, and unaffiliated financial institutions.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MSRs on approximately 0.44% of its loan origination volume. These mortgage loans are serviced by either SecurityNational Mortgage or an approved third-party sub-servicer.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US Treasury rates continue to remain elevated despite the downward trend in inflation data and the Federal Reserve’s action to reduce rates. This has resulted in higher-than-expected mortgage rates, which in turn has further decreased the demand for loan originations classified as refinance. The higher-than-expected mortgage rates have also continued to have a negative effect on loan originations classified as purchases.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2024 and 2023, SecurityNational Mortgage originated 7,269 loans ($2,295,830,000 total volume) and 7,185 loans ($2,173,081,000 total volume), respectively.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shows the condensed financial results for the Company’s mortgage operations for 2024 and 2023. See Note 15 of the Notes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center"/>
              <w:ind w:left="796"/>
              <w:spacing w:after="0"/>
              <w:rPr>
                <w:sz w:val="20"/>
                <w:szCs w:val="20"/>
                <w:color w:val="auto"/>
              </w:rPr>
            </w:pPr>
            <w:r>
              <w:rPr>
                <w:rFonts w:ascii="Times New Roman" w:cs="Times New Roman" w:eastAsia="Times New Roman" w:hAnsi="Times New Roman"/>
                <w:sz w:val="17"/>
                <w:szCs w:val="17"/>
                <w:color w:val="auto"/>
                <w:w w:val="97"/>
              </w:rPr>
              <w:t>Years ended December 31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8"/>
        </w:trPr>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7"/>
                <w:szCs w:val="17"/>
                <w:color w:val="auto"/>
                <w:w w:val="98"/>
              </w:rPr>
              <w:t>(in thousands of dollars)</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78"/>
        </w:trPr>
        <w:tc>
          <w:tcPr>
            <w:tcW w:w="3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2024 vs 2023 %</w:t>
            </w: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2"/>
        </w:trPr>
        <w:tc>
          <w:tcPr>
            <w:tcW w:w="3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2"/>
          </w:tcPr>
          <w:p>
            <w:pPr>
              <w:jc w:val="center"/>
              <w:ind w:right="176"/>
              <w:spacing w:after="0"/>
              <w:rPr>
                <w:sz w:val="20"/>
                <w:szCs w:val="20"/>
                <w:color w:val="auto"/>
              </w:rPr>
            </w:pPr>
            <w:r>
              <w:rPr>
                <w:rFonts w:ascii="Times New Roman" w:cs="Times New Roman" w:eastAsia="Times New Roman" w:hAnsi="Times New Roman"/>
                <w:sz w:val="17"/>
                <w:szCs w:val="17"/>
                <w:color w:val="auto"/>
                <w:w w:val="98"/>
              </w:rPr>
              <w:t>Increase</w:t>
            </w:r>
          </w:p>
        </w:tc>
        <w:tc>
          <w:tcPr>
            <w:tcW w:w="2240" w:type="dxa"/>
            <w:vAlign w:val="bottom"/>
          </w:tcPr>
          <w:p>
            <w:pPr>
              <w:spacing w:after="0"/>
              <w:rPr>
                <w:sz w:val="17"/>
                <w:szCs w:val="17"/>
                <w:color w:val="auto"/>
              </w:rPr>
            </w:pPr>
          </w:p>
        </w:tc>
      </w:tr>
      <w:tr>
        <w:trPr>
          <w:trHeight w:val="218"/>
        </w:trPr>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9"/>
              </w:rPr>
              <w:t>2023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right="156"/>
              <w:spacing w:after="0"/>
              <w:rPr>
                <w:sz w:val="20"/>
                <w:szCs w:val="20"/>
                <w:color w:val="auto"/>
              </w:rPr>
            </w:pPr>
            <w:r>
              <w:rPr>
                <w:rFonts w:ascii="Times New Roman" w:cs="Times New Roman" w:eastAsia="Times New Roman" w:hAnsi="Times New Roman"/>
                <w:sz w:val="17"/>
                <w:szCs w:val="17"/>
                <w:color w:val="auto"/>
              </w:rPr>
              <w:t>(Decrease)</w:t>
            </w:r>
          </w:p>
        </w:tc>
        <w:tc>
          <w:tcPr>
            <w:tcW w:w="2240" w:type="dxa"/>
            <w:vAlign w:val="bottom"/>
          </w:tcPr>
          <w:p>
            <w:pPr>
              <w:spacing w:after="0"/>
              <w:rPr>
                <w:sz w:val="18"/>
                <w:szCs w:val="18"/>
                <w:color w:val="auto"/>
              </w:rPr>
            </w:pPr>
          </w:p>
        </w:tc>
      </w:tr>
      <w:tr>
        <w:trPr>
          <w:trHeight w:val="195"/>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from external customers:</w:t>
            </w:r>
          </w:p>
        </w:tc>
        <w:tc>
          <w:tcPr>
            <w:tcW w:w="8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Pr>
          <w:p>
            <w:pPr>
              <w:spacing w:after="0"/>
              <w:rPr>
                <w:sz w:val="16"/>
                <w:szCs w:val="16"/>
                <w:color w:val="auto"/>
              </w:rPr>
            </w:pPr>
          </w:p>
        </w:tc>
      </w:tr>
      <w:tr>
        <w:trPr>
          <w:trHeight w:val="202"/>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Secondary gains from investors</w:t>
            </w:r>
          </w:p>
        </w:tc>
        <w:tc>
          <w:tcPr>
            <w:tcW w:w="11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7"/>
                <w:szCs w:val="17"/>
                <w:color w:val="auto"/>
              </w:rPr>
              <w:t>70,355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68,428</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40" w:type="dxa"/>
            <w:vAlign w:val="bottom"/>
          </w:tcPr>
          <w:p>
            <w:pPr>
              <w:spacing w:after="0"/>
              <w:rPr>
                <w:sz w:val="17"/>
                <w:szCs w:val="17"/>
                <w:color w:val="auto"/>
              </w:rPr>
            </w:pPr>
          </w:p>
        </w:tc>
      </w:tr>
      <w:tr>
        <w:trPr>
          <w:trHeight w:val="202"/>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from loan originations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33,604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31,245</w:t>
            </w: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40" w:type="dxa"/>
            <w:vAlign w:val="bottom"/>
          </w:tcPr>
          <w:p>
            <w:pPr>
              <w:spacing w:after="0"/>
              <w:rPr>
                <w:sz w:val="17"/>
                <w:szCs w:val="17"/>
                <w:color w:val="auto"/>
              </w:rPr>
            </w:pPr>
          </w:p>
        </w:tc>
      </w:tr>
      <w:tr>
        <w:trPr>
          <w:trHeight w:val="202"/>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7"/>
                <w:szCs w:val="17"/>
                <w:color w:val="auto"/>
              </w:rPr>
              <w:t>2,870</w:t>
            </w:r>
          </w:p>
        </w:tc>
        <w:tc>
          <w:tcPr>
            <w:tcW w:w="260" w:type="dxa"/>
            <w:vAlign w:val="bottom"/>
          </w:tcPr>
          <w:p>
            <w:pPr>
              <w:spacing w:after="0"/>
              <w:rPr>
                <w:sz w:val="17"/>
                <w:szCs w:val="17"/>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(478)</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2240" w:type="dxa"/>
            <w:vAlign w:val="bottom"/>
          </w:tcPr>
          <w:p>
            <w:pPr>
              <w:spacing w:after="0"/>
              <w:rPr>
                <w:sz w:val="17"/>
                <w:szCs w:val="17"/>
                <w:color w:val="auto"/>
              </w:rPr>
            </w:pPr>
          </w:p>
        </w:tc>
      </w:tr>
      <w:tr>
        <w:trPr>
          <w:trHeight w:val="202"/>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loan commitments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730</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(1,124)</w:t>
            </w: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240" w:type="dxa"/>
            <w:vAlign w:val="bottom"/>
          </w:tcPr>
          <w:p>
            <w:pPr>
              <w:spacing w:after="0"/>
              <w:rPr>
                <w:sz w:val="17"/>
                <w:szCs w:val="17"/>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7"/>
                <w:szCs w:val="17"/>
                <w:color w:val="auto"/>
              </w:rPr>
              <w:t>902</w:t>
            </w:r>
          </w:p>
        </w:tc>
        <w:tc>
          <w:tcPr>
            <w:tcW w:w="260" w:type="dxa"/>
            <w:vAlign w:val="bottom"/>
          </w:tcPr>
          <w:p>
            <w:pPr>
              <w:spacing w:after="0"/>
              <w:rPr>
                <w:sz w:val="17"/>
                <w:szCs w:val="17"/>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1,580</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240" w:type="dxa"/>
            <w:vAlign w:val="bottom"/>
          </w:tcPr>
          <w:p>
            <w:pPr>
              <w:spacing w:after="0"/>
              <w:rPr>
                <w:sz w:val="17"/>
                <w:szCs w:val="17"/>
                <w:color w:val="auto"/>
              </w:rPr>
            </w:pPr>
          </w:p>
        </w:tc>
      </w:tr>
      <w:tr>
        <w:trPr>
          <w:trHeight w:val="20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on investments and other assets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(986)</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157</w:t>
            </w:r>
          </w:p>
        </w:tc>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2240" w:type="dxa"/>
            <w:vAlign w:val="bottom"/>
          </w:tcPr>
          <w:p>
            <w:pPr>
              <w:spacing w:after="0"/>
              <w:rPr>
                <w:sz w:val="17"/>
                <w:szCs w:val="17"/>
                <w:color w:val="auto"/>
              </w:rPr>
            </w:pPr>
          </w:p>
        </w:tc>
      </w:tr>
      <w:tr>
        <w:trPr>
          <w:trHeight w:val="202"/>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7"/>
                <w:szCs w:val="17"/>
                <w:color w:val="auto"/>
              </w:rPr>
              <w:t>2,497</w:t>
            </w:r>
          </w:p>
        </w:tc>
        <w:tc>
          <w:tcPr>
            <w:tcW w:w="260" w:type="dxa"/>
            <w:vAlign w:val="bottom"/>
          </w:tcPr>
          <w:p>
            <w:pPr>
              <w:spacing w:after="0"/>
              <w:rPr>
                <w:sz w:val="17"/>
                <w:szCs w:val="17"/>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1,576</w:t>
            </w:r>
          </w:p>
        </w:tc>
        <w:tc>
          <w:tcPr>
            <w:tcW w:w="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240" w:type="dxa"/>
            <w:vAlign w:val="bottom"/>
          </w:tcPr>
          <w:p>
            <w:pPr>
              <w:spacing w:after="0"/>
              <w:rPr>
                <w:sz w:val="17"/>
                <w:szCs w:val="17"/>
                <w:color w:val="auto"/>
              </w:rPr>
            </w:pPr>
          </w:p>
        </w:tc>
      </w:tr>
      <w:tr>
        <w:trPr>
          <w:trHeight w:val="21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Intersegment revenues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573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531</w:t>
            </w: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40" w:type="dxa"/>
            <w:vAlign w:val="bottom"/>
          </w:tcPr>
          <w:p>
            <w:pPr>
              <w:spacing w:after="0"/>
              <w:rPr>
                <w:sz w:val="18"/>
                <w:szCs w:val="18"/>
                <w:color w:val="auto"/>
              </w:rPr>
            </w:pPr>
          </w:p>
        </w:tc>
      </w:tr>
      <w:tr>
        <w:trPr>
          <w:trHeight w:val="247"/>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segment revenues</w:t>
            </w:r>
          </w:p>
        </w:tc>
        <w:tc>
          <w:tcPr>
            <w:tcW w:w="8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110,545</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101,915</w:t>
            </w:r>
          </w:p>
        </w:tc>
        <w:tc>
          <w:tcPr>
            <w:tcW w:w="2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240" w:type="dxa"/>
            <w:vAlign w:val="bottom"/>
          </w:tcPr>
          <w:p>
            <w:pPr>
              <w:spacing w:after="0"/>
              <w:rPr>
                <w:sz w:val="21"/>
                <w:szCs w:val="21"/>
                <w:color w:val="auto"/>
              </w:rPr>
            </w:pPr>
          </w:p>
        </w:tc>
      </w:tr>
      <w:tr>
        <w:trPr>
          <w:trHeight w:val="180"/>
        </w:trPr>
        <w:tc>
          <w:tcPr>
            <w:tcW w:w="3900" w:type="dxa"/>
            <w:vAlign w:val="bottom"/>
            <w:tcBorders>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Segment net loss</w:t>
            </w:r>
          </w:p>
        </w:tc>
        <w:tc>
          <w:tcPr>
            <w:tcW w:w="8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(4,949</w:t>
            </w:r>
          </w:p>
        </w:tc>
        <w:tc>
          <w:tcPr>
            <w:tcW w:w="260" w:type="dxa"/>
            <w:vAlign w:val="bottom"/>
            <w:tcBorders>
              <w:bottom w:val="single" w:sz="8" w:color="CCEEFF"/>
            </w:tcBorders>
            <w:shd w:val="clear" w:color="auto" w:fill="CCEEFF"/>
          </w:tcPr>
          <w:p>
            <w:pPr>
              <w:jc w:val="right"/>
              <w:ind w:right="119"/>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(13,435</w:t>
            </w:r>
          </w:p>
        </w:tc>
        <w:tc>
          <w:tcPr>
            <w:tcW w:w="260" w:type="dxa"/>
            <w:vAlign w:val="bottom"/>
            <w:tcBorders>
              <w:bottom w:val="single" w:sz="8" w:color="CCEEFF"/>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63</w:t>
            </w:r>
          </w:p>
        </w:tc>
        <w:tc>
          <w:tcPr>
            <w:tcW w:w="220" w:type="dxa"/>
            <w:vAlign w:val="bottom"/>
            <w:tcBorders>
              <w:bottom w:val="single" w:sz="8" w:color="CCEEFF"/>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w w:val="84"/>
              </w:rPr>
              <w:t>%</w:t>
            </w:r>
          </w:p>
        </w:tc>
        <w:tc>
          <w:tcPr>
            <w:tcW w:w="2240" w:type="dxa"/>
            <w:vAlign w:val="bottom"/>
          </w:tcPr>
          <w:p>
            <w:pPr>
              <w:spacing w:after="0"/>
              <w:rPr>
                <w:sz w:val="15"/>
                <w:szCs w:val="15"/>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81"/>
        </w:trPr>
        <w:tc>
          <w:tcPr>
            <w:tcW w:w="3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20</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23" w:name="page24"/>
    <w:bookmarkEnd w:id="23"/>
    <w:p>
      <w:pPr>
        <w:jc w:val="both"/>
        <w:spacing w:after="0" w:line="273" w:lineRule="auto"/>
        <w:rPr>
          <w:sz w:val="20"/>
          <w:szCs w:val="20"/>
          <w:color w:val="auto"/>
        </w:rPr>
      </w:pPr>
      <w:r>
        <w:rPr>
          <w:rFonts w:ascii="Times New Roman" w:cs="Times New Roman" w:eastAsia="Times New Roman" w:hAnsi="Times New Roman"/>
          <w:sz w:val="16"/>
          <w:szCs w:val="16"/>
          <w:color w:val="auto"/>
        </w:rPr>
        <w:t>Losses in 2024 compared to 2023 decreased due to (a) a $4,251,000 decrease in other expenses, (b) a $3,348,000 increase in the fair value of loans held for sale, (c) a $2,359,000 increase in income from loan originations, (d) a $2,177,000 decrease in personnel expenses, (e) a $1,927,000 increase in secondary gains from investors,</w:t>
      </w:r>
    </w:p>
    <w:p>
      <w:pPr>
        <w:spacing w:after="0" w:line="1" w:lineRule="exact"/>
        <w:rPr>
          <w:sz w:val="20"/>
          <w:szCs w:val="20"/>
          <w:color w:val="auto"/>
        </w:rPr>
      </w:pPr>
    </w:p>
    <w:p>
      <w:pPr>
        <w:ind w:left="220" w:hanging="219"/>
        <w:spacing w:after="0"/>
        <w:tabs>
          <w:tab w:leader="none" w:pos="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$1,854,000 increase in the fair value of loan commitments, (g) a $1,729,000 decrease in rent and rent related expenses, (h) a $921,000 increase in other revenues,</w:t>
      </w:r>
    </w:p>
    <w:p>
      <w:pPr>
        <w:spacing w:after="0" w:line="17" w:lineRule="exact"/>
        <w:rPr>
          <w:rFonts w:ascii="Times New Roman" w:cs="Times New Roman" w:eastAsia="Times New Roman" w:hAnsi="Times New Roman"/>
          <w:sz w:val="16"/>
          <w:szCs w:val="16"/>
          <w:color w:val="auto"/>
        </w:rPr>
      </w:pPr>
    </w:p>
    <w:p>
      <w:pPr>
        <w:jc w:val="both"/>
        <w:ind w:firstLine="1"/>
        <w:spacing w:after="0" w:line="250" w:lineRule="auto"/>
        <w:tabs>
          <w:tab w:leader="none" w:pos="2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$904,000 decrease in intersegment interest expense and other expenses, (j) a $330,000 decrease in advertising expenses, (k) a $306,000 decrease in costs related to funding mortgage loans, (l) a $257,000 decrease in interest expense, (m) a $42,000 increase in intersegment revenues, and (n) a $29,000 decrease in depreciation on property and equipment, which were partially offset by (i) a $7,410,000 increase in commissions, (ii) a $2,717,000 increase in income tax expense, (iii) a $1,143,000 decrease in gains on investments and other assets, and (iv) a $678,000 decrease in net investment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significant accounting policies are fundamental to understanding its results of operations and financial condition as they require that the Company use estimates and assumptions that may affect the value of its assets or liabilities and financial results. See Note 1 – Summary of Significant Accounting Policies of the Notes to the Consolidated Financial Statements for further information.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Five of these policies, discussed below, relate to critical estimates because they require management to make difficult, subjective and complex judgments about matters that are inherently uncertain and because it is likely that materially different amounts would be reported under different conditions or using different assumptions. Actual results could differ from those estimates.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Management and the Audit Committee of the Board of Directors have reviewed and approved the accounting policies associated with these critical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Future Policy Benefits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Reserves for future policy benefits for traditional life insurance products requires the use of many assumptions, including the duration of the policies, mortality experience, expenses, investment yield, lapse rates, surrender rates, and dividend crediting rates.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assumptions are made based upon historical experience, industry standards and a best estimate of future results and, for traditional life products, include a provision for adverse deviation. For traditional life insurance, once established for a particular series of products, these assumptions are generally held constant.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Deferred Acquisition Costs and Value of Business Acquired</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Amortization of deferred policy acquisition costs (“DAC”) for interest sensitive products is dependent upon estimates of current and future gross profits or margins on this business. Key assumptions used include the following: yield on investments supporting the liabilities, amount of interest or dividends credited to the policies, amount of policy fees and charges, amount of expenses necessary to maintain the policies, amount of death and surrender benefits, and the length of time the policies will stay in force.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 used for computing liabilities for future policy benefits and are generally “locked in” at the date the policies are issued.</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Value of business acquired (“VOBA”) is the present value of estimated future profits of the acquired business and is amortized like deferred acquisition costs. The critical issues explained for deferred acquisition costs would also apply for value of business acquired.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Premium Deficiency and Loss Recognition Testing</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after-tax net investment earned rate.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Loan Loss Reserve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provides for losses on its mortgage loans held for sale through the mortgage loan loss reserve (a liability account).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mortgage loan loss reserve is an estimate of probable losses at the balance sheet date that the Company will realize in the future on mortgage loans sold to third-party investors.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representations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Loan Commitments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estimates the fair value of a mortgage loan commitment based on the change in estimated fair value of the underlying mortgage loan, quoted mortgage-backed security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mortgage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Consolidated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Compared to 2023</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Total revenues increased by $16,025,000, or 5.0%, to $334,522,000 for 2024 from $318,497,000 for 2023. Contributing to this increase in total revenues was primarily a $9,411,000 increase in mortgage fee income, a $4,997,000 increase in insurance premiums and other considerations, a $1,172,000 increase in net cemetery and mortuary sales, a $958,000 increase in other revenues, and a $105,000 increase in gains on investments and other assets. This increase in total revenues was offset by a $618,000 decrease in net investment income.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Mortgage fee income increased by $9,411,000, or 9.6%, to $107,559,000 for 2024, from $98,148,000 for 2023. This increase was primarily due to a $5,202,000 increase in the fair value of loans held for sale and loan commitments, a $3,264,000 increase in loan fees and interest income, a $1,850,000 increase in secondary gains from mortgage loans sold to third-party investors into the secondary market. This increase in mortgage fee income was partially offset by a $905,000 increase in the provision for loan loss reserve.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Insurance premiums and other considerations increased by $4,997,000, or 4.4%, to $119,656,000 for 2024, from $114,659,000 for 2023. This increase was due to an increase of $2,555,000 in first year premiums because of increased preneed insurance sales and an increase of $2,442,000 in renewal premiums due to the growth of the Company in recent years, particularly in whole life products, which resulted in more premium paying policies in force.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Net investment income decreased by $618,000, or 0.9%, to $71,725,000 for 2024, from $72,343,000 for 2023. This decrease was primarily attributable to a $3,416,000 decrease in rental income from real estate held for investment and a $3,290,000 decrease in mortgage loan interest. This decrease was partially offset by a $2,427,000 increase in interest on cash and cash equivalents, a $1,853,000 increase in insurance assignment income, a $941,000 decrease in investment expenses, a $461,000 increase in fixed maturity securities income, a $189,000 increase in income in other investments, a $137,000 increase in policy loan income, and an $82,000 increase in equity securities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Net mortuary and cemetery sales increased by $1,172,000, or 4.2%, to $29,037,000 for 2024, from $27,865,000 for 2023. This increase was primarily due to a $1,140,000 increase in cemetery pre-need sales and a $260,000 increase in mortuary at-need sales. This increase was partially offset by a $228,000 decrease in cemetery at-need sales.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7"/>
          <w:szCs w:val="17"/>
          <w:color w:val="auto"/>
        </w:rPr>
        <w:t>Gains on investments and other assets increased by $105,000, or 5.7%, to $1,942,000 for 2024, from $1,837,000 for 2023. This increase in gains on investments and other assets was primarily due to a $614,000 increase in gains on real estate held for investment, a $234,000 increase in gains on other assets, a $210,000 increase in gains on equity securities mostly attributable to increases in the fair value of these equity securities, and a $208,000 increase in gains on fixed maturity securities. This increase was partially offset by a $1,161,000 decrease in gains on mortgage loans held for investment.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Other revenues increased by $958,000, or 26.3%, to $4,604,000 for 2024 from $3,646,000 for 2023. This increase was primarily attributable to a $1,350,000 legal settlement, which was partially offset by a decrease of $392,000 in other miscellaneous revenues.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benefits and expenses were $300,419,000, or 89.8% of total revenues for 2024, as compared to $302,197,000, or 94.9% of total revenues for 2023.</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Death benefits, surrenders and other policy benefits, and future policy benefits decreased by an aggregate of $1,056,000, or 1.1%, to $98,956,000 for 2024, from $100,012,000 for 2023. This decrease was primarily the result of a $3,274,000 decrease in death benefits and a $27,000 decrease in surrender and other policy benefits. This decrease was partially offset by a $2,245,000 increase in future policy benefits.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Amortization of deferred policy and pre-need acquisition costs and value of business acquired decreased by $2,084,000, or 11.6%, to $15,940,000 for 2024, from $18,024,000 for 2023. This decrease was primarily due to increased payment consistency from premium-paying products along with a decrease in new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Selling, general and administrative expenses increased by an aggregate of $1,975,000, or 1.1%, to $176,465,000 for 2024, from $174,490,000 for 2023. This increase was primarily the result of a $7,043,000 increase in commissions, a $1,943,000 increase in personnel expenses, and a $32,000 increase in depreciation on property and equipment. This increase was partially offset by a $4,432,000 decrease in other expenses, a $1,710,000 decrease in rent and rent related expenses, a $595,000 decrease in advertising expenses, and a $306,000 decrease in costs related to funding mortgage loans.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Interest expense decreased by $611,000, or 12.6%, to $4,254,000 for 2024, from $4,865,000 for 2023. This decrease was primarily due to a decrease of $354,000 in interest expense on bank loans and a decrease of $257,000 in interest expense on mortgage warehouse lines of credit for loans held for sale.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Income tax expense increased by $5,763,000, or 319.2%, to $7,568,000 for 2024, from $1,805,000 for 2023. This increase was primarily due to an increase in earnings before income taxes for 2024 compared to 2023. The Company’s overall effective tax rate increased from 11.1% for 2023 to 22.2% in 2024, a 11.1% increase in the effective tax rate or a 100.6% change. This increase was partially due to the prior period reducing the valuation allowance to zero and no valuation allowance adjustment in the current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description of the material risks facing the Company and how it mitigates those risks: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u w:val="single" w:color="auto"/>
          <w:color w:val="auto"/>
        </w:rPr>
        <w:t>Legal and Regulatory Risks</w:t>
      </w:r>
      <w:r>
        <w:rPr>
          <w:rFonts w:ascii="Times New Roman" w:cs="Times New Roman" w:eastAsia="Times New Roman" w:hAnsi="Times New Roman"/>
          <w:sz w:val="17"/>
          <w:szCs w:val="17"/>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aims to mitigate these risks by offering a wide range of products and by diversifying its operations, thus reducing its exposure to any single product or jurisdiction, and by employing underwriting practices that identify and minimize the adverse impact of such risks.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Mortgage Industry Risks</w:t>
      </w:r>
      <w:r>
        <w:rPr>
          <w:rFonts w:ascii="Times New Roman" w:cs="Times New Roman" w:eastAsia="Times New Roman" w:hAnsi="Times New Roman"/>
          <w:sz w:val="17"/>
          <w:szCs w:val="17"/>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7"/>
          <w:szCs w:val="17"/>
          <w:color w:val="auto"/>
        </w:rPr>
        <w:t>The mortgage loan loss reserve is an estimate of probable losses at the balance sheet date that the Company could realize in the future on mortgage loans sold to third-party investors. The Company’s mortgage subsidiary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2024 and 2023 the Company increased its loan loss reserve by $150,000 and decreased its loan loss reserve by $1,178,000, respectively, for loan originations, and the charges have been included in mortgage fee income. The estimated liability for indemnification losses is included in other liabilities and accrued expenses and, as of December 31, 2024 and 2023, the balances were $697,000 and $547,000, respectively. The Company believes the loan loss reserve represents probable loan losses incurred as of December 31, 2024. There is a risk, however, that future loan losses may exceed the loan loss reserve.</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of December 31, 2024, the Company’s mortgage loans held for investment portfolio consisted of mortgage loans in an aggregate principal amount of $11,400,000 with delinquencies exceeding 90 days. Of this amount, loans with an aggregate principal amount of $4,134,000 were in foreclosure proceedings. The Company has not received or recognized any interest income on the $11,400,000 in mortgage loans with delinquencies exceeding 90 days. During 2024 and 2023, the Company decreased its allowance for credit losses by $1,934,000 and increased it by $1,184,000, respectively, which was charged to bad debt expense and included in selling, general and administrative expenses for the period. The main reasons for the decrease in 2024 when compared to 2023 were due to a decrease in the commercial loan held for investment portfolio, further refinement of the Company’s quantitative loss analysis and general market improvements related to the residential mortgage loan held for investment single family portfolio. The allowances for credit losses on the Company’s mortgage loans held for investment portfolio as of December 31, 2024 and 2023 were $1,885,000 and $3,819,000, respectively.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Interest Rate Risk</w:t>
      </w:r>
      <w:r>
        <w:rPr>
          <w:rFonts w:ascii="Times New Roman" w:cs="Times New Roman" w:eastAsia="Times New Roman" w:hAnsi="Times New Roman"/>
          <w:sz w:val="17"/>
          <w:szCs w:val="17"/>
          <w:color w:val="auto"/>
        </w:rPr>
        <w:t>. Fluctuations in interest rates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aims to mitigate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Mortality and Morbidity Risks</w:t>
      </w:r>
      <w:r>
        <w:rPr>
          <w:rFonts w:ascii="Times New Roman" w:cs="Times New Roman" w:eastAsia="Times New Roman" w:hAnsi="Times New Roman"/>
          <w:sz w:val="17"/>
          <w:szCs w:val="17"/>
          <w:color w:val="auto"/>
        </w:rPr>
        <w:t>. The Company’s actuarial assumptions differing from actual mortality and morbidity experienced may mean that the Company’s relevant products sold were underpriced, may require the Company to liquidate insurance or make other claims earlier than planned, and have other potentially adverse consequences to the business. The Company aims to minimize this risk through sound underwriting practices, asset and liability duration matching, and sound actuarial practices.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Estimates</w:t>
      </w:r>
      <w:r>
        <w:rPr>
          <w:rFonts w:ascii="Times New Roman" w:cs="Times New Roman" w:eastAsia="Times New Roman" w:hAnsi="Times New Roman"/>
          <w:sz w:val="17"/>
          <w:szCs w:val="17"/>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on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of December 31, 2024, the Company’s subsidiary SecurityNational Mortgage was not in compliance with the net income covenants under its warehouse lines of credit and its operating cash flow covenant for its standby letter of credit with its primary bank. SecurityNational Mortgage has received or is in the process of receiving waivers from the warehouse banks. In the unlikely event SecurityNational Mortgage is required to repay the outstanding advances of approximately $10,587,449 on the warehouse line of credit that has not provided a covenant waiver, SecurityNational Mortgage has sufficient cash and borrowing capacity on the warehouse lines of credit that have provided covenant waivers to fund its origination activities. The Company has done an internal analysis of the funding capacities of both internal and external sources and has determined that there are sufficient funds to continue its business model. The Company continues to negotiate other warehouse lines of credit with other lenders.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2024 and 2023, the Company’s operations provided cash of $57,320,000 and of $53,875,000, respectively. The increase in cash provided by operations was due primarily to the increase in net earnings.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investment policy is also to invest predominantly in fixed maturity securities, real estate, mortgage loans, and warehousing of mortgage loans held for sale. The warehoused mortgage loans are typically held for sale on a short-term basis before selling the loans to investors in accordance with the requirements and laws governing the Company’s life insurance subsidiaries. Bonds owned by the insurance subsidiaries amounted to $348,774,000 (at estimated fair value) and $362,663,000 (at estimated fair value) as of December 31, 2024 and 2023, respectively. This represented 38.0% and 38.7% of the total investments of the Company as of December 31, 2024, and 2023, respectively. Generally, all bonds owned by the life insurance subsidiaries are rated by the National Association of Insurance Commissioners. Under this rating system, there are six categories used for rating bonds. As of December 31, 2024, 2.4% (or $8,431,000) and as of December 31, 2023, 1.8% (or $6,954,000) of the insurance subsidiaries’ total bond investments were invested in bonds in rating categories three through six, which are considered non-investment grade.</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See Note 2 of the Notes to Consolidated Financial Statements for the schedule of the maturity of fixed maturity securities available for sale and for the schedule of principal payments for mortgage loans held for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7 of the Notes to Consolidated Financial Statements for a description of the Company’s sources of liquidity.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7"/>
          <w:szCs w:val="17"/>
          <w:color w:val="auto"/>
        </w:rPr>
        <w:t>If market conditions were to cause interest rates to change, the fair value of the Company’s fixed income portfolio (of approximately $668,293,000), which includes bonds, preferred stocks and mortgage loans held for investment, could change by the following amounts based on the respective basis point swing (the change in the fair values were calculated using a modeling technique):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-200 bps</w:t>
            </w: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-100 bps</w:t>
            </w: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+100 bps</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+200 bps</w:t>
            </w:r>
          </w:p>
        </w:tc>
      </w:tr>
      <w:tr>
        <w:trPr>
          <w:trHeight w:val="19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46,923</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21,650</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(22,661)</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(45,101)</w:t>
            </w:r>
          </w:p>
        </w:tc>
        <w:tc>
          <w:tcPr>
            <w:tcW w:w="100" w:type="dxa"/>
            <w:vAlign w:val="bottom"/>
            <w:tcBorders>
              <w:top w:val="single" w:sz="8" w:color="CCEEFF"/>
            </w:tcBorders>
            <w:shd w:val="clear" w:color="auto" w:fill="CCEEFF"/>
          </w:tcPr>
          <w:p>
            <w:pPr>
              <w:spacing w:after="0"/>
              <w:rPr>
                <w:sz w:val="16"/>
                <w:szCs w:val="16"/>
                <w:color w:val="auto"/>
              </w:rPr>
            </w:pPr>
          </w:p>
        </w:tc>
      </w:tr>
      <w:tr>
        <w:trPr>
          <w:trHeight w:val="218"/>
        </w:trPr>
        <w:tc>
          <w:tcPr>
            <w:tcW w:w="5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life insurance subsidiaries are subject to risk-based capital guidelines established by statutory regulators requiring minimum capital levels based on the perceived risk of assets, liabilities, disintermediation, and business risk. As of December 31, 2024 and 2023, the life insurance subsidiaries were in compliance with the regulatory criteria.</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total capitalization of stockholders’ equity, and bank loans and other loans payable was $445,758,000 as of December 31, 2024, as compared to $418,450,000 as of December 31, 2023. This increase was primarily due to a $26,122,000 increase in stockholders’ equity and an increase of $1,185,000 in bank loans and other loans payable. Stockholders’ equity as a percentage of total capitalization was 76.1% and 74.8% as of December 31, 2024 and 2023, respectively.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Lapse rates measure the amount of insurance terminated during a particular period. The Company’s lapse rate for life insurance was 7.0% for 2024 as compared to a rate of 4.4% for 2023.</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combined statutory capital and surplus of the Company’s life insurance subsidiaries was $120,216,000 and $107,385,000 as of December 31, 2024 and 2023, respectively. The life insurance subsidiaries cannot pay dividends to their parent company without the approval of state insurance regulatory authorities.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together with related data and projections, about the Company’s projected financial results and its plans and strategies. However, the actual results and needs of the Company may vary materially from forward-looking statements and projections made from time to time by the Company based on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Off-Balance Sheet Agreements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commitments to fund existing construction and land development loans pursuant to the various loan agreements. As of December 31, 2024, the Company’s commitments were approximately $216,368,000 for these loans, of which $152,361,000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ordinary course of the Company’s operations, the Company enters certain contractual obligations. Such obligations include operating leases for office space, agreements with respect to borrowed funds and future policy benefits. See Notes 7, 22, 24 of the Notes to Consolidated Financial Statements for more information about these obligations.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Captive Insurance Participation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 limited equity interest in a captive insurance entity (the “Captive’) that provides workers compensation, general liability and automobile insurance</w:t>
      </w:r>
    </w:p>
    <w:p>
      <w:pPr>
        <w:spacing w:after="0" w:line="34" w:lineRule="exact"/>
        <w:rPr>
          <w:sz w:val="20"/>
          <w:szCs w:val="20"/>
          <w:color w:val="auto"/>
        </w:rPr>
      </w:pPr>
    </w:p>
    <w:p>
      <w:pPr>
        <w:jc w:val="both"/>
        <w:ind w:firstLine="1"/>
        <w:spacing w:after="0" w:line="249" w:lineRule="auto"/>
        <w:tabs>
          <w:tab w:leader="none" w:pos="11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program permits the Company to pool insurance risks and resources with like-minded companies in order to obtain more competitive pricing for claims administration, stop loss insurance premiums and to limit its risk of loss in any particular year. The Captive also provides access to a wide array of safety-related services and regular safety training to help the Company control claims. The maximum exposure to a loss related to the Company’s involvement in the Captive is limited to approximately $443,758, which is collateralized under a standby letter of credit issued on the insurance entity’s behalf. See Note 10, “Reinsurance, Commitments and Contingencies,” for additional discussion of commitments associated with the insurance program. The Company has been a member of the Captive since 2006 and does not expect any material losses to result from the issuance of the standby letter of credit given the Company’s past performance.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the Company is not required to provide information typically disclosed under this item.</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1046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04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INDEX TO CONSOLIDATED FINANCIAL STATEMENTS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Page No.</w:t>
            </w:r>
          </w:p>
        </w:tc>
        <w:tc>
          <w:tcPr>
            <w:tcW w:w="0" w:type="dxa"/>
            <w:vAlign w:val="bottom"/>
          </w:tcPr>
          <w:p>
            <w:pPr>
              <w:spacing w:after="0"/>
              <w:rPr>
                <w:sz w:val="1"/>
                <w:szCs w:val="1"/>
                <w:color w:val="auto"/>
              </w:rPr>
            </w:pPr>
          </w:p>
        </w:tc>
      </w:tr>
      <w:tr>
        <w:trPr>
          <w:trHeight w:val="214"/>
        </w:trPr>
        <w:tc>
          <w:tcPr>
            <w:tcW w:w="16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0300" w:type="dxa"/>
            <w:vAlign w:val="bottom"/>
            <w:gridSpan w:val="8"/>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(PCAOB ID No. 34)</w:t>
            </w: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60" w:type="dxa"/>
            <w:vAlign w:val="bottom"/>
            <w:shd w:val="clear" w:color="auto" w:fill="CCEEFF"/>
          </w:tcPr>
          <w:p>
            <w:pPr>
              <w:spacing w:after="0"/>
              <w:rPr>
                <w:sz w:val="15"/>
                <w:szCs w:val="15"/>
                <w:color w:val="auto"/>
              </w:rPr>
            </w:pPr>
          </w:p>
        </w:tc>
        <w:tc>
          <w:tcPr>
            <w:tcW w:w="10300" w:type="dxa"/>
            <w:vAlign w:val="bottom"/>
            <w:gridSpan w:val="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Consolidated Balance Sheets, December 31, 2024 and 2023</w:t>
            </w:r>
          </w:p>
        </w:tc>
        <w:tc>
          <w:tcPr>
            <w:tcW w:w="78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29</w:t>
            </w:r>
          </w:p>
        </w:tc>
        <w:tc>
          <w:tcPr>
            <w:tcW w:w="0" w:type="dxa"/>
            <w:vAlign w:val="bottom"/>
          </w:tcPr>
          <w:p>
            <w:pPr>
              <w:spacing w:after="0"/>
              <w:rPr>
                <w:sz w:val="1"/>
                <w:szCs w:val="1"/>
                <w:color w:val="auto"/>
              </w:rPr>
            </w:pPr>
          </w:p>
        </w:tc>
      </w:tr>
      <w:tr>
        <w:trPr>
          <w:trHeight w:val="38"/>
        </w:trPr>
        <w:tc>
          <w:tcPr>
            <w:tcW w:w="160" w:type="dxa"/>
            <w:vAlign w:val="bottom"/>
            <w:shd w:val="clear" w:color="auto" w:fill="CCEEFF"/>
          </w:tcPr>
          <w:p>
            <w:pPr>
              <w:spacing w:after="0"/>
              <w:rPr>
                <w:sz w:val="3"/>
                <w:szCs w:val="3"/>
                <w:color w:val="auto"/>
              </w:rPr>
            </w:pPr>
          </w:p>
        </w:tc>
        <w:tc>
          <w:tcPr>
            <w:tcW w:w="2940" w:type="dxa"/>
            <w:vAlign w:val="bottom"/>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4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160" w:type="dxa"/>
            <w:vAlign w:val="bottom"/>
          </w:tcPr>
          <w:p>
            <w:pPr>
              <w:spacing w:after="0"/>
              <w:rPr>
                <w:sz w:val="15"/>
                <w:szCs w:val="15"/>
                <w:color w:val="auto"/>
              </w:rPr>
            </w:pPr>
          </w:p>
        </w:tc>
        <w:tc>
          <w:tcPr>
            <w:tcW w:w="590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8"/>
              </w:rPr>
              <w:t>Consolidated Statements of Earnings for the Years Ended December 31, 2024 and 2023</w:t>
            </w:r>
          </w:p>
        </w:tc>
        <w:tc>
          <w:tcPr>
            <w:tcW w:w="4400" w:type="dxa"/>
            <w:vAlign w:val="bottom"/>
            <w:gridSpan w:val="4"/>
          </w:tcPr>
          <w:p>
            <w:pPr>
              <w:spacing w:after="0"/>
              <w:rPr>
                <w:sz w:val="15"/>
                <w:szCs w:val="15"/>
                <w:color w:val="auto"/>
              </w:rPr>
            </w:pP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31</w:t>
            </w:r>
          </w:p>
        </w:tc>
        <w:tc>
          <w:tcPr>
            <w:tcW w:w="0" w:type="dxa"/>
            <w:vAlign w:val="bottom"/>
          </w:tcPr>
          <w:p>
            <w:pPr>
              <w:spacing w:after="0"/>
              <w:rPr>
                <w:sz w:val="1"/>
                <w:szCs w:val="1"/>
                <w:color w:val="auto"/>
              </w:rPr>
            </w:pP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6900" w:type="dxa"/>
            <w:vAlign w:val="bottom"/>
            <w:tcBorders>
              <w:bottom w:val="single" w:sz="8" w:color="0000EE"/>
            </w:tcBorders>
            <w:gridSpan w:val="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Consolidated Statements of Comprehensive Income for the Years Ended December 31, 2024 and 2023</w:t>
            </w:r>
          </w:p>
        </w:tc>
        <w:tc>
          <w:tcPr>
            <w:tcW w:w="3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32</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0300" w:type="dxa"/>
            <w:vAlign w:val="bottom"/>
            <w:gridSpan w:val="8"/>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Stockholders’ Equity for the Years Ended December 31, 2024 and 2023</w:t>
            </w: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191"/>
        </w:trPr>
        <w:tc>
          <w:tcPr>
            <w:tcW w:w="160" w:type="dxa"/>
            <w:vAlign w:val="bottom"/>
            <w:shd w:val="clear" w:color="auto" w:fill="CCEEFF"/>
          </w:tcPr>
          <w:p>
            <w:pPr>
              <w:spacing w:after="0"/>
              <w:rPr>
                <w:sz w:val="16"/>
                <w:szCs w:val="16"/>
                <w:color w:val="auto"/>
              </w:rPr>
            </w:pPr>
          </w:p>
        </w:tc>
        <w:tc>
          <w:tcPr>
            <w:tcW w:w="6720" w:type="dxa"/>
            <w:vAlign w:val="bottom"/>
            <w:tcBorders>
              <w:top w:val="single" w:sz="8" w:color="0000EE"/>
            </w:tcBorders>
            <w:gridSpan w:val="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2024 and 2023</w:t>
            </w:r>
          </w:p>
        </w:tc>
        <w:tc>
          <w:tcPr>
            <w:tcW w:w="3580" w:type="dxa"/>
            <w:vAlign w:val="bottom"/>
            <w:gridSpan w:val="2"/>
            <w:shd w:val="clear" w:color="auto" w:fill="CCEEFF"/>
          </w:tcPr>
          <w:p>
            <w:pPr>
              <w:spacing w:after="0"/>
              <w:rPr>
                <w:sz w:val="16"/>
                <w:szCs w:val="16"/>
                <w:color w:val="auto"/>
              </w:rPr>
            </w:pPr>
          </w:p>
        </w:tc>
        <w:tc>
          <w:tcPr>
            <w:tcW w:w="78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164"/>
        </w:trPr>
        <w:tc>
          <w:tcPr>
            <w:tcW w:w="160" w:type="dxa"/>
            <w:vAlign w:val="bottom"/>
            <w:tcBorders>
              <w:top w:val="single" w:sz="8" w:color="CCEEFF"/>
            </w:tcBorders>
          </w:tcPr>
          <w:p>
            <w:pPr>
              <w:spacing w:after="0"/>
              <w:rPr>
                <w:sz w:val="14"/>
                <w:szCs w:val="14"/>
                <w:color w:val="auto"/>
              </w:rPr>
            </w:pPr>
          </w:p>
        </w:tc>
        <w:tc>
          <w:tcPr>
            <w:tcW w:w="6080" w:type="dxa"/>
            <w:vAlign w:val="bottom"/>
            <w:tcBorders>
              <w:top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4220" w:type="dxa"/>
            <w:vAlign w:val="bottom"/>
            <w:tcBorders>
              <w:top w:val="single" w:sz="8" w:color="CCEEFF"/>
            </w:tcBorders>
            <w:gridSpan w:val="3"/>
          </w:tcPr>
          <w:p>
            <w:pPr>
              <w:spacing w:after="0"/>
              <w:rPr>
                <w:sz w:val="14"/>
                <w:szCs w:val="14"/>
                <w:color w:val="auto"/>
              </w:rPr>
            </w:pPr>
          </w:p>
        </w:tc>
        <w:tc>
          <w:tcPr>
            <w:tcW w:w="78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36</w:t>
            </w:r>
          </w:p>
        </w:tc>
        <w:tc>
          <w:tcPr>
            <w:tcW w:w="0" w:type="dxa"/>
            <w:vAlign w:val="bottom"/>
          </w:tcPr>
          <w:p>
            <w:pPr>
              <w:spacing w:after="0"/>
              <w:rPr>
                <w:sz w:val="1"/>
                <w:szCs w:val="1"/>
                <w:color w:val="auto"/>
              </w:rPr>
            </w:pPr>
          </w:p>
        </w:tc>
      </w:tr>
      <w:tr>
        <w:trPr>
          <w:trHeight w:val="421"/>
        </w:trPr>
        <w:tc>
          <w:tcPr>
            <w:tcW w:w="160" w:type="dxa"/>
            <w:vAlign w:val="bottom"/>
            <w:tcBorders>
              <w:bottom w:val="single" w:sz="8" w:color="auto"/>
            </w:tcBorders>
          </w:tcPr>
          <w:p>
            <w:pPr>
              <w:spacing w:after="0"/>
              <w:rPr>
                <w:sz w:val="24"/>
                <w:szCs w:val="24"/>
                <w:color w:val="auto"/>
              </w:rPr>
            </w:pPr>
          </w:p>
        </w:tc>
        <w:tc>
          <w:tcPr>
            <w:tcW w:w="2940" w:type="dxa"/>
            <w:vAlign w:val="bottom"/>
            <w:tcBorders>
              <w:top w:val="single" w:sz="8" w:color="0000EE"/>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31" w:name="page32"/>
    <w:bookmarkEnd w:id="31"/>
    <w:p>
      <w:pPr>
        <w:ind w:left="27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Security National Financial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Security National Financial Corporation and subsidiaries (the “Company”) as of December 31, 2024 and 2023, the related consolidated statements of earnings, comprehensive income, stockholders’ equity, and cash flows for each of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Future Policy Benefits for Life Insurance Contracts and Amortization of Deferred Policy Acquisition Costs for Insurance Contracts and Value of Business Acquired - Refer to Notes 1 and 21 to the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management sets assumptions in (1) estimating a liability for life insurance policy benefit payments that will be made in the future (future policy benefits for life insurance contracts), (2) determining amortization of deferred policy acquisition costs for insurance contracts and value of business acquired and (3) performing premium deficiency tests. The most significant assumptions include mortality, lapse, and projected investment yield. Assumptions are determined based upon analysis of company specific experience, industry standards, adjusted for changes in exposure and other relevant factors. Given the inherent uncertainty of these significant assumptions, auditing the development of such assumptions involved especially subjective judgment.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audit procedures related to management’s judgments regarding the mortality, lapse and projected investment yield assumptions used in the development of future policy benefits for life insurance contracts and the amortization of deferred policy acquisition costs for insurance contracts and value of business acquired, included the following, among others:</w:t>
      </w:r>
    </w:p>
    <w:p>
      <w:pPr>
        <w:spacing w:after="0" w:line="169" w:lineRule="exact"/>
        <w:rPr>
          <w:sz w:val="20"/>
          <w:szCs w:val="20"/>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actuarial specialists, we: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these actuarial assumptions, including testing the accuracy and completeness of the supporting experience studies,</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management’s judgments regarding these assumptions used in the development of future policy benefits for life insurance contracts and the amortization of deferred policy acquisition costs and value of business acquired,</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results of the Company’s annual premium deficiency tests.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Salt Lake City, UT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18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9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4"/>
        </w:trPr>
        <w:tc>
          <w:tcPr>
            <w:tcW w:w="5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Assets</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Investments:</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5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(amortized cost of $376,012,071 and $390,884,441 for 2024 and 2023,</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respectively; net of allowance for credit losses of $420,993 and</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$314,549 for 2024 and 2023, respectively)</w:t>
            </w:r>
          </w:p>
        </w:tc>
        <w:tc>
          <w:tcPr>
            <w:tcW w:w="15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366,546,129</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2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381,535,986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5"/>
        </w:trPr>
        <w:tc>
          <w:tcPr>
            <w:tcW w:w="59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Equity securities at estimated fair value (cost of $11,386,454 and</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5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$10,571,505 for 2024 and 2023, respectively)</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15,771,681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13,636,071</w:t>
            </w:r>
          </w:p>
        </w:tc>
        <w:tc>
          <w:tcPr>
            <w:tcW w:w="80" w:type="dxa"/>
            <w:vAlign w:val="bottom"/>
          </w:tcPr>
          <w:p>
            <w:pPr>
              <w:spacing w:after="0"/>
              <w:rPr>
                <w:sz w:val="18"/>
                <w:szCs w:val="18"/>
                <w:color w:val="auto"/>
              </w:rPr>
            </w:pPr>
          </w:p>
        </w:tc>
      </w:tr>
      <w:tr>
        <w:trPr>
          <w:trHeight w:val="186"/>
        </w:trPr>
        <w:tc>
          <w:tcPr>
            <w:tcW w:w="59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Mortgage loans held for investment (net of allowance for credit losses</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of $1,885,390 and $3,818,653 for 2024 and 2023, respectively)</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301,747,358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275,616,837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5"/>
        </w:trPr>
        <w:tc>
          <w:tcPr>
            <w:tcW w:w="59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Real estate held for investment (net of accumulated depreciation</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5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of $31,419,539 and $29,307,791 for 2024 and 2023, respectively)</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197,693,338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183,419,292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 estate held for sale</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1,278,033</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3,028,973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5"/>
        </w:trPr>
        <w:tc>
          <w:tcPr>
            <w:tcW w:w="59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Other investments and policy loans (net of allowances for credit losses</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5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of $1,536,926 and $1,553,836 for 2024 and 2023, respectively)</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74,855,041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69,404,617</w:t>
            </w:r>
          </w:p>
        </w:tc>
        <w:tc>
          <w:tcPr>
            <w:tcW w:w="80" w:type="dxa"/>
            <w:vAlign w:val="bottom"/>
          </w:tcPr>
          <w:p>
            <w:pPr>
              <w:spacing w:after="0"/>
              <w:rPr>
                <w:sz w:val="18"/>
                <w:szCs w:val="18"/>
                <w:color w:val="auto"/>
              </w:rPr>
            </w:pPr>
          </w:p>
        </w:tc>
      </w:tr>
      <w:tr>
        <w:trPr>
          <w:trHeight w:val="21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8,499,168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10,170,790</w:t>
            </w:r>
          </w:p>
        </w:tc>
        <w:tc>
          <w:tcPr>
            <w:tcW w:w="80" w:type="dxa"/>
            <w:vAlign w:val="bottom"/>
            <w:shd w:val="clear" w:color="auto" w:fill="CCEEFF"/>
          </w:tcPr>
          <w:p>
            <w:pPr>
              <w:spacing w:after="0"/>
              <w:rPr>
                <w:sz w:val="18"/>
                <w:szCs w:val="18"/>
                <w:color w:val="auto"/>
              </w:rPr>
            </w:pPr>
          </w:p>
        </w:tc>
      </w:tr>
      <w:tr>
        <w:trPr>
          <w:trHeight w:val="194"/>
        </w:trPr>
        <w:tc>
          <w:tcPr>
            <w:tcW w:w="59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investments</w:t>
            </w:r>
          </w:p>
        </w:tc>
        <w:tc>
          <w:tcPr>
            <w:tcW w:w="108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966,390,748</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936,812,566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94"/>
        </w:trPr>
        <w:tc>
          <w:tcPr>
            <w:tcW w:w="5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and cash equivalents</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140,546,421</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126,941,658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Loans held for sale at estimated fair value</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131,181,148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126,549,190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59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Receivables (net of allowance for credit losses of $1,678,531 and</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$1,897,887 for 2024 and 2023, respectively)</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15,858,743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15,335,315</w:t>
            </w:r>
          </w:p>
        </w:tc>
        <w:tc>
          <w:tcPr>
            <w:tcW w:w="80" w:type="dxa"/>
            <w:vAlign w:val="bottom"/>
            <w:shd w:val="clear" w:color="auto" w:fill="CCEEFF"/>
          </w:tcPr>
          <w:p>
            <w:pPr>
              <w:spacing w:after="0"/>
              <w:rPr>
                <w:sz w:val="18"/>
                <w:szCs w:val="18"/>
                <w:color w:val="auto"/>
              </w:rPr>
            </w:pPr>
          </w:p>
        </w:tc>
      </w:tr>
      <w:tr>
        <w:trPr>
          <w:trHeight w:val="185"/>
        </w:trPr>
        <w:tc>
          <w:tcPr>
            <w:tcW w:w="59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Restricted assets (including $12,323,535 and $9,239,063 for 2024 and</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5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2023, respectively, at estimated fair value)</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23,806,836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20,028,976</w:t>
            </w:r>
          </w:p>
        </w:tc>
        <w:tc>
          <w:tcPr>
            <w:tcW w:w="80" w:type="dxa"/>
            <w:vAlign w:val="bottom"/>
          </w:tcPr>
          <w:p>
            <w:pPr>
              <w:spacing w:after="0"/>
              <w:rPr>
                <w:sz w:val="18"/>
                <w:szCs w:val="18"/>
                <w:color w:val="auto"/>
              </w:rPr>
            </w:pPr>
          </w:p>
        </w:tc>
      </w:tr>
      <w:tr>
        <w:trPr>
          <w:trHeight w:val="186"/>
        </w:trPr>
        <w:tc>
          <w:tcPr>
            <w:tcW w:w="59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Cemetery perpetual care trust investments (including $5,689,706 and</w:t>
            </w:r>
          </w:p>
        </w:tc>
        <w:tc>
          <w:tcPr>
            <w:tcW w:w="10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5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$4,969,005 for 2024 and 2023, respectively, at estimated fair value)</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8,836,503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Receivable from reinsurers</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13,831,093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14,857,059</w:t>
            </w:r>
          </w:p>
        </w:tc>
        <w:tc>
          <w:tcPr>
            <w:tcW w:w="80" w:type="dxa"/>
            <w:vAlign w:val="bottom"/>
          </w:tcPr>
          <w:p>
            <w:pPr>
              <w:spacing w:after="0"/>
              <w:rPr>
                <w:sz w:val="17"/>
                <w:szCs w:val="17"/>
                <w:color w:val="auto"/>
              </w:rPr>
            </w:pPr>
          </w:p>
        </w:tc>
      </w:t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Cemetery land and improvements</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10,594,632</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9,163,691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Deferred policy and pre-need contract acquisition costs</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122,661,298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116,351,067</w:t>
            </w:r>
          </w:p>
        </w:tc>
        <w:tc>
          <w:tcPr>
            <w:tcW w:w="80" w:type="dxa"/>
            <w:vAlign w:val="bottom"/>
          </w:tcPr>
          <w:p>
            <w:pPr>
              <w:spacing w:after="0"/>
              <w:rPr>
                <w:sz w:val="17"/>
                <w:szCs w:val="17"/>
                <w:color w:val="auto"/>
              </w:rPr>
            </w:pPr>
          </w:p>
        </w:tc>
      </w:t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servicing rights, net</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2,939,878</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3,461,146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19,047,688</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19,175,099</w:t>
            </w:r>
          </w:p>
        </w:tc>
        <w:tc>
          <w:tcPr>
            <w:tcW w:w="80" w:type="dxa"/>
            <w:vAlign w:val="bottom"/>
          </w:tcPr>
          <w:p>
            <w:pPr>
              <w:spacing w:after="0"/>
              <w:rPr>
                <w:sz w:val="17"/>
                <w:szCs w:val="17"/>
                <w:color w:val="auto"/>
              </w:rPr>
            </w:pPr>
          </w:p>
        </w:tc>
      </w:t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 of business acquired</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7,491,600</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8,467,613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5,253,783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5,253,783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21,366,843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20,072,195</w:t>
            </w:r>
          </w:p>
        </w:tc>
        <w:tc>
          <w:tcPr>
            <w:tcW w:w="80" w:type="dxa"/>
            <w:vAlign w:val="bottom"/>
            <w:shd w:val="clear" w:color="auto" w:fill="CCEEFF"/>
          </w:tcPr>
          <w:p>
            <w:pPr>
              <w:spacing w:after="0"/>
              <w:rPr>
                <w:sz w:val="18"/>
                <w:szCs w:val="18"/>
                <w:color w:val="auto"/>
              </w:rPr>
            </w:pPr>
          </w:p>
        </w:tc>
      </w:tr>
      <w:tr>
        <w:trPr>
          <w:trHeight w:val="207"/>
        </w:trPr>
        <w:tc>
          <w:tcPr>
            <w:tcW w:w="5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1,489,807,214</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1,430,552,275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18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3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Future policy benefits and unpaid claims</w:t>
            </w:r>
          </w:p>
        </w:tc>
        <w:tc>
          <w:tcPr>
            <w:tcW w:w="21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944,811,843</w:t>
            </w:r>
          </w:p>
        </w:tc>
        <w:tc>
          <w:tcPr>
            <w:tcW w:w="560" w:type="dxa"/>
            <w:vAlign w:val="bottom"/>
            <w:gridSpan w:val="2"/>
            <w:shd w:val="clear" w:color="auto" w:fill="CCEEFF"/>
          </w:tcPr>
          <w:p>
            <w:pPr>
              <w:jc w:val="right"/>
              <w:ind w:right="42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916,038,616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Unearned premium reserve</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2,011,679</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2,543,822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and other loans payable</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106,740,104</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105,555,137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Deferred pre-need cemetery and mortuary contract revenues</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20,168,405</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18,237,246</w:t>
            </w:r>
          </w:p>
        </w:tc>
        <w:tc>
          <w:tcPr>
            <w:tcW w:w="80" w:type="dxa"/>
            <w:vAlign w:val="bottom"/>
          </w:tcPr>
          <w:p>
            <w:pPr>
              <w:spacing w:after="0"/>
              <w:rPr>
                <w:sz w:val="17"/>
                <w:szCs w:val="17"/>
                <w:color w:val="auto"/>
              </w:rPr>
            </w:pP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Cemetery perpetual care obligation</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5,642,693</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5,326,196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2,937,293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2,936,968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 and accrued expenses</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55,633,661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53,266,090</w:t>
            </w:r>
          </w:p>
        </w:tc>
        <w:tc>
          <w:tcPr>
            <w:tcW w:w="80" w:type="dxa"/>
            <w:vAlign w:val="bottom"/>
            <w:shd w:val="clear" w:color="auto" w:fill="CCEEFF"/>
          </w:tcPr>
          <w:p>
            <w:pPr>
              <w:spacing w:after="0"/>
              <w:rPr>
                <w:sz w:val="17"/>
                <w:szCs w:val="17"/>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13,079,257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13,752,981</w:t>
            </w:r>
          </w:p>
        </w:tc>
        <w:tc>
          <w:tcPr>
            <w:tcW w:w="80" w:type="dxa"/>
            <w:vAlign w:val="bottom"/>
          </w:tcPr>
          <w:p>
            <w:pPr>
              <w:spacing w:after="0"/>
              <w:rPr>
                <w:sz w:val="18"/>
                <w:szCs w:val="18"/>
                <w:color w:val="auto"/>
              </w:rPr>
            </w:pPr>
          </w:p>
        </w:tc>
      </w:tr>
      <w:tr>
        <w:trPr>
          <w:trHeight w:val="194"/>
        </w:trPr>
        <w:tc>
          <w:tcPr>
            <w:tcW w:w="53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liabilities</w:t>
            </w:r>
          </w:p>
        </w:tc>
        <w:tc>
          <w:tcPr>
            <w:tcW w:w="16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1,151,024,935</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1,117,657,056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4"/>
        </w:trPr>
        <w:tc>
          <w:tcPr>
            <w:tcW w:w="53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Stockholders’ Equity</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5"/>
        </w:trPr>
        <w:tc>
          <w:tcPr>
            <w:tcW w:w="53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Preferred stock - non-voting-$1.00 par value; 5,000,000 shares authorized;</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5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none issued or outstanding</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5"/>
        </w:trPr>
        <w:tc>
          <w:tcPr>
            <w:tcW w:w="53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Class A: common stock - $2.00 par value; 40,000,000 shares authorized;</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5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21,255,006 shares issued and outstanding as of December 31, 2024 and</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5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21,052,883 (1) shares issued and outstanding as of December 31, 2023</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42,510,012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40,096,004</w:t>
            </w:r>
          </w:p>
        </w:tc>
        <w:tc>
          <w:tcPr>
            <w:tcW w:w="80" w:type="dxa"/>
            <w:vAlign w:val="bottom"/>
          </w:tcPr>
          <w:p>
            <w:pPr>
              <w:spacing w:after="0"/>
              <w:rPr>
                <w:sz w:val="18"/>
                <w:szCs w:val="18"/>
                <w:color w:val="auto"/>
              </w:rPr>
            </w:pPr>
          </w:p>
        </w:tc>
      </w:tr>
      <w:tr>
        <w:trPr>
          <w:trHeight w:val="186"/>
        </w:trPr>
        <w:tc>
          <w:tcPr>
            <w:tcW w:w="53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Class B: non-voting common stock - $1.00 par value; 5,000,000</w:t>
            </w:r>
          </w:p>
        </w:tc>
        <w:tc>
          <w:tcPr>
            <w:tcW w:w="1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shares authorized; none issued or outstanding</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5"/>
        </w:trPr>
        <w:tc>
          <w:tcPr>
            <w:tcW w:w="53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Class C: convertible common stock - $2.00 par value; 6,000,000 shares</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53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authorized; 3,321,833 shares issued and outstanding as of December 31, 2024</w:t>
            </w:r>
          </w:p>
        </w:tc>
        <w:tc>
          <w:tcPr>
            <w:tcW w:w="2100" w:type="dxa"/>
            <w:vAlign w:val="bottom"/>
            <w:gridSpan w:val="2"/>
          </w:tcPr>
          <w:p>
            <w:pPr>
              <w:jc w:val="right"/>
              <w:ind w:right="776"/>
              <w:spacing w:after="0"/>
              <w:rPr>
                <w:sz w:val="20"/>
                <w:szCs w:val="20"/>
                <w:color w:val="auto"/>
              </w:rPr>
            </w:pPr>
            <w:r>
              <w:rPr>
                <w:rFonts w:ascii="Times New Roman" w:cs="Times New Roman" w:eastAsia="Times New Roman" w:hAnsi="Times New Roman"/>
                <w:sz w:val="17"/>
                <w:szCs w:val="17"/>
                <w:color w:val="auto"/>
              </w:rPr>
              <w:t>and 3,120,432 (1)</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and outstanding as of December 31, 2023</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6,643,666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5,943,708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79,698,367</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72,424,429</w:t>
            </w:r>
          </w:p>
        </w:tc>
        <w:tc>
          <w:tcPr>
            <w:tcW w:w="80" w:type="dxa"/>
            <w:vAlign w:val="bottom"/>
            <w:shd w:val="clear" w:color="auto" w:fill="CCEEFF"/>
          </w:tcPr>
          <w:p>
            <w:pPr>
              <w:spacing w:after="0"/>
              <w:rPr>
                <w:sz w:val="17"/>
                <w:szCs w:val="17"/>
                <w:color w:val="auto"/>
              </w:rPr>
            </w:pPr>
          </w:p>
        </w:tc>
      </w:tr>
      <w:tr>
        <w:trPr>
          <w:trHeight w:val="202"/>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 net of taxes</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(6,951,266)</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(6,885,558)</w:t>
            </w:r>
          </w:p>
        </w:tc>
      </w:tr>
      <w:tr>
        <w:trPr>
          <w:trHeight w:val="202"/>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225,359,186</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206,978,373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5"/>
        </w:trPr>
        <w:tc>
          <w:tcPr>
            <w:tcW w:w="53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Treasury stock, at cost - 1,025,784 Class A shares and 99,623 Class C shares</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7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as of December 31, 2024; and 852,338 (1) Class A shares and 35,503 (1) Class C</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shares as of December 31, 2023</w:t>
            </w:r>
          </w:p>
        </w:tc>
        <w:tc>
          <w:tcPr>
            <w:tcW w:w="1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(8,477,686)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(5,661,737)</w:t>
            </w:r>
          </w:p>
        </w:tc>
      </w:tr>
      <w:tr>
        <w:trPr>
          <w:trHeight w:val="195"/>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338,782,279</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312,895,219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7"/>
        </w:trPr>
        <w:tc>
          <w:tcPr>
            <w:tcW w:w="5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660" w:type="dxa"/>
            <w:vAlign w:val="bottom"/>
          </w:tcPr>
          <w:p>
            <w:pPr>
              <w:spacing w:after="0"/>
              <w:rPr>
                <w:sz w:val="17"/>
                <w:szCs w:val="17"/>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1,489,807,214</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1,430,552,275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Issued and outstanding shares have been adjusted retroactively for the effect of annual stock dividends.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EARNINGS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20" w:type="dxa"/>
            <w:vAlign w:val="bottom"/>
            <w:gridSpan w:val="6"/>
          </w:tcPr>
          <w:p>
            <w:pPr>
              <w:jc w:val="right"/>
              <w:ind w:right="1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Insurance premiums and other considerations</w:t>
            </w:r>
          </w:p>
        </w:tc>
        <w:tc>
          <w:tcPr>
            <w:tcW w:w="76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119,655,745</w:t>
            </w: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114,658,436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fee income</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107,558,640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98,147,972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71,725,249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72,343,047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mortuary and cemetery sales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29,037,173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27,864,811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Gains on investments and other assets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1,941,898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1,837,342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4,603,963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334,522,668</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318,497,490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Benefits and expenses: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Death benefits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58,116,837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61,390,517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Surrenders and other policy benefits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4,584,763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future policy benefits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36,253,859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34,008,997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deferred policy and pre-need acquisition costs and value of business acquired</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15,940,371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18,024,338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Commissions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46,972,909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39,929,556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Personnel</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85,084,802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83,141,759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3,115,120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Rent and rent related</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5,147,069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on property and equipment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2,383,621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2,351,661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Costs related to funding mortgage loans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6,134,709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6,440,439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27,627,210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32,058,856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4,254,100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4,865,327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goods and services sold – cemeteries and mortuaries</w:t>
            </w: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4,803,528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4,805,700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benefits and expenses</w:t>
            </w:r>
          </w:p>
        </w:tc>
        <w:tc>
          <w:tcPr>
            <w:tcW w:w="3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300,418,898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302,197,078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before income taxes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34,103,770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16,300,412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(7,568,002)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(1,805,354)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26,535,768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14,495,058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earnings per Class A equivalent common share (1)</w:t>
            </w:r>
          </w:p>
        </w:tc>
        <w:tc>
          <w:tcPr>
            <w:tcW w:w="7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1.14</w:t>
            </w: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6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Net earnings per Class A equivalent common share -</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assuming dilution (1)</w:t>
            </w:r>
          </w:p>
        </w:tc>
        <w:tc>
          <w:tcPr>
            <w:tcW w:w="7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6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Weighted average Class A equivalent common shares</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23,314,643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23,189,418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Class A equivalent common shares outstanding-assuming dilution (1)</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23,975,508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23,813,324</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00" w:hanging="299"/>
        <w:spacing w:after="0" w:line="261"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0" w:type="dxa"/>
            <w:vAlign w:val="bottom"/>
            <w:tcBorders>
              <w:bottom w:val="single" w:sz="8" w:color="auto"/>
            </w:tcBorders>
            <w:gridSpan w:val="5"/>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5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9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earnings</w:t>
            </w:r>
          </w:p>
        </w:tc>
        <w:tc>
          <w:tcPr>
            <w:tcW w:w="10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26,535,768</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6"/>
              </w:rPr>
              <w:t>14,495,058</w:t>
            </w:r>
          </w:p>
        </w:tc>
        <w:tc>
          <w:tcPr>
            <w:tcW w:w="100" w:type="dxa"/>
            <w:vAlign w:val="bottom"/>
            <w:tcBorders>
              <w:top w:val="single" w:sz="8" w:color="CCEEFF"/>
            </w:tcBorders>
            <w:shd w:val="clear" w:color="auto" w:fill="CCEEFF"/>
          </w:tcPr>
          <w:p>
            <w:pPr>
              <w:spacing w:after="0"/>
              <w:rPr>
                <w:sz w:val="16"/>
                <w:szCs w:val="16"/>
                <w:color w:val="auto"/>
              </w:rPr>
            </w:pPr>
          </w:p>
        </w:tc>
      </w:tr>
      <w:tr>
        <w:trPr>
          <w:trHeight w:val="194"/>
        </w:trPr>
        <w:tc>
          <w:tcPr>
            <w:tcW w:w="596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gains (losses) on fixed maturity securities available for sale</w:t>
            </w: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(79,228)</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7,814,324</w:t>
            </w:r>
          </w:p>
        </w:tc>
        <w:tc>
          <w:tcPr>
            <w:tcW w:w="100" w:type="dxa"/>
            <w:vAlign w:val="bottom"/>
            <w:shd w:val="clear" w:color="auto" w:fill="CCEEFF"/>
          </w:tcPr>
          <w:p>
            <w:pPr>
              <w:spacing w:after="0"/>
              <w:rPr>
                <w:sz w:val="17"/>
                <w:szCs w:val="17"/>
                <w:color w:val="auto"/>
              </w:rPr>
            </w:pPr>
          </w:p>
        </w:tc>
      </w:tr>
      <w:tr>
        <w:trPr>
          <w:trHeight w:val="202"/>
        </w:trPr>
        <w:tc>
          <w:tcPr>
            <w:tcW w:w="5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Unrealized gains on restricted assets</w:t>
            </w: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841</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11,175</w:t>
            </w:r>
          </w:p>
        </w:tc>
      </w:tr>
      <w:tr>
        <w:trPr>
          <w:trHeight w:val="214"/>
        </w:trPr>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gains (losses) on cemetery perpetual care trust investments</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(1,403)</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2,917</w:t>
            </w:r>
          </w:p>
        </w:tc>
      </w:tr>
      <w:tr>
        <w:trPr>
          <w:trHeight w:val="194"/>
        </w:trPr>
        <w:tc>
          <w:tcPr>
            <w:tcW w:w="5960" w:type="dxa"/>
            <w:vAlign w:val="bottom"/>
          </w:tcPr>
          <w:p>
            <w:pPr>
              <w:ind w:left="160"/>
              <w:spacing w:after="0" w:line="194" w:lineRule="exact"/>
              <w:rPr>
                <w:sz w:val="20"/>
                <w:szCs w:val="20"/>
                <w:color w:val="auto"/>
              </w:rPr>
            </w:pPr>
            <w:r>
              <w:rPr>
                <w:rFonts w:ascii="Times New Roman" w:cs="Times New Roman" w:eastAsia="Times New Roman" w:hAnsi="Times New Roman"/>
                <w:sz w:val="17"/>
                <w:szCs w:val="17"/>
                <w:color w:val="auto"/>
              </w:rPr>
              <w:t>Other comprehensive income (loss), before income tax</w:t>
            </w:r>
          </w:p>
        </w:tc>
        <w:tc>
          <w:tcPr>
            <w:tcW w:w="10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(79,790)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7,828,416</w:t>
            </w:r>
          </w:p>
        </w:tc>
        <w:tc>
          <w:tcPr>
            <w:tcW w:w="100" w:type="dxa"/>
            <w:vAlign w:val="bottom"/>
          </w:tcPr>
          <w:p>
            <w:pPr>
              <w:spacing w:after="0"/>
              <w:rPr>
                <w:sz w:val="16"/>
                <w:szCs w:val="16"/>
                <w:color w:val="auto"/>
              </w:rPr>
            </w:pPr>
          </w:p>
        </w:tc>
      </w:tr>
      <w:tr>
        <w:trPr>
          <w:trHeight w:val="214"/>
        </w:trPr>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14,082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(1,643,697)</w:t>
            </w:r>
          </w:p>
        </w:tc>
      </w:tr>
      <w:tr>
        <w:trPr>
          <w:trHeight w:val="194"/>
        </w:trPr>
        <w:tc>
          <w:tcPr>
            <w:tcW w:w="5960" w:type="dxa"/>
            <w:vAlign w:val="bottom"/>
            <w:tcBorders>
              <w:bottom w:val="single" w:sz="8" w:color="CCEEFF"/>
            </w:tcBorders>
          </w:tcPr>
          <w:p>
            <w:pPr>
              <w:ind w:left="160"/>
              <w:spacing w:after="0" w:line="194" w:lineRule="exact"/>
              <w:rPr>
                <w:sz w:val="20"/>
                <w:szCs w:val="20"/>
                <w:color w:val="auto"/>
              </w:rPr>
            </w:pPr>
            <w:r>
              <w:rPr>
                <w:rFonts w:ascii="Times New Roman" w:cs="Times New Roman" w:eastAsia="Times New Roman" w:hAnsi="Times New Roman"/>
                <w:sz w:val="17"/>
                <w:szCs w:val="17"/>
                <w:color w:val="auto"/>
              </w:rPr>
              <w:t>Other comprehensive income (loss), net of income tax</w:t>
            </w:r>
          </w:p>
        </w:tc>
        <w:tc>
          <w:tcPr>
            <w:tcW w:w="102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(65,708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6,184,719</w:t>
            </w:r>
          </w:p>
        </w:tc>
        <w:tc>
          <w:tcPr>
            <w:tcW w:w="100" w:type="dxa"/>
            <w:vAlign w:val="bottom"/>
            <w:tcBorders>
              <w:bottom w:val="single" w:sz="8" w:color="CCEEFF"/>
            </w:tcBorders>
          </w:tcPr>
          <w:p>
            <w:pPr>
              <w:spacing w:after="0"/>
              <w:rPr>
                <w:sz w:val="16"/>
                <w:szCs w:val="16"/>
                <w:color w:val="auto"/>
              </w:rPr>
            </w:pPr>
          </w:p>
        </w:tc>
      </w:tr>
      <w:tr>
        <w:trPr>
          <w:trHeight w:val="207"/>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1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26,470,060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20,679,777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7"/>
              </w:rPr>
              <w:t>Accumulated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Class C</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80" w:type="dxa"/>
            <w:vAlign w:val="bottom"/>
          </w:tcPr>
          <w:p>
            <w:pPr>
              <w:spacing w:after="0"/>
              <w:rPr>
                <w:sz w:val="17"/>
                <w:szCs w:val="17"/>
                <w:color w:val="auto"/>
              </w:rPr>
            </w:pPr>
          </w:p>
        </w:tc>
        <w:tc>
          <w:tcPr>
            <w:tcW w:w="1080" w:type="dxa"/>
            <w:vAlign w:val="bottom"/>
            <w:gridSpan w:val="2"/>
          </w:tcPr>
          <w:p>
            <w:pPr>
              <w:jc w:val="center"/>
              <w:ind w:right="261"/>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0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60" w:type="dxa"/>
            <w:vAlign w:val="bottom"/>
            <w:gridSpan w:val="3"/>
          </w:tcPr>
          <w:p>
            <w:pPr>
              <w:jc w:val="center"/>
              <w:ind w:right="61"/>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2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20" w:type="dxa"/>
            <w:vAlign w:val="bottom"/>
          </w:tcPr>
          <w:p>
            <w:pPr>
              <w:spacing w:after="0"/>
              <w:rPr>
                <w:sz w:val="19"/>
                <w:szCs w:val="19"/>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60" w:type="dxa"/>
            <w:vAlign w:val="bottom"/>
            <w:gridSpan w:val="3"/>
          </w:tcPr>
          <w:p>
            <w:pPr>
              <w:jc w:val="center"/>
              <w:ind w:right="81"/>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12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b w:val="1"/>
                <w:bCs w:val="1"/>
                <w:color w:val="auto"/>
              </w:rPr>
              <w:t>Stock</w:t>
            </w:r>
          </w:p>
        </w:tc>
        <w:tc>
          <w:tcPr>
            <w:tcW w:w="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$37,516,062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$ 5,779,718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$64,767,769</w:t>
            </w: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(13,070,277)</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$ 202,160,306</w:t>
            </w: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9"/>
              </w:rPr>
              <w:t>$ (4,366,651)</w:t>
            </w: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$ 292,786,927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Adoption of ASU 2016-13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(671,506)</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(671,506)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14,495,058</w:t>
            </w: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14,495,058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6,184,719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6,184,719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Stock 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601,362</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601,362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558,354</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(423,967)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134,387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Vesting of restricted stock units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2,430</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(2,430)</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76,202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2,134,517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2,210,719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583,156</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(3,429,603)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(2,846,447)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dividends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1,899,960</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283,188</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6,822,337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(9,005,485)</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Conversion Class C to Class 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119,198</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(119,198)</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40,096,004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5,943,708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72,424,429</w:t>
            </w: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(6,885,558)</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206,978,373</w:t>
            </w: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(5,661,737)</w:t>
            </w: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312,895,219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26,535,768</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26,535,768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(65,708)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(65,708)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based 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800,820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800,820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400,144</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403,334</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413,835</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(768,191)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449,122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Vesting of restricted stock units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3,570</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(3,570)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Sale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214,816</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1,005,748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1,220,564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(3,053,506)</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(3,053,506)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Stock dividends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2,009,762</w:t>
            </w:r>
          </w:p>
        </w:tc>
        <w:tc>
          <w:tcPr>
            <w:tcW w:w="12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297,156</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5,848,037</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(8,154,955)</w:t>
            </w: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Class C to Class A</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532</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(532)</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42,510,012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$ 6,643,666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79,698,367</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(6,951,266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225,359,186</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(8,477,686</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2"/>
              </w:rPr>
              <w:t>$</w:t>
            </w:r>
            <w:r>
              <w:rPr>
                <w:rFonts w:ascii="Times New Roman" w:cs="Times New Roman" w:eastAsia="Times New Roman" w:hAnsi="Times New Roman"/>
                <w:sz w:val="17"/>
                <w:szCs w:val="17"/>
                <w:color w:val="auto"/>
                <w:w w:val="92"/>
              </w:rPr>
              <w:t xml:space="preserve"> 338,782,279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20" w:type="dxa"/>
            <w:vAlign w:val="bottom"/>
            <w:gridSpan w:val="6"/>
          </w:tcPr>
          <w:p>
            <w:pPr>
              <w:jc w:val="right"/>
              <w:ind w:right="1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07"/>
        </w:trPr>
        <w:tc>
          <w:tcPr>
            <w:tcW w:w="6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6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earnings</w:t>
            </w: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26,535,768</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14,495,058</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earnings to net cash used in operating activities: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Gains on investments and other assets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(1,941,898)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(1,837,342)</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8,172,446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8,641,080</w:t>
            </w:r>
          </w:p>
        </w:tc>
        <w:tc>
          <w:tcPr>
            <w:tcW w:w="100" w:type="dxa"/>
            <w:vAlign w:val="bottom"/>
            <w:shd w:val="clear" w:color="auto" w:fill="CCEEFF"/>
          </w:tcPr>
          <w:p>
            <w:pPr>
              <w:spacing w:after="0"/>
              <w:rPr>
                <w:sz w:val="17"/>
                <w:szCs w:val="17"/>
                <w:color w:val="auto"/>
              </w:rPr>
            </w:pP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55,750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1,959,707</w:t>
            </w:r>
          </w:p>
        </w:tc>
        <w:tc>
          <w:tcPr>
            <w:tcW w:w="100" w:type="dxa"/>
            <w:vAlign w:val="bottom"/>
          </w:tcPr>
          <w:p>
            <w:pPr>
              <w:spacing w:after="0"/>
              <w:rPr>
                <w:sz w:val="17"/>
                <w:szCs w:val="17"/>
                <w:color w:val="auto"/>
              </w:rPr>
            </w:pP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amortization of deferred fees and costs, premiums and discounts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(1,992,153)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(2,140,548)</w:t>
            </w: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Provision for deferred income taxes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311,971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(2,495,489)</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Policy and pre-need acquisition costs deferred</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(21,343,031)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(24,432,809)</w:t>
            </w: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Policy and pre-need acquisition costs amortized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15,032,413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16,724,336</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Value of business acquired amortized</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907,958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1,300,002</w:t>
            </w:r>
          </w:p>
        </w:tc>
        <w:tc>
          <w:tcPr>
            <w:tcW w:w="100" w:type="dxa"/>
            <w:vAlign w:val="bottom"/>
            <w:shd w:val="clear" w:color="auto" w:fill="CCEEFF"/>
          </w:tcPr>
          <w:p>
            <w:pPr>
              <w:spacing w:after="0"/>
              <w:rPr>
                <w:sz w:val="17"/>
                <w:szCs w:val="17"/>
                <w:color w:val="auto"/>
              </w:rPr>
            </w:pP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Mortgage servicing rights, additions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(90,370)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(1,009,312)</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mortgage servicing rights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611,638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587,931</w:t>
            </w: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based compensation expense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800,820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601,362</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Benefit plans funded with treasury stock</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1,220,564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2,210,719</w:t>
            </w:r>
          </w:p>
        </w:tc>
        <w:tc>
          <w:tcPr>
            <w:tcW w:w="100" w:type="dxa"/>
            <w:vAlign w:val="bottom"/>
            <w:shd w:val="clear" w:color="auto" w:fill="CCEEFF"/>
          </w:tcPr>
          <w:p>
            <w:pPr>
              <w:spacing w:after="0"/>
              <w:rPr>
                <w:sz w:val="17"/>
                <w:szCs w:val="17"/>
                <w:color w:val="auto"/>
              </w:rPr>
            </w:pP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change in fair value of loans held for sale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(2,869,729)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478,460</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Originations of loans held for sale</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(2,295,830,408)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(2,173,080,584)</w:t>
            </w: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loans held for sale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2,338,209,587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2,224,454,040</w:t>
            </w: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gains on sales of loans held for sale</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(45,383,321)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(40,239,112)</w:t>
            </w: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Land and improvements held for sale</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(1,430,941)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(62,217)</w:t>
            </w:r>
          </w:p>
        </w:tc>
      </w:tr>
      <w:tr>
        <w:trPr>
          <w:trHeight w:val="202"/>
        </w:trPr>
        <w:tc>
          <w:tcPr>
            <w:tcW w:w="6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Future policy benefits and unpaid claims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31,595,619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29,745,349</w:t>
            </w:r>
          </w:p>
        </w:tc>
      </w:tr>
      <w:tr>
        <w:trPr>
          <w:trHeight w:val="214"/>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operating assets and liabilities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4,747,167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(2,025,510)</w:t>
            </w:r>
          </w:p>
        </w:tc>
      </w:tr>
      <w:tr>
        <w:trPr>
          <w:trHeight w:val="194"/>
        </w:trPr>
        <w:tc>
          <w:tcPr>
            <w:tcW w:w="6740" w:type="dxa"/>
            <w:vAlign w:val="bottom"/>
            <w:tcBorders>
              <w:bottom w:val="single" w:sz="8" w:color="CCEEFF"/>
            </w:tcBorders>
          </w:tcPr>
          <w:p>
            <w:pPr>
              <w:ind w:left="500"/>
              <w:spacing w:after="0" w:line="194" w:lineRule="exact"/>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57,319,850</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53,875,121</w:t>
            </w:r>
          </w:p>
        </w:tc>
        <w:tc>
          <w:tcPr>
            <w:tcW w:w="100" w:type="dxa"/>
            <w:vAlign w:val="bottom"/>
            <w:tcBorders>
              <w:bottom w:val="single" w:sz="8" w:color="CCEEFF"/>
            </w:tcBorders>
          </w:tcPr>
          <w:p>
            <w:pPr>
              <w:spacing w:after="0"/>
              <w:rPr>
                <w:sz w:val="16"/>
                <w:szCs w:val="16"/>
                <w:color w:val="auto"/>
              </w:rPr>
            </w:pPr>
          </w:p>
        </w:tc>
      </w:tr>
      <w:tr>
        <w:trPr>
          <w:trHeight w:val="194"/>
        </w:trPr>
        <w:tc>
          <w:tcPr>
            <w:tcW w:w="6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fixed maturity securities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(85,235,694)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(70,315,501)</w:t>
            </w:r>
          </w:p>
        </w:tc>
      </w:tr>
      <w:tr>
        <w:trPr>
          <w:trHeight w:val="202"/>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calls and maturities of fixed maturity securities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101,038,735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42,966,901</w:t>
            </w: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 of equity securities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(3,098,448)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(6,993,289)</w:t>
            </w:r>
          </w:p>
        </w:tc>
      </w:tr>
      <w:tr>
        <w:trPr>
          <w:trHeight w:val="202"/>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of equity securities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2,321,623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6,346,625</w:t>
            </w:r>
          </w:p>
        </w:tc>
        <w:tc>
          <w:tcPr>
            <w:tcW w:w="100" w:type="dxa"/>
            <w:vAlign w:val="bottom"/>
            <w:shd w:val="clear" w:color="auto" w:fill="CCEEFF"/>
          </w:tcPr>
          <w:p>
            <w:pPr>
              <w:spacing w:after="0"/>
              <w:rPr>
                <w:sz w:val="17"/>
                <w:szCs w:val="17"/>
                <w:color w:val="auto"/>
              </w:rPr>
            </w:pP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restricted assets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(6,039,118)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(3,065,758)</w:t>
            </w:r>
          </w:p>
        </w:tc>
      </w:tr>
      <w:tr>
        <w:trPr>
          <w:trHeight w:val="202"/>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calls and maturities of restricted assets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1,579,178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840,080</w:t>
            </w: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cemetery perpetual care trust investments</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(4,615,717)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(1,083,550)</w:t>
            </w:r>
          </w:p>
        </w:tc>
      </w:tr>
      <w:tr>
        <w:trPr>
          <w:trHeight w:val="202"/>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calls and maturities of cemetery perpetual care trust investments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2,607,608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458,046</w:t>
            </w: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Mortgage loans held for investment, other investments and policy loans made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(740,739,575)</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(645,581,141)</w:t>
            </w:r>
          </w:p>
        </w:tc>
      </w:tr>
      <w:tr>
        <w:trPr>
          <w:trHeight w:val="202"/>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received for mortgage loans held for investment, other investments and policy loans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707,194,046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682,267,677</w:t>
            </w:r>
          </w:p>
        </w:tc>
        <w:tc>
          <w:tcPr>
            <w:tcW w:w="100" w:type="dxa"/>
            <w:vAlign w:val="bottom"/>
            <w:shd w:val="clear" w:color="auto" w:fill="CCEEFF"/>
          </w:tcPr>
          <w:p>
            <w:pPr>
              <w:spacing w:after="0"/>
              <w:rPr>
                <w:sz w:val="17"/>
                <w:szCs w:val="17"/>
                <w:color w:val="auto"/>
              </w:rPr>
            </w:pP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(2,470,032)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(1,109,937)</w:t>
            </w:r>
          </w:p>
        </w:tc>
      </w:tr>
      <w:tr>
        <w:trPr>
          <w:trHeight w:val="202"/>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of property and equipment</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365,697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67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real estate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(52,348,798)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(22,894,604)</w:t>
            </w:r>
          </w:p>
        </w:tc>
      </w:tr>
      <w:tr>
        <w:trPr>
          <w:trHeight w:val="214"/>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Sales of real estate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36,306,431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32,772,520</w:t>
            </w:r>
          </w:p>
        </w:tc>
      </w:tr>
      <w:tr>
        <w:trPr>
          <w:trHeight w:val="194"/>
        </w:trPr>
        <w:tc>
          <w:tcPr>
            <w:tcW w:w="6740" w:type="dxa"/>
            <w:vAlign w:val="bottom"/>
          </w:tcPr>
          <w:p>
            <w:pPr>
              <w:ind w:left="340"/>
              <w:spacing w:after="0" w:line="194" w:lineRule="exact"/>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4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(43,134,064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14,608,069</w:t>
            </w:r>
          </w:p>
        </w:tc>
        <w:tc>
          <w:tcPr>
            <w:tcW w:w="100" w:type="dxa"/>
            <w:vAlign w:val="bottom"/>
          </w:tcPr>
          <w:p>
            <w:pPr>
              <w:spacing w:after="0"/>
              <w:rPr>
                <w:sz w:val="16"/>
                <w:szCs w:val="16"/>
                <w:color w:val="auto"/>
              </w:rPr>
            </w:pPr>
          </w:p>
        </w:tc>
      </w:tr>
      <w:tr>
        <w:trPr>
          <w:trHeight w:val="396"/>
        </w:trPr>
        <w:tc>
          <w:tcPr>
            <w:tcW w:w="674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20" w:type="dxa"/>
            <w:vAlign w:val="bottom"/>
            <w:gridSpan w:val="6"/>
          </w:tcPr>
          <w:p>
            <w:pPr>
              <w:jc w:val="right"/>
              <w:ind w:right="1121"/>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contract receipts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13,302,949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12,572,508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contract withdrawals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(15,631,260)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(15,654,593)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stock options exercised</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449,122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134,387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(3,053,506)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(2,846,447)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bank loans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(1,929,346)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(69,602,737)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bank loans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68,500,000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change in warehouse line borrowings for loans held for sale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2,855,476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(55,146,726)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tcBorders>
              <w:top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color w:val="auto"/>
              </w:rPr>
              <w:t>Net cash used in financing activities</w:t>
            </w: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(4,006,565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(62,043,608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change in cash, cash equivalents, restricted cash and restricted cash equivalents</w:t>
            </w: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10,179,221</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6,439,582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cash equivalents, restricted cash and restricted cash equivalents at beginning of year</w:t>
            </w:r>
          </w:p>
        </w:tc>
        <w:tc>
          <w:tcPr>
            <w:tcW w:w="2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139,923,399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133,483,817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restricted cash and restricted cash equivalents at end of year</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150,102,620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139,923,399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66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4,196,139</w:t>
            </w:r>
          </w:p>
        </w:tc>
        <w:tc>
          <w:tcPr>
            <w:tcW w:w="200" w:type="dxa"/>
            <w:vAlign w:val="bottom"/>
          </w:tcPr>
          <w:p>
            <w:pPr>
              <w:spacing w:after="0"/>
              <w:rPr>
                <w:sz w:val="17"/>
                <w:szCs w:val="17"/>
                <w:color w:val="auto"/>
              </w:rPr>
            </w:pP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5,136,747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8,227,642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20,406,598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 Cash Investing and Financing Activities: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operating lease liabilities</w:t>
            </w:r>
          </w:p>
        </w:tc>
        <w:tc>
          <w:tcPr>
            <w:tcW w:w="66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1,770,873</w:t>
            </w:r>
          </w:p>
        </w:tc>
        <w:tc>
          <w:tcPr>
            <w:tcW w:w="200" w:type="dxa"/>
            <w:vAlign w:val="bottom"/>
          </w:tcPr>
          <w:p>
            <w:pPr>
              <w:spacing w:after="0"/>
              <w:rPr>
                <w:sz w:val="17"/>
                <w:szCs w:val="17"/>
                <w:color w:val="auto"/>
              </w:rPr>
            </w:pP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160,348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foreclosed into real estate held for sale</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858,977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loans held for investment foreclosed into real estate held for sale</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671,480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foreclosed into receivables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382,936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finance lease liabilities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176,040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12,332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of loans held for sale to mortgage loans held for investment</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3,017,626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Transfer from mortgage loans held for investment to restricted assets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from mortgage loans held for investment to cemetery perpetual care trust investments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1,611,550</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Reconciliation of cash, cash equivalents, restricted cash and restricted cash equivalents as shown in the consolidated statements of cash flows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20" w:type="dxa"/>
            <w:vAlign w:val="bottom"/>
            <w:gridSpan w:val="6"/>
          </w:tcPr>
          <w:p>
            <w:pPr>
              <w:jc w:val="right"/>
              <w:ind w:right="1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07"/>
        </w:trPr>
        <w:tc>
          <w:tcPr>
            <w:tcW w:w="69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and cash equivalents</w:t>
            </w:r>
          </w:p>
        </w:tc>
        <w:tc>
          <w:tcPr>
            <w:tcW w:w="440" w:type="dxa"/>
            <w:vAlign w:val="bottom"/>
            <w:shd w:val="clear" w:color="auto" w:fill="CCEEFF"/>
          </w:tcPr>
          <w:p>
            <w:pPr>
              <w:jc w:val="right"/>
              <w:ind w:right="2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140,546,421</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126,941,658</w:t>
            </w:r>
          </w:p>
        </w:tc>
        <w:tc>
          <w:tcPr>
            <w:tcW w:w="100" w:type="dxa"/>
            <w:vAlign w:val="bottom"/>
            <w:shd w:val="clear" w:color="auto" w:fill="CCEEFF"/>
          </w:tcPr>
          <w:p>
            <w:pPr>
              <w:spacing w:after="0"/>
              <w:rPr>
                <w:sz w:val="16"/>
                <w:szCs w:val="16"/>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Restricted assets</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8,553,803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10,114,694</w:t>
            </w: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Cemetery perpetual care trust investments</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1,002,396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2,867,047</w:t>
            </w:r>
          </w:p>
        </w:tc>
        <w:tc>
          <w:tcPr>
            <w:tcW w:w="100" w:type="dxa"/>
            <w:vAlign w:val="bottom"/>
            <w:shd w:val="clear" w:color="auto" w:fill="CCEEFF"/>
          </w:tcPr>
          <w:p>
            <w:pPr>
              <w:spacing w:after="0"/>
              <w:rPr>
                <w:sz w:val="18"/>
                <w:szCs w:val="18"/>
                <w:color w:val="auto"/>
              </w:rPr>
            </w:pPr>
          </w:p>
        </w:tc>
      </w:tr>
      <w:tr>
        <w:trPr>
          <w:trHeight w:val="207"/>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Total cash, cash equivalents, restricted cash and restricted cash equivalents</w:t>
            </w: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150,102,620</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139,923,399</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Overview of Business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Security National Financial Corporation and its wholly owned subsidiaries (the “Company”) operate in three reportable business segments: life insurance, cemetery and mortuary, and mortgages. The life insurance segment is engaged in the business of selling and servicing selected lines of life insurance, annuity products and accident and health insurance marketed primarily in the states located in western, mid-western and southern regions of the United States. The cemetery and mortuary segment of the Company consists of eight mortuaries and five cemeteries in Utah, one cemetery in California, and four mortuaries and one cemetery in New Mexico. The mortgage segment is an approved government and conventional lender that originates and underwrites residential and commercial loans for new construction, existing homes, and real estate projects primarily in Florida, Nevada, Texas, and Utah.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generally accepted accounting principles in the United States of America (“GAAP”).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 of Consolidation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include the financial statements of the Company and its wholly owned subsidiaries. All intercompany transactions and accounts have been eliminated in consolidation.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of the Company has made several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Fixed maturity securities available for sale</w:t>
      </w:r>
      <w:r>
        <w:rPr>
          <w:rFonts w:ascii="Times New Roman" w:cs="Times New Roman" w:eastAsia="Times New Roman" w:hAnsi="Times New Roman"/>
          <w:sz w:val="17"/>
          <w:szCs w:val="17"/>
          <w:color w:val="auto"/>
        </w:rPr>
        <w:t xml:space="preserve"> are carried at estimated fair value. Changes in fair values are reported as unrealized gains or losses and are recorded in accumulated other comprehensive income (loss).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Equity securities</w:t>
      </w:r>
      <w:r>
        <w:rPr>
          <w:rFonts w:ascii="Times New Roman" w:cs="Times New Roman" w:eastAsia="Times New Roman" w:hAnsi="Times New Roman"/>
          <w:sz w:val="17"/>
          <w:szCs w:val="17"/>
          <w:color w:val="auto"/>
        </w:rPr>
        <w:t xml:space="preserve"> are carried at estimated fair value. Changes in fair values are reported as unrealized gains or losses and are recorded through net earnings as a component of gains (losses) on investments and other assets.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u w:val="single" w:color="auto"/>
          <w:color w:val="auto"/>
        </w:rPr>
        <w:t>Mortgage loans held for investment</w:t>
      </w:r>
      <w:r>
        <w:rPr>
          <w:rFonts w:ascii="Times New Roman" w:cs="Times New Roman" w:eastAsia="Times New Roman" w:hAnsi="Times New Roman"/>
          <w:sz w:val="16"/>
          <w:szCs w:val="16"/>
          <w:color w:val="auto"/>
        </w:rPr>
        <w:t xml:space="preserve"> are carried at their unpaid principal balances adjusted for net deferred fees, charge-offs, premiums, discounts, and the related allowance for credit losses. Interest income is included in net investment income on the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consolidated statements of earnings. 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Real estate held for investment</w:t>
      </w:r>
      <w:r>
        <w:rPr>
          <w:rFonts w:ascii="Times New Roman" w:cs="Times New Roman" w:eastAsia="Times New Roman" w:hAnsi="Times New Roman"/>
          <w:sz w:val="17"/>
          <w:szCs w:val="17"/>
          <w:color w:val="auto"/>
        </w:rPr>
        <w:t xml:space="preserve"> is carried at cost, less accumulated depreciation provided on a straight-line basis over the estimated useful lives of the properties or is adjusted to a new basis for impairment in value, if any. Included, if any, are foreclosed properties. These properties are recorded at the lower of cost or fair value upon foreclosure. Also, included is residential subdivision land development which is carried at cost.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Real estate held for sale</w:t>
      </w:r>
      <w:r>
        <w:rPr>
          <w:rFonts w:ascii="Times New Roman" w:cs="Times New Roman" w:eastAsia="Times New Roman" w:hAnsi="Times New Roman"/>
          <w:sz w:val="17"/>
          <w:szCs w:val="17"/>
          <w:color w:val="auto"/>
        </w:rPr>
        <w:t xml:space="preserve"> is carried at lower of cost or fair value, less estimated costs to sell. Depreciation is not recognized on real estate classified as held for sale.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investments and policy loans</w:t>
      </w:r>
      <w:r>
        <w:rPr>
          <w:rFonts w:ascii="Times New Roman" w:cs="Times New Roman" w:eastAsia="Times New Roman" w:hAnsi="Times New Roman"/>
          <w:sz w:val="17"/>
          <w:szCs w:val="17"/>
          <w:color w:val="auto"/>
        </w:rPr>
        <w:t xml:space="preserve"> are carried at the aggregate unpaid balances, less allowances for credit losses.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Accrued investment income</w:t>
      </w:r>
      <w:r>
        <w:rPr>
          <w:rFonts w:ascii="Times New Roman" w:cs="Times New Roman" w:eastAsia="Times New Roman" w:hAnsi="Times New Roman"/>
          <w:sz w:val="17"/>
          <w:szCs w:val="17"/>
          <w:color w:val="auto"/>
        </w:rPr>
        <w:t xml:space="preserve"> refers to the income earned from investments that has not yet been received by the Company.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Gains (losses) on investments (except for equity securities carried at fair value through net earnings)</w:t>
      </w:r>
      <w:r>
        <w:rPr>
          <w:rFonts w:ascii="Times New Roman" w:cs="Times New Roman" w:eastAsia="Times New Roman" w:hAnsi="Times New Roman"/>
          <w:sz w:val="17"/>
          <w:szCs w:val="17"/>
          <w:color w:val="auto"/>
        </w:rPr>
        <w:t xml:space="preserve"> arise when investments are sold and are recorded on the trade date and the cost of the securities sold is determined using the specific identification method. The provision (release) for credit losses for fixed maturity securities held for sale are also included in gains (losses) on investments. See Note 2 for more information regarding the Company’s evaluation of credit losses.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Held for Sale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fair value is the best indicator of the resolution of these loans. Electing fair value also reduces certain timing differences and better matches changes in the fair value of these assets with changes in the fair value of the related derivatives used for these assets. See Note 3 and Note 17 to Consolidated Financial Statements for additional disclosures regarding loans held for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6"/>
          <w:szCs w:val="16"/>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repurchasing under certain events, which include the following:</w:t>
      </w:r>
    </w:p>
    <w:p>
      <w:pPr>
        <w:spacing w:after="0" w:line="134" w:lineRule="exact"/>
        <w:rPr>
          <w:sz w:val="20"/>
          <w:szCs w:val="20"/>
          <w:color w:val="auto"/>
        </w:rPr>
      </w:pPr>
    </w:p>
    <w:p>
      <w:pPr>
        <w:ind w:left="1220" w:hanging="31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deliver original documents specified by the investor,</w:t>
      </w:r>
    </w:p>
    <w:p>
      <w:pPr>
        <w:spacing w:after="0" w:line="22"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misrepresentation or fraud in the origination of the loan,</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 becomes delinquent due to nonpayment during the first several months after it is sold,</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pay-off of a loan, as defined by the agreements,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Excessive time to settle a loan,</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declines purchase, and</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Discontinued product and expired commitment.</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It is the Company’s policy to cure any documentation problems regarding such loans at a minimal cost for up to a six-month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69" w:lineRule="exact"/>
        <w:rPr>
          <w:sz w:val="20"/>
          <w:szCs w:val="20"/>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reasons for rejection,</w:t>
      </w:r>
    </w:p>
    <w:p>
      <w:pPr>
        <w:spacing w:after="0" w:line="22"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additional documents,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 investor exceptions,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Appeal rejection decision to purchase committee, and</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 to secondary investors.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Once purchase commitments have expired and other alternatives to remedy are exhausted, which could be earlier than the six-month period, the loans are repurchased and transferred to mortgage loans held for investment at the lower of cost or fair value and previously recorded mortgage fee income that was to be received from a third-party investor is written off against the loan loss reserve. Any loan that later becomes delinquent is evaluated by the Company at that time and any impairment is adjusted accordingly.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Determining Fair Value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cost for loans held for sale is equal to the amount paid to the warehouse bank and the amount originally funded by the Company. Fair value is often difficult to determine and may contain significant unobservable inputs, but is based on the following guidelines:</w:t>
      </w:r>
    </w:p>
    <w:p>
      <w:pPr>
        <w:spacing w:after="0" w:line="159" w:lineRule="exact"/>
        <w:rPr>
          <w:sz w:val="20"/>
          <w:szCs w:val="20"/>
          <w:color w:val="auto"/>
        </w:rPr>
      </w:pPr>
    </w:p>
    <w:p>
      <w:pPr>
        <w:ind w:left="1220" w:hanging="31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loans that are committed, the Company uses the commitment price.</w:t>
      </w:r>
    </w:p>
    <w:p>
      <w:pPr>
        <w:spacing w:after="0" w:line="22"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loans that are non-committed that have an active market, the Company uses the market price.</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loans that are non-committed where there is no market but there is a similar product, the Company uses the fair value for the similar product.</w:t>
      </w:r>
    </w:p>
    <w:p>
      <w:pPr>
        <w:spacing w:after="0" w:line="6" w:lineRule="exact"/>
        <w:rPr>
          <w:rFonts w:ascii="Times New Roman" w:cs="Times New Roman" w:eastAsia="Times New Roman" w:hAnsi="Times New Roman"/>
          <w:sz w:val="17"/>
          <w:szCs w:val="17"/>
          <w:color w:val="auto"/>
        </w:rPr>
      </w:pPr>
    </w:p>
    <w:p>
      <w:pPr>
        <w:ind w:left="1220" w:hanging="311"/>
        <w:spacing w:after="0" w:line="255" w:lineRule="auto"/>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loans that are non-committed where no active market exists, the Company determines that the unpaid principal balance best approximates the fair value, after considering the fair value of the underlying real estate collateral, estimated future cash flows, and the loan interest rate.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 Most loans originated are sold to third-party investors. The amounts expected to be sold to investors are shown on the consolidated balance sheets as loans held for sale.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Mortgage Fee Income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Mortgage fee income consists of origination fees, processing fees, interest income and other income related to the origination and sale of mortgage loans held for sale. All revenues and costs are recognized when the mortgage loan is funded and any changes in fair value are shown as a component of mortgage fee income. See Note 3 and Note 17 to Consolidated Financial Statements for additional disclosures regarding loans held for sale and mortgage fee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Loss Reserve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loan loss reserve is an estimate of probable losses at the balance sheet date that the Company will realize in the future on loans sold to third-party investors classified as loans held for sale on the consolidated balance sheets.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as a component of provision for loan loss reserve. The estimated liability for indemnification losses is included in other liabilities and accrued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further described as follows:</w:t>
      </w:r>
    </w:p>
    <w:p>
      <w:pPr>
        <w:spacing w:after="0" w:line="165" w:lineRule="exact"/>
        <w:rPr>
          <w:sz w:val="20"/>
          <w:szCs w:val="20"/>
          <w:color w:val="auto"/>
        </w:rPr>
      </w:pPr>
    </w:p>
    <w:p>
      <w:pPr>
        <w:ind w:left="600"/>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Make whole demand </w:t>
      </w:r>
      <w:r>
        <w:rPr>
          <w:rFonts w:ascii="Times New Roman" w:cs="Times New Roman" w:eastAsia="Times New Roman" w:hAnsi="Times New Roman"/>
          <w:sz w:val="17"/>
          <w:szCs w:val="17"/>
          <w:color w:val="auto"/>
        </w:rPr>
        <w:t>— A make whole demand occurs when an investor forecloses on a property and then sells the property. The make whole amount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calculated as the difference between the original unpaid principal balance, payments received, accrued interest and fees, less the sale proceeds.</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 xml:space="preserve">Repurchase demand </w:t>
      </w:r>
      <w:r>
        <w:rPr>
          <w:rFonts w:ascii="Times New Roman" w:cs="Times New Roman" w:eastAsia="Times New Roman" w:hAnsi="Times New Roman"/>
          <w:sz w:val="17"/>
          <w:szCs w:val="17"/>
          <w:color w:val="auto"/>
        </w:rPr>
        <w:t>— A repurchase demand usually occurs when there is a significant payment default, error in underwriting or detected loan fraud.</w:t>
      </w:r>
    </w:p>
    <w:p>
      <w:pPr>
        <w:spacing w:after="0" w:line="208" w:lineRule="exact"/>
        <w:rPr>
          <w:sz w:val="20"/>
          <w:szCs w:val="20"/>
          <w:color w:val="auto"/>
        </w:rPr>
      </w:pPr>
    </w:p>
    <w:p>
      <w:pPr>
        <w:ind w:left="600"/>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Indemnification demand </w:t>
      </w:r>
      <w:r>
        <w:rPr>
          <w:rFonts w:ascii="Times New Roman" w:cs="Times New Roman" w:eastAsia="Times New Roman" w:hAnsi="Times New Roman"/>
          <w:sz w:val="17"/>
          <w:szCs w:val="17"/>
          <w:color w:val="auto"/>
        </w:rPr>
        <w:t>— On certain loans the Company has negotiated a set fee that is to be paid in lieu of repurchase. The fee varies by investor and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product type.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believes the loan loss reserve represents probable loan losses incurred as of the balance sheet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information related to the Loan Loss Reserve is included in Note 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Assets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Restricted assets are assets held in a trust account for future mortuary services and merchandise. Restricted assets also include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funded its medical benefit safe-harbor limit based on the qualified direct costs and has included this amount as a component of restricted cash. Additional information related to restricted assets is included in Notes 2 and 8 to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Cemetery Perpetual Care Trust Investments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Cemetery endowment care trusts have been set up for five of the seven cemeteries owned by the Company. Under endowment care arrangements a portion of the price for each lot sold is withheld and invested in a portfolio of investments like those described in the prior paragraph. The earnings stream from the investments is designed to fund future maintenance and upkeep of the cemetery. Additional information related to cemetery perpetual care trust investments is included in Notes 2 and 8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Cemetery Land and Improvements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development of a cemetery involves not only the initial acquisition of raw land but also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Policy Acquisition Costs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Commissions and other costs, net of commission and expense allowances for reinsurance ceded, that vary with and are primarily related to the production of new insurance business have been deferred. Deferred policy acquisition costs (“DAC”) for traditional life insurance are amortized over the premium paying period of the related policies using assumptions consistent with those used in computing policy benefit reserves. For interest-sensitive insurance products, deferred policy acquisition costs are amortized generally in proportion to the present value of expected gross profits from surrender charges, investment, mortality, and expense margins. This amortization is adjusted when estimates of current or future gross profits to be realized from a group of products are reevaluated. Deferred acquisition costs are written off when policies lapse or are surrendered.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unearned revenue liabilities and deferred sales inducements from the replaced contract are written off. Modifications that result in a contract that is substantially unchanged from the replaced contract are accounted for as a continuation of the replaced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Value of Business Acquired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business acquired (“VOBA”) is the present value of estimated future profits of the acquired business and is amortized like deferred policy acquisition costs.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critical issues explained for deferred acquisition costs would also apply for the value of business acquired.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Premium Deficiency and Loss Recognition Testing</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At least annually, the Company tests the adequacy of the net benefit reserves (liability for future policy benefits, net of DAC and VOBA) recorded for life insurance and annuity products. The Company tests for recoverability by using the Company’s current best-estimate assumptions as to policyholder mortality, persistency, maintenance expenses and invested asset returns. These tests evaluate whether the present value of future contract-related cash flows will support the capitalized DAC and VOBA assets. These cash flows consist primarily of premium income, less benefits, and expenses. If the current contract liabilities plus the present value of future premiums is greater than the sum of the present values of future policy benefits, commissions, and expenses plus the current DAC and VOBA less unearned premium reserve balances, then the capitalized assets are deemed recoverable. The present values are calculated using the best estimate of the after-tax net investment earned 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Mortgage Servicing Rights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Mortgage Servicing Rights (“MSR”) arise from contractual agreements between the Company and third-party investors (or their agents) when mortgage loans are sold. Under these contracts, the Company retains and provides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Company’s subsequent accounting for MSRs is based on the class of MSRs. The Company has identified two classes of MSRs: MSRs backed by mortgage loans with an initial term of 30 years and MSRs backed by mortgage loans with an initial term of 15 years. The Company distinguishes between these classes of MSRs due to their differing sensitivities to change in value as the result of changes in the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periodically reviews the various loan strata to determine whether the value of the MSRs in each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Instruments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Banking Derivatives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Loan Commitments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right="8060" w:firstLine="1"/>
        <w:spacing w:after="0" w:line="495" w:lineRule="auto"/>
        <w:tabs>
          <w:tab w:leader="none" w:pos="18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 </w:t>
      </w:r>
      <w:r>
        <w:rPr>
          <w:rFonts w:ascii="Times New Roman" w:cs="Times New Roman" w:eastAsia="Times New Roman" w:hAnsi="Times New Roman"/>
          <w:sz w:val="17"/>
          <w:szCs w:val="17"/>
          <w:u w:val="single" w:color="auto"/>
          <w:color w:val="auto"/>
        </w:rPr>
        <w:t>Forward Sale Commitments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in contrast to changes in fair value of the loan commitments, thereby reducing earnings volatility related to the recognition in earnings of changes in the values of the commitments.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 and Put Option Derivatives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discontinued its use of selling “out of the money” call options on its equity securities and the use of selling put options as a source of revenue in the first quarter of 2023. The net changes in the fair value of call and put options are shown in current earnings as a component of realized gains (losses) on investments and other assets. Call and put options were shown in other liabilities and accrued expenses on the consolidated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Allowances for Credit Losses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records allowances for current expected credit losses from fixed maturity securities available for sale, mortgage loans held for investment, other investments, and receivables in accordance with GAAP. The allowances for credit losses are valuation accounts that are reported as a reduction of the financial asset’s cost basis and are measured on a pool basis when similar risk characteristics exist. The Company estimates allowances for credit losses using relevant available information from both internal and external sources. The Company considers its historical loss experience, analyzes current market conditions and forecasts and uses third-party assistance to arrive at current expected credit losses. Amounts are written off against the allowance for credit losses when determined to be uncollectible. See below under Recent Accounting Pronouncements regarding the adoption of ASU 2016-13. See Notes 2 and 4 to Consolidated Financial Statements regarding the Company’s evaluation of allowances for credit losses.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Policy Benefits and Unpaid Claims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Future policy benefit reserves for traditional life insurance are computed using a net level method, including assumptions as to investment yields, lapse rates, surrender rates, dividend crediting rates, mortality, morbidity, and other assumptions based on the life insurance subsidiaries’ historical experience, industry standards, and best estimate of future results, modified as necessary to give effect to anticipated trends and to include provisions for possible unfavorable deviations. Such liabilities are, for some plans, graded to equal statutory values or cash values at or prior to maturity, which are deemed a reasonable equivalent for GAAP. The range of assumed interest rates for all traditional life insurance policy reserves was 4% to 10%. Benefit reserves for traditional limited-payment life insurance policies include the deferred portion of the premiums received during the premium-paying period. Deferred premiums are recognized as income over the life of the policies. Policy benefit claims are charged to expense in the period the claims are incurred. Increases in future policy benefits are charged to expense.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3% to 6.5%.</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records an unpaid claims liability for claims in the course of settlement equal to the death benefit amount less any reinsurance recoverable amount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Unearned Premium Reserve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universal life products the Company services have significant policy initiation fees (front-end load) that are deferred and amortized into revenues over the estimated expected gross profits from surrender charges and investment, mortality, and expense margins. The same issues that impact deferred acquisition costs apply to unearned revenue.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Participating Insurance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Participating business constituted 2% of insurance in force for the years ended 2024 and 2023. The provision for policyholders’ dividends included in policyholder obligations is based on dividend scales anticipated by management. The amounts to be paid are determined by the Company’s Board of Directors. The expense recognized for policyholder dividends is included in surrenders and other policy benefits on the consolidated statements of earnings.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Recognition of Insurance Premiums and Other Considerations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Premiums and other considerations for traditional life insurance products (which include those products with fixed and guaranteed premiums and benefits and consist principally of whole life insurance policies, limited 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 The Company receives investment income earned from the funds deposited into account balances, a portion of which is passed through to the policyholders in the form of interest credited. Interest credited to policyholder account balances and benefit claims more than policyholder account balances are reported as expenses, included in death benefits, in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Reinsurance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follows the procedure of reinsuring risks of more than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Pre-need Sales and Costs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Pre-need contract sales of funeral services and caskets</w:t>
      </w:r>
      <w:r>
        <w:rPr>
          <w:rFonts w:ascii="Times New Roman" w:cs="Times New Roman" w:eastAsia="Times New Roman" w:hAnsi="Times New Roman"/>
          <w:sz w:val="17"/>
          <w:szCs w:val="17"/>
          <w:color w:val="auto"/>
        </w:rPr>
        <w:t xml:space="preserve"> - revenue and costs associated with the sales of pre-need funeral services and caskets are deferred until the performance obligations are fulfilled (services are performed or the caskets are delivered).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Sales of cemetery interment rights (cemetery burial property)</w:t>
      </w:r>
      <w:r>
        <w:rPr>
          <w:rFonts w:ascii="Times New Roman" w:cs="Times New Roman" w:eastAsia="Times New Roman" w:hAnsi="Times New Roman"/>
          <w:sz w:val="17"/>
          <w:szCs w:val="17"/>
          <w:color w:val="auto"/>
        </w:rPr>
        <w:t xml:space="preserve"> - revenue and costs associated with the sale of cemetery interment rights are deferred until 10% of the sales price has been collected.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Pre-need contract sales of cemetery merchandise (primarily markers and vaults)</w:t>
      </w:r>
      <w:r>
        <w:rPr>
          <w:rFonts w:ascii="Times New Roman" w:cs="Times New Roman" w:eastAsia="Times New Roman" w:hAnsi="Times New Roman"/>
          <w:sz w:val="17"/>
          <w:szCs w:val="17"/>
          <w:color w:val="auto"/>
        </w:rPr>
        <w:t xml:space="preserve"> - revenue and costs associated with the sale of pre-need cemetery merchandise is deferred until the merchandise is delivered to the Company.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Pre-need contract sales of cemetery services (primarily merchandise delivery, installation fees and burial opening and closing fees)</w:t>
      </w:r>
      <w:r>
        <w:rPr>
          <w:rFonts w:ascii="Times New Roman" w:cs="Times New Roman" w:eastAsia="Times New Roman" w:hAnsi="Times New Roman"/>
          <w:sz w:val="17"/>
          <w:szCs w:val="17"/>
          <w:color w:val="auto"/>
        </w:rPr>
        <w:t xml:space="preserve"> - revenue and costs associated with the sales of pre-need cemetery services are deferred until the services are performed.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Prearranged funeral and pre-need cemetery customer acquisition costs</w:t>
      </w:r>
      <w:r>
        <w:rPr>
          <w:rFonts w:ascii="Times New Roman" w:cs="Times New Roman" w:eastAsia="Times New Roman" w:hAnsi="Times New Roman"/>
          <w:sz w:val="17"/>
          <w:szCs w:val="17"/>
          <w:color w:val="auto"/>
        </w:rPr>
        <w:t xml:space="preserve"> - costs incurred related to obtaining new pre-need contract cemetery and prearranged funeral services, which include only costs that vary with and are primarily related to the acquisition of new pre-need cemetery and prearranged funeral services, are deferred until the merchandise is delivered or services are performed.</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Revenues and costs for at-need sales are recorded when a valid contract exists, the services are performed, collection is reasonably assured and there are no significant performance obligations remaining.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Intangibles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engages a third-party valuation firm to analyze the value of the intangible assets that result from significant acquisitions. The value of the intangible assets that result from these acquisitions are included in Other Assets and are determined using the income approach, relying on a relief from the royalty method.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 Liabilities are established for uncertain tax positions expected to be taken in income tax returns when such positions are judged to meet the “more-likely-than-not” threshold based on the technical merits of the positions. Deferred tax assets and liabilities require various estimates and judgments and may be affected favorably or unfavorably by various internal and external factors.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 Estimated interest and penalties related to uncertain tax penalties are included as a component of income tax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Common Share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computes earnings per share, which requires a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by application of the treasury stock method. Basic and diluted earnings per share amounts have been adjusted retroactively for the effect of annual stock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Based Compensation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a description of the concentration risk regarding available for sale debt securities, mortgage loans held for investment and real estate held for investment, refer to Note 2, and for receivables from reinsurers, refer to Note 10 of the Notes to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expenses advertising costs as incurred.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Adopted in 2024</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u w:val="single" w:color="auto"/>
          <w:color w:val="auto"/>
        </w:rPr>
        <w:t>ASU No. 2023-07: “Segment Reporting (Topic 280): Improvements to Reportable Segment Disclosures”</w:t>
      </w:r>
      <w:r>
        <w:rPr>
          <w:rFonts w:ascii="Times New Roman" w:cs="Times New Roman" w:eastAsia="Times New Roman" w:hAnsi="Times New Roman"/>
          <w:sz w:val="17"/>
          <w:szCs w:val="17"/>
          <w:color w:val="auto"/>
        </w:rPr>
        <w:t xml:space="preserve"> — Issued in November 2023, ASU 2023-07 requires enhanced disclosures about significant segment expenses. The key amendments include: (i) disclosures on significant segment expenses that are regularly provided to the chief operating decision maker (CODM) and included within each reported measure of segment profit or loss on an annual and interim basis; (ii) disclosures on an amount for other segment items by reportable segment and a description of its composition on an annual and interim basis. The other segment items category is the difference between segment revenue less the significant expenses disclosed and each reported measure of segment profit or loss; (iii) providing all annual disclosures on a reportable segment’s profit or loss and assets currently required by FASB ASC Topic 280, Segment Reporting in interim periods; and (iv) specifying the title and position of the CODM. The Company adopted ASU 2023-07 retrospectively for the annual period beginning January 1, 2024, and for the interim periods beginning January 1, 2025. The adoption of ASU 2023-07 did not affect the Company’s financial position or results of operations. Refer to Note 15 for the disclosures regarding the Company’s business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Adopted in 2023</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u w:val="single" w:color="auto"/>
          <w:color w:val="auto"/>
        </w:rPr>
        <w:t>ASU No. 2016-13: “Financial Instruments – Credit Losses (Topic 326)”</w:t>
      </w:r>
      <w:r>
        <w:rPr>
          <w:rFonts w:ascii="Times New Roman" w:cs="Times New Roman" w:eastAsia="Times New Roman" w:hAnsi="Times New Roman"/>
          <w:sz w:val="17"/>
          <w:szCs w:val="17"/>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an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Amount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w:t>
            </w:r>
          </w:p>
        </w:tc>
        <w:tc>
          <w:tcPr>
            <w:tcW w:w="19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(192,607)</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301,830</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555,807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9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665,030</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assets - mortgage loans held for investment:</w:t>
            </w: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3,463</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4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w w:val="99"/>
              </w:rPr>
              <w:t>Cemetery perpetual care trust investments - mortgage loans held for investment:</w:t>
            </w: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3,013</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Grand Total</w:t>
            </w: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671,506</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596"/>
              <w:spacing w:after="0"/>
              <w:rPr>
                <w:sz w:val="20"/>
                <w:szCs w:val="20"/>
                <w:color w:val="auto"/>
              </w:rPr>
            </w:pPr>
            <w:r>
              <w:rPr>
                <w:rFonts w:ascii="Times New Roman" w:cs="Times New Roman" w:eastAsia="Times New Roman" w:hAnsi="Times New Roman"/>
                <w:sz w:val="17"/>
                <w:szCs w:val="17"/>
                <w:color w:val="auto"/>
              </w:rPr>
              <w:t>48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Significant Accounting Policies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Issued But Not Yet Adopted</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7"/>
          <w:szCs w:val="17"/>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The Company will adopt the standard commencing with its annual reporting period ending December 31, 2025. 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adoption of this guidance is expected to have an impact on its financial position, results of operations, and disclosures, as well as systems, processes and controls. The Company continues to evaluate the impact of the new guidance on its consolidated financial statements.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u w:val="single" w:color="auto"/>
          <w:color w:val="auto"/>
        </w:rPr>
        <w:t>ASU No. 2023-09: “Income Taxes (Topic 740): Improvements to Income Tax Disclosures”</w:t>
      </w:r>
      <w:r>
        <w:rPr>
          <w:rFonts w:ascii="Times New Roman" w:cs="Times New Roman" w:eastAsia="Times New Roman" w:hAnsi="Times New Roman"/>
          <w:sz w:val="17"/>
          <w:szCs w:val="17"/>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for the annual reporting periods beginning January 1, 2025. The Company will adopt the standard commencing with its annual reporting period ending December 31, 2025. The Company does not anticipate that the adoption of ASU 2023-09 will have a material impact on the consolidated financial statements.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u w:val="single" w:color="auto"/>
          <w:color w:val="auto"/>
        </w:rPr>
        <w:t>ASU No. 2024-03: “Income Statement-Reporting Comprehensive Income- Expense Disaggregation Disclosures (Subtopic 220-40): Disaggregation of Income Statement Expenses”</w:t>
      </w:r>
      <w:r>
        <w:rPr>
          <w:rFonts w:ascii="Times New Roman" w:cs="Times New Roman" w:eastAsia="Times New Roman" w:hAnsi="Times New Roman"/>
          <w:sz w:val="17"/>
          <w:szCs w:val="17"/>
          <w:color w:val="auto"/>
        </w:rPr>
        <w:t xml:space="preserve"> —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the new guidance on the consolidated financial statements.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reviewed other recent accounting pronouncements and has determined that they will not significantly impact the Company’s results of operations or financial position.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investments as of December 31, 2024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5"/>
              </w:rPr>
              <w:t>Gross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7"/>
                <w:szCs w:val="17"/>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Allowance for</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Estimated Fair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99"/>
              </w:rPr>
              <w:t>Amortized Cost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Gains</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Losses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6"/>
              </w:rPr>
              <w:t>Credit Losses</w:t>
            </w: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Fixed maturity securities, available for sale, at estimated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fair value: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agencies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74,680,606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327,618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(486,976)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74,521,248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6,416,751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1,762</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(290,448)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6,128,065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262,954,278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2,444,842</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(6,922,871)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(408,944)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258,067,305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31,710,436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125,764</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(4,244,640)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(12,049)</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27,579,511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Redeemable preferred stock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fixed maturity securities available for sale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376,012,071</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2,899,986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(11,944,935)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(420,993)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366,546,129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 at estimated fair value: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Industrial, miscellaneous and all other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11,386,454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4,976,567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(591,340)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15,771,681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 securities at estimated fair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11,386,454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4,976,567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(591,340)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15,771,681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 at amortized cost: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92,061,787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Residential construction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151,172,733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62,753,085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Unamortized deferred loan fees, net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(2,082,241)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(1,885,390)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Net discounts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(272,616)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mortgage loans held for investment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301,747,358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1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Real estate held for investment - net of accumulated</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71,618,410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126,074,928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real estate held for investment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197,693,338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 estate held for sale: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1,126,480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real estate held for sale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1,278,033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investments and policy loans at amortized cost: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Policy loans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14,019,248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Insurance assignments</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48,493,858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Federal Home Loan Bank stock (2)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2,404,900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investments</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11,473,961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gridSpan w:val="2"/>
          </w:tcPr>
          <w:p>
            <w:pPr>
              <w:ind w:left="320"/>
              <w:spacing w:after="0" w:line="185" w:lineRule="exact"/>
              <w:rPr>
                <w:sz w:val="20"/>
                <w:szCs w:val="20"/>
                <w:color w:val="auto"/>
              </w:rPr>
            </w:pPr>
            <w:r>
              <w:rPr>
                <w:rFonts w:ascii="Times New Roman" w:cs="Times New Roman" w:eastAsia="Times New Roman" w:hAnsi="Times New Roman"/>
                <w:sz w:val="17"/>
                <w:szCs w:val="17"/>
                <w:color w:val="auto"/>
              </w:rPr>
              <w:t>Less: Allowance for credit losses for insurance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assignments</w:t>
            </w: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(1,536,926)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policy loans and other investments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74,855,041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8,499,168</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966,390,748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20" w:hanging="263"/>
        <w:spacing w:after="0"/>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unrealized losses are net of allowance for credit losses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$553,900 of Membership stock and $1,851,000 of Activity stock due to short-term advances and letters of credit.</w:t>
      </w:r>
    </w:p>
    <w:p>
      <w:pPr>
        <w:sectPr>
          <w:pgSz w:w="11900" w:h="16838" w:orient="portrait"/>
          <w:cols w:equalWidth="0" w:num="1">
            <w:col w:w="11240"/>
          </w:cols>
          <w:pgMar w:left="320" w:top="653" w:right="339" w:bottom="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21590</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325"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investments as of December 31, 2023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5"/>
              </w:rPr>
              <w:t>Gross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7"/>
                <w:szCs w:val="17"/>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Allowance for</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Estimated Fair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99"/>
              </w:rPr>
              <w:t>Amortized Cost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Gains</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Losses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w w:val="96"/>
              </w:rPr>
              <w:t>Credit Losses</w:t>
            </w: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Fixed maturity securities, available for sale, at estimated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fair value: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agencies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111,450,753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344,425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(1,416,448)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110,378,730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6,524,083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(319,260)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6,205,323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232,299,727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3,688,642</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(7,145,507)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(308,500)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228,534,362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40,359,878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506,647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(4,702,905)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(6,049)</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36,157,571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Redeemable preferred stock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fixed maturity securities available for sale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390,884,441</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4,550,214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(13,584,120)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(314,549)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381,535,986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 at estimated fair value: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Industrial, miscellaneous and all other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10,571,505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3,504,141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(439,575)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13,636,071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equity securities at estimated fair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10,571,505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3,504,141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(439,575)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13,636,071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 at amortized cost: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103,153,587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Residential construction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104,052,748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74,176,538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Unamortized deferred loan fees, net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(1,623,226)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(3,818,653)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Net discounts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(324,157)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mortgage loans held for investment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275,616,837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16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Real estate held for investment - net of accumulated</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40,924,865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142,494,427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real estate held for investment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183,419,292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 estate held for sale: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3,028,973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real estate held for sale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3,028,973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investments and policy loans at amortized cost: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Policy loans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13,264,183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Insurance assignments</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45,605,322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Federal Home Loan Bank stock (2)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2,279,800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investments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9,809,148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60" w:type="dxa"/>
            <w:vAlign w:val="bottom"/>
            <w:gridSpan w:val="2"/>
          </w:tcPr>
          <w:p>
            <w:pPr>
              <w:ind w:left="320"/>
              <w:spacing w:after="0" w:line="185" w:lineRule="exact"/>
              <w:rPr>
                <w:sz w:val="20"/>
                <w:szCs w:val="20"/>
                <w:color w:val="auto"/>
              </w:rPr>
            </w:pPr>
            <w:r>
              <w:rPr>
                <w:rFonts w:ascii="Times New Roman" w:cs="Times New Roman" w:eastAsia="Times New Roman" w:hAnsi="Times New Roman"/>
                <w:sz w:val="17"/>
                <w:szCs w:val="17"/>
                <w:color w:val="auto"/>
              </w:rPr>
              <w:t>Less: Allowance for credit losses for insurance</w:t>
            </w:r>
          </w:p>
        </w:tc>
        <w:tc>
          <w:tcPr>
            <w:tcW w:w="180" w:type="dxa"/>
            <w:vAlign w:val="bottom"/>
          </w:tcPr>
          <w:p>
            <w:pPr>
              <w:spacing w:after="0"/>
              <w:rPr>
                <w:sz w:val="16"/>
                <w:szCs w:val="16"/>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(1,553,836)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assignments</w:t>
            </w: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policy loans and other investments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69,404,617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10,170,790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936,812,566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20" w:hanging="263"/>
        <w:spacing w:after="0"/>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unrealized losses are net of allowance for credit losses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$530,900 of Membership stock and $1,748,900 of Activity stock due to short-term advances and letters of credit.</w:t>
      </w:r>
    </w:p>
    <w:p>
      <w:pPr>
        <w:sectPr>
          <w:pgSz w:w="11900" w:h="16838" w:orient="portrait"/>
          <w:cols w:equalWidth="0" w:num="1">
            <w:col w:w="11240"/>
          </w:cols>
          <w:pgMar w:left="320" w:top="653" w:right="339" w:bottom="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21590</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325"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were no investments, aggregated by issuer, of more than 10% of shareholders’ equity (before net unrealized gains and losses on equity securities and fixed maturity securities) as of December 31, 2024, other than investments issued or guaranteed by the United States Government.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Fixed Maturity Securities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table below summarizes unrealized losses on fixed maturities securities available for sale that were carried at estimated fair value as of December 31, 2024 and 2023.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tables set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Unrealized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9"/>
              </w:rPr>
              <w:t>Losses for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9"/>
              </w:rPr>
              <w:t>Losses for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w w:val="98"/>
              </w:rPr>
              <w:t>Less than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w w:val="96"/>
              </w:rPr>
              <w:t>More than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4"/>
              </w:rPr>
              <w:t>Twelve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4"/>
              </w:rPr>
              <w:t>Twelve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w w:val="96"/>
              </w:rPr>
              <w:t>Unrealized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Months</w:t>
            </w:r>
          </w:p>
        </w:tc>
        <w:tc>
          <w:tcPr>
            <w:tcW w:w="140" w:type="dxa"/>
            <w:vAlign w:val="bottom"/>
          </w:tcPr>
          <w:p>
            <w:pPr>
              <w:spacing w:after="0"/>
              <w:rPr>
                <w:sz w:val="18"/>
                <w:szCs w:val="18"/>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Fair Value</w:t>
            </w:r>
          </w:p>
        </w:tc>
        <w:tc>
          <w:tcPr>
            <w:tcW w:w="8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Months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Fair 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Loss</w:t>
            </w:r>
          </w:p>
        </w:tc>
        <w:tc>
          <w:tcPr>
            <w:tcW w:w="10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w w:val="96"/>
              </w:rPr>
              <w:t>At December 31, 2024</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Government agencies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8,737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986,365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478,239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22,110,495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486,976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23,096,860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15,003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2,167,918</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275,445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3,008,385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290,448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5,176,303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1,888,022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6"/>
              </w:rPr>
              <w:t>93,562,219</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5,034,849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77,975,776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6,922,871</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171,537,995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2,915,192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4,212,490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19,041,442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4,244,640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21,956,634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Totals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1,943,912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99,631,694</w:t>
            </w:r>
          </w:p>
        </w:tc>
        <w:tc>
          <w:tcPr>
            <w:tcW w:w="2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10,001,023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122,136,098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11,944,935</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221,767,792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52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7"/>
                <w:szCs w:val="17"/>
                <w:color w:val="auto"/>
                <w:w w:val="96"/>
              </w:rPr>
              <w:t>At December 31, 2023</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agencies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29,394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9,436,090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1,387,054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70,885,403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1,416,448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80,321,493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470,325</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308,155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5,284,498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319,260</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5,754,823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529,660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6"/>
              </w:rPr>
              <w:t>32,507,773</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6,615,847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107,556,216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7,145,507</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140,063,989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29,799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2,260,445</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4,673,106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22,184,174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4,702,905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24,444,619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44,674,633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12,984,162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205,910,291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13,584,120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250,584,924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Relevant holdings were comprised of 706 securities with fair values aggregating 94.9% of the aggregated amortized cost as of December 31, 2024. Relevant holdings were comprised of 606 securities with fair values aggregating 94.9% of the aggregated amortized cost as of December 31, 2023. Credit loss provision of $106,444 and $325,314 have been recognized for 2024 and 2023, respectively. Credit losses are included in gains (losses) on investments and other assets on the consolidated statements of earnings. Other unrealized losses for which no credit loss was recognized are primarily the result of increases in interest rates.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Allowance for Credit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 regarding the adoption of ASU 2016-13.</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and other industry rating agencies. Securities with a rating of 1 or 2 are considered investment grade and are not reviewed for credit loss unless current market data or recent company news could lead to a credit downgrade. Securities with ratings of 3 to 5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consolidated statements of earnings.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the Company does not intend to sell a debt security and it is less likely than not that the Company will be required to sell the debt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consolidated statements of earnings. The recognized credit loss is limited to the total unrealized loss on the security due to a change in credit.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Amounts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does not measure a credit loss allowance on accrued interest receivable, included in accrued investment income on the consolidated balance sheets, as the Company writes off any accrued interest receivable balance to net investment income in a timely manner (after 90 days) when the Company has concerns regarding collectability.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Quality Indicators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97.7% and 98.2% of its fixed maturity securities rated investment grade as of December 31, 2024 and 2023, respectively. The following table summarizes the credit quality, by NAIC designation, of the Company’s fixed maturity securities available for sale, excluding redeemable preferred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December 31, 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6"/>
          </w:tcPr>
          <w:p>
            <w:pPr>
              <w:jc w:val="right"/>
              <w:ind w:right="900"/>
              <w:spacing w:after="0"/>
              <w:rPr>
                <w:sz w:val="20"/>
                <w:szCs w:val="20"/>
                <w:color w:val="auto"/>
              </w:rPr>
            </w:pPr>
            <w:r>
              <w:rPr>
                <w:rFonts w:ascii="Times New Roman" w:cs="Times New Roman" w:eastAsia="Times New Roman" w:hAnsi="Times New Roman"/>
                <w:sz w:val="17"/>
                <w:szCs w:val="17"/>
                <w:color w:val="auto"/>
              </w:rPr>
              <w:t>December 31, 2023</w:t>
            </w:r>
          </w:p>
        </w:tc>
      </w:tr>
      <w:tr>
        <w:trPr>
          <w:trHeight w:val="178"/>
        </w:trPr>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56"/>
              <w:spacing w:after="0" w:line="178" w:lineRule="exact"/>
              <w:rPr>
                <w:sz w:val="20"/>
                <w:szCs w:val="20"/>
                <w:color w:val="auto"/>
              </w:rPr>
            </w:pPr>
            <w:r>
              <w:rPr>
                <w:rFonts w:ascii="Times New Roman" w:cs="Times New Roman" w:eastAsia="Times New Roman" w:hAnsi="Times New Roman"/>
                <w:sz w:val="17"/>
                <w:szCs w:val="17"/>
                <w:color w:val="auto"/>
              </w:rPr>
              <w:t>Amortized</w:t>
            </w: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116"/>
              <w:spacing w:after="0" w:line="178" w:lineRule="exact"/>
              <w:rPr>
                <w:sz w:val="20"/>
                <w:szCs w:val="20"/>
                <w:color w:val="auto"/>
              </w:rPr>
            </w:pPr>
            <w:r>
              <w:rPr>
                <w:rFonts w:ascii="Times New Roman" w:cs="Times New Roman" w:eastAsia="Times New Roman" w:hAnsi="Times New Roman"/>
                <w:sz w:val="17"/>
                <w:szCs w:val="17"/>
                <w:color w:val="auto"/>
              </w:rPr>
              <w:t>Estimated Fair</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460"/>
              <w:spacing w:after="0" w:line="178" w:lineRule="exact"/>
              <w:rPr>
                <w:sz w:val="20"/>
                <w:szCs w:val="20"/>
                <w:color w:val="auto"/>
              </w:rPr>
            </w:pPr>
            <w:r>
              <w:rPr>
                <w:rFonts w:ascii="Times New Roman" w:cs="Times New Roman" w:eastAsia="Times New Roman" w:hAnsi="Times New Roman"/>
                <w:sz w:val="17"/>
                <w:szCs w:val="17"/>
                <w:color w:val="auto"/>
              </w:rPr>
              <w:t>Amortized</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116"/>
              <w:spacing w:after="0" w:line="178" w:lineRule="exact"/>
              <w:rPr>
                <w:sz w:val="20"/>
                <w:szCs w:val="20"/>
                <w:color w:val="auto"/>
              </w:rPr>
            </w:pPr>
            <w:r>
              <w:rPr>
                <w:rFonts w:ascii="Times New Roman" w:cs="Times New Roman" w:eastAsia="Times New Roman" w:hAnsi="Times New Roman"/>
                <w:sz w:val="17"/>
                <w:szCs w:val="17"/>
                <w:color w:val="auto"/>
              </w:rPr>
              <w:t>Estimated Fair</w:t>
            </w:r>
          </w:p>
        </w:tc>
        <w:tc>
          <w:tcPr>
            <w:tcW w:w="100" w:type="dxa"/>
            <w:vAlign w:val="bottom"/>
          </w:tcPr>
          <w:p>
            <w:pPr>
              <w:spacing w:after="0"/>
              <w:rPr>
                <w:sz w:val="15"/>
                <w:szCs w:val="15"/>
                <w:color w:val="auto"/>
              </w:rPr>
            </w:pPr>
          </w:p>
        </w:tc>
      </w:tr>
      <w:tr>
        <w:trPr>
          <w:trHeight w:val="218"/>
        </w:trPr>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NAIC Designation</w:t>
            </w:r>
          </w:p>
        </w:tc>
        <w:tc>
          <w:tcPr>
            <w:tcW w:w="180" w:type="dxa"/>
            <w:vAlign w:val="bottom"/>
          </w:tcPr>
          <w:p>
            <w:pPr>
              <w:spacing w:after="0"/>
              <w:rPr>
                <w:sz w:val="18"/>
                <w:szCs w:val="18"/>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Cost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Value</w:t>
            </w:r>
          </w:p>
        </w:tc>
      </w:tr>
      <w:tr>
        <w:trPr>
          <w:trHeight w:val="195"/>
        </w:trPr>
        <w:tc>
          <w:tcPr>
            <w:tcW w:w="2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188,386,980</w:t>
            </w: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183,460,027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221,933,425</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216,975,288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178,060,265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174,405,442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161,062,016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157,346,803</w:t>
            </w:r>
          </w:p>
        </w:tc>
        <w:tc>
          <w:tcPr>
            <w:tcW w:w="100" w:type="dxa"/>
            <w:vAlign w:val="bottom"/>
          </w:tcPr>
          <w:p>
            <w:pPr>
              <w:spacing w:after="0"/>
              <w:rPr>
                <w:sz w:val="17"/>
                <w:szCs w:val="17"/>
                <w:color w:val="auto"/>
              </w:rPr>
            </w:pPr>
          </w:p>
        </w:tc>
      </w:tr>
      <w:tr>
        <w:trPr>
          <w:trHeight w:val="202"/>
        </w:trPr>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7,961,422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7,342,220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6,418,829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5,953,542</w:t>
            </w:r>
          </w:p>
        </w:tc>
        <w:tc>
          <w:tcPr>
            <w:tcW w:w="100" w:type="dxa"/>
            <w:vAlign w:val="bottom"/>
            <w:shd w:val="clear" w:color="auto" w:fill="CCEEFF"/>
          </w:tcPr>
          <w:p>
            <w:pPr>
              <w:spacing w:after="0"/>
              <w:rPr>
                <w:sz w:val="17"/>
                <w:szCs w:val="17"/>
                <w:color w:val="auto"/>
              </w:rPr>
            </w:pPr>
          </w:p>
        </w:tc>
      </w:tr>
      <w:tr>
        <w:trPr>
          <w:trHeight w:val="202"/>
        </w:trPr>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649,592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600,459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982,290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948,478</w:t>
            </w:r>
          </w:p>
        </w:tc>
      </w:tr>
      <w:tr>
        <w:trPr>
          <w:trHeight w:val="202"/>
        </w:trPr>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702,643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487,981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236,648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51,875</w:t>
            </w:r>
          </w:p>
        </w:tc>
      </w:tr>
      <w:tr>
        <w:trPr>
          <w:trHeight w:val="214"/>
        </w:trPr>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7"/>
        </w:trPr>
        <w:tc>
          <w:tcPr>
            <w:tcW w:w="2720" w:type="dxa"/>
            <w:vAlign w:val="bottom"/>
            <w:tcBorders>
              <w:top w:val="single" w:sz="8" w:color="CCEEFF"/>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4"/>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375,762,071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366,296,129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390,634,441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381,275,986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a roll forward of the Company’s allowance for credit losses on fixed maturity securities available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9"/>
          </w:tcPr>
          <w:p>
            <w:pPr>
              <w:jc w:val="center"/>
              <w:ind w:right="380"/>
              <w:spacing w:after="0"/>
              <w:rPr>
                <w:sz w:val="20"/>
                <w:szCs w:val="20"/>
                <w:color w:val="auto"/>
              </w:rPr>
            </w:pPr>
            <w:r>
              <w:rPr>
                <w:rFonts w:ascii="Times New Roman" w:cs="Times New Roman" w:eastAsia="Times New Roman" w:hAnsi="Times New Roman"/>
                <w:sz w:val="17"/>
                <w:szCs w:val="17"/>
                <w:color w:val="auto"/>
                <w:w w:val="97"/>
              </w:rPr>
              <w:t>Year Ended December 31, 2024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7"/>
                <w:szCs w:val="17"/>
                <w:color w:val="auto"/>
                <w:w w:val="96"/>
              </w:rPr>
              <w:t>U.S. Treasury</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securities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obligations of</w:t>
            </w:r>
          </w:p>
        </w:tc>
        <w:tc>
          <w:tcPr>
            <w:tcW w:w="30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8"/>
              </w:rPr>
              <w:t>Obligations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9"/>
              </w:rPr>
              <w:t>Corporate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states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9"/>
              </w:rPr>
              <w:t>securities</w:t>
            </w:r>
          </w:p>
        </w:tc>
        <w:tc>
          <w:tcPr>
            <w:tcW w:w="10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Mortgage-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Government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political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9"/>
              </w:rPr>
              <w:t>including</w:t>
            </w:r>
          </w:p>
        </w:tc>
        <w:tc>
          <w:tcPr>
            <w:tcW w:w="10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backed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agencies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subdivisions</w:t>
            </w:r>
          </w:p>
        </w:tc>
        <w:tc>
          <w:tcPr>
            <w:tcW w:w="16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w w:val="98"/>
              </w:rPr>
              <w:t>public utilities</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securities</w:t>
            </w:r>
          </w:p>
        </w:tc>
        <w:tc>
          <w:tcPr>
            <w:tcW w:w="2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 - December 31, 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308,500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6,049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314,549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2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Additions for credit losses not previously</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recorded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55,000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2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Change in allowance on securities with previous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allowance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6,000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Reductions for securities sold during the period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2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Reductions for securities with credit losses due to</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intent to sell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 charged against the allowance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Recoveries of amounts previously written off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(14,556)</w:t>
            </w:r>
          </w:p>
        </w:tc>
        <w:tc>
          <w:tcPr>
            <w:tcW w:w="10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(14,556)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Ending Balance - December 31, 2024</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408,944</w:t>
            </w: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12,049</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420,993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2) Investments (Continued)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center"/>
              <w:ind w:right="380"/>
              <w:spacing w:after="0"/>
              <w:rPr>
                <w:sz w:val="20"/>
                <w:szCs w:val="20"/>
                <w:color w:val="auto"/>
              </w:rPr>
            </w:pPr>
            <w:r>
              <w:rPr>
                <w:rFonts w:ascii="Times New Roman" w:cs="Times New Roman" w:eastAsia="Times New Roman" w:hAnsi="Times New Roman"/>
                <w:sz w:val="17"/>
                <w:szCs w:val="17"/>
                <w:color w:val="auto"/>
                <w:w w:val="97"/>
              </w:rPr>
              <w:t>Year Ended December 31, 2023</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7"/>
                <w:szCs w:val="17"/>
                <w:color w:val="auto"/>
                <w:w w:val="96"/>
              </w:rPr>
              <w:t>U.S. Treasury</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securities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obligations of</w:t>
            </w:r>
          </w:p>
        </w:tc>
        <w:tc>
          <w:tcPr>
            <w:tcW w:w="30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8"/>
              </w:rPr>
              <w:t>Obligations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9"/>
              </w:rPr>
              <w:t>Corporate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states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9"/>
              </w:rPr>
              <w:t>securities</w:t>
            </w:r>
          </w:p>
        </w:tc>
        <w:tc>
          <w:tcPr>
            <w:tcW w:w="10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Mortgage-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Government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political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9"/>
              </w:rPr>
              <w:t>including</w:t>
            </w:r>
          </w:p>
        </w:tc>
        <w:tc>
          <w:tcPr>
            <w:tcW w:w="10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backed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agencies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subdivisions</w:t>
            </w:r>
          </w:p>
        </w:tc>
        <w:tc>
          <w:tcPr>
            <w:tcW w:w="16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w w:val="98"/>
              </w:rPr>
              <w:t>public utilities</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securities</w:t>
            </w:r>
          </w:p>
        </w:tc>
        <w:tc>
          <w:tcPr>
            <w:tcW w:w="22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 - December 31, 2022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20" w:type="dxa"/>
            <w:vAlign w:val="bottom"/>
            <w:gridSpan w:val="3"/>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Additions for credit losses not previously</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recorded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261,500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6,049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267,549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20" w:type="dxa"/>
            <w:vAlign w:val="bottom"/>
            <w:gridSpan w:val="3"/>
          </w:tcPr>
          <w:p>
            <w:pPr>
              <w:ind w:left="140"/>
              <w:spacing w:after="0" w:line="185" w:lineRule="exact"/>
              <w:rPr>
                <w:sz w:val="20"/>
                <w:szCs w:val="20"/>
                <w:color w:val="auto"/>
              </w:rPr>
            </w:pPr>
            <w:r>
              <w:rPr>
                <w:rFonts w:ascii="Times New Roman" w:cs="Times New Roman" w:eastAsia="Times New Roman" w:hAnsi="Times New Roman"/>
                <w:sz w:val="17"/>
                <w:szCs w:val="17"/>
                <w:color w:val="auto"/>
              </w:rPr>
              <w:t>Change in allowance on securities with previous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allowance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57,764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57,764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Reductions for securities sold during the period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(10,764)</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(10,764)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20" w:type="dxa"/>
            <w:vAlign w:val="bottom"/>
            <w:gridSpan w:val="3"/>
          </w:tcPr>
          <w:p>
            <w:pPr>
              <w:ind w:left="140"/>
              <w:spacing w:after="0" w:line="185" w:lineRule="exact"/>
              <w:rPr>
                <w:sz w:val="20"/>
                <w:szCs w:val="20"/>
                <w:color w:val="auto"/>
              </w:rPr>
            </w:pPr>
            <w:r>
              <w:rPr>
                <w:rFonts w:ascii="Times New Roman" w:cs="Times New Roman" w:eastAsia="Times New Roman" w:hAnsi="Times New Roman"/>
                <w:sz w:val="17"/>
                <w:szCs w:val="17"/>
                <w:color w:val="auto"/>
              </w:rPr>
              <w:t>Reductions for securities with credit losses due to</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intent to sell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Write-offs charged against the allowance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Recoveries of amounts previously written off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Ending Balance - December 31, 2023</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308,500</w:t>
            </w: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6,049</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314,549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presents the amortized cost and estimated fair value of fixed maturity securities available for sale at December 31, 2024, by contractual maturity. Expected maturities may differ from contractual maturities because certain borrowers may have the right to call or prepay obligations with or without call or prepayment penalties.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Amortized</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Estimated Fair</w:t>
            </w:r>
          </w:p>
        </w:tc>
      </w:tr>
      <w:tr>
        <w:trPr>
          <w:trHeight w:val="218"/>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Cost</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95"/>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in 1 year</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44,055,016</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43,765,347</w:t>
            </w:r>
          </w:p>
        </w:tc>
        <w:tc>
          <w:tcPr>
            <w:tcW w:w="60" w:type="dxa"/>
            <w:vAlign w:val="bottom"/>
            <w:tcBorders>
              <w:top w:val="single" w:sz="8" w:color="CCEEFF"/>
            </w:tcBorders>
            <w:shd w:val="clear" w:color="auto" w:fill="CCEEFF"/>
          </w:tcPr>
          <w:p>
            <w:pPr>
              <w:spacing w:after="0"/>
              <w:rPr>
                <w:sz w:val="16"/>
                <w:szCs w:val="16"/>
                <w:color w:val="auto"/>
              </w:rPr>
            </w:pPr>
          </w:p>
        </w:tc>
      </w:tr>
      <w:tr>
        <w:trPr>
          <w:trHeight w:val="202"/>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Due in 2-5 years</w:t>
            </w:r>
          </w:p>
        </w:tc>
        <w:tc>
          <w:tcPr>
            <w:tcW w:w="18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126,512,253</w:t>
            </w:r>
          </w:p>
        </w:tc>
        <w:tc>
          <w:tcPr>
            <w:tcW w:w="1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125,295,048</w:t>
            </w: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in 5-10 years</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107,397,297</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106,707,517</w:t>
            </w:r>
          </w:p>
        </w:tc>
      </w:tr>
      <w:tr>
        <w:trPr>
          <w:trHeight w:val="202"/>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Due in more than 10 years</w:t>
            </w:r>
          </w:p>
        </w:tc>
        <w:tc>
          <w:tcPr>
            <w:tcW w:w="18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66,087,069</w:t>
            </w:r>
          </w:p>
        </w:tc>
        <w:tc>
          <w:tcPr>
            <w:tcW w:w="1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62,948,706</w:t>
            </w: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31,710,436</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27,579,511</w:t>
            </w:r>
          </w:p>
        </w:tc>
      </w:tr>
      <w:tr>
        <w:trPr>
          <w:trHeight w:val="214"/>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Redeemable preferred stock</w:t>
            </w:r>
          </w:p>
        </w:tc>
        <w:tc>
          <w:tcPr>
            <w:tcW w:w="1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250,000</w:t>
            </w: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250,000</w:t>
            </w:r>
          </w:p>
        </w:tc>
      </w:tr>
      <w:tr>
        <w:trPr>
          <w:trHeight w:val="207"/>
        </w:trPr>
        <w:tc>
          <w:tcPr>
            <w:tcW w:w="49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376,012,071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366,546,129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regarding sales of fixed maturity securities available for sale is presented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4"/>
          </w:tcPr>
          <w:p>
            <w:pPr>
              <w:jc w:val="right"/>
              <w:ind w:right="516"/>
              <w:spacing w:after="0"/>
              <w:rPr>
                <w:sz w:val="20"/>
                <w:szCs w:val="20"/>
                <w:color w:val="auto"/>
              </w:rPr>
            </w:pPr>
            <w:r>
              <w:rPr>
                <w:rFonts w:ascii="Times New Roman" w:cs="Times New Roman" w:eastAsia="Times New Roman" w:hAnsi="Times New Roman"/>
                <w:sz w:val="17"/>
                <w:szCs w:val="17"/>
                <w:color w:val="auto"/>
              </w:rPr>
              <w:t>Years Ended December 31,</w:t>
            </w:r>
          </w:p>
        </w:tc>
        <w:tc>
          <w:tcPr>
            <w:tcW w:w="3380" w:type="dxa"/>
            <w:vAlign w:val="bottom"/>
          </w:tcPr>
          <w:p>
            <w:pPr>
              <w:spacing w:after="0"/>
              <w:rPr>
                <w:sz w:val="18"/>
                <w:szCs w:val="18"/>
                <w:color w:val="auto"/>
              </w:rPr>
            </w:pPr>
          </w:p>
        </w:tc>
      </w:tr>
      <w:tr>
        <w:trPr>
          <w:trHeight w:val="207"/>
        </w:trPr>
        <w:tc>
          <w:tcPr>
            <w:tcW w:w="4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rPr>
              <w:t>2023</w:t>
            </w:r>
          </w:p>
        </w:tc>
        <w:tc>
          <w:tcPr>
            <w:tcW w:w="3380" w:type="dxa"/>
            <w:vAlign w:val="bottom"/>
          </w:tcPr>
          <w:p>
            <w:pPr>
              <w:spacing w:after="0"/>
              <w:rPr>
                <w:sz w:val="18"/>
                <w:szCs w:val="18"/>
                <w:color w:val="auto"/>
              </w:rPr>
            </w:pPr>
          </w:p>
        </w:tc>
      </w:tr>
      <w:tr>
        <w:trPr>
          <w:trHeight w:val="194"/>
        </w:trPr>
        <w:tc>
          <w:tcPr>
            <w:tcW w:w="4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Proceeds from sales</w:t>
            </w:r>
          </w:p>
        </w:tc>
        <w:tc>
          <w:tcPr>
            <w:tcW w:w="280" w:type="dxa"/>
            <w:vAlign w:val="bottom"/>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2,629,493</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2,557,074</w:t>
            </w:r>
          </w:p>
        </w:tc>
        <w:tc>
          <w:tcPr>
            <w:tcW w:w="3380" w:type="dxa"/>
            <w:vAlign w:val="bottom"/>
          </w:tcPr>
          <w:p>
            <w:pPr>
              <w:spacing w:after="0"/>
              <w:rPr>
                <w:sz w:val="16"/>
                <w:szCs w:val="16"/>
                <w:color w:val="auto"/>
              </w:rPr>
            </w:pPr>
          </w:p>
        </w:tc>
      </w:tr>
      <w:tr>
        <w:trPr>
          <w:trHeight w:val="202"/>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Gross realized gains</w:t>
            </w:r>
          </w:p>
        </w:tc>
        <w:tc>
          <w:tcPr>
            <w:tcW w:w="2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233</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11,508</w:t>
            </w:r>
          </w:p>
        </w:tc>
        <w:tc>
          <w:tcPr>
            <w:tcW w:w="33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realized losses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(1,407)</w:t>
            </w:r>
          </w:p>
        </w:tc>
        <w:tc>
          <w:tcPr>
            <w:tcW w:w="2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(57,861)</w:t>
            </w:r>
          </w:p>
        </w:tc>
        <w:tc>
          <w:tcPr>
            <w:tcW w:w="3380" w:type="dxa"/>
            <w:vAlign w:val="bottom"/>
          </w:tcPr>
          <w:p>
            <w:pPr>
              <w:spacing w:after="0"/>
              <w:rPr>
                <w:sz w:val="17"/>
                <w:szCs w:val="17"/>
                <w:color w:val="auto"/>
              </w:rPr>
            </w:pPr>
          </w:p>
        </w:tc>
      </w:tr>
      <w:tr>
        <w:trPr>
          <w:trHeight w:val="403"/>
        </w:trPr>
        <w:tc>
          <w:tcPr>
            <w:tcW w:w="4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rPr>
              <w:t>55</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 on Deposit, Held in Trust, and Pledged as Collateral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on deposit with life insurance regulatory authorities as required by law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color w:val="auto"/>
              </w:rPr>
              <w:t>Years Ended December 31,</w:t>
            </w:r>
          </w:p>
        </w:tc>
      </w:tr>
      <w:tr>
        <w:trPr>
          <w:trHeight w:val="207"/>
        </w:trPr>
        <w:tc>
          <w:tcPr>
            <w:tcW w:w="5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5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34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6,126,589</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6,206,650</w:t>
            </w:r>
          </w:p>
        </w:tc>
        <w:tc>
          <w:tcPr>
            <w:tcW w:w="100" w:type="dxa"/>
            <w:vAlign w:val="bottom"/>
            <w:shd w:val="clear" w:color="auto" w:fill="CCEEFF"/>
          </w:tcPr>
          <w:p>
            <w:pPr>
              <w:spacing w:after="0"/>
              <w:rPr>
                <w:sz w:val="16"/>
                <w:szCs w:val="16"/>
                <w:color w:val="auto"/>
              </w:rPr>
            </w:pPr>
          </w:p>
        </w:tc>
      </w:tr>
      <w:tr>
        <w:trPr>
          <w:trHeight w:val="202"/>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Other investments</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400,000</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400,000</w:t>
            </w:r>
          </w:p>
        </w:tc>
      </w:tr>
      <w:tr>
        <w:trPr>
          <w:trHeight w:val="2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1,444,654</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1,909,215</w:t>
            </w:r>
          </w:p>
        </w:tc>
        <w:tc>
          <w:tcPr>
            <w:tcW w:w="100" w:type="dxa"/>
            <w:vAlign w:val="bottom"/>
            <w:shd w:val="clear" w:color="auto" w:fill="CCEEFF"/>
          </w:tcPr>
          <w:p>
            <w:pPr>
              <w:spacing w:after="0"/>
              <w:rPr>
                <w:sz w:val="18"/>
                <w:szCs w:val="18"/>
                <w:color w:val="auto"/>
              </w:rPr>
            </w:pPr>
          </w:p>
        </w:tc>
      </w:tr>
      <w:tr>
        <w:trPr>
          <w:trHeight w:val="207"/>
        </w:trPr>
        <w:tc>
          <w:tcPr>
            <w:tcW w:w="5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assets on deposit</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7,971,243</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8,515,865</w:t>
            </w:r>
          </w:p>
        </w:tc>
        <w:tc>
          <w:tcPr>
            <w:tcW w:w="10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held in trust related to third-party reinsurance agreements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Years Ended December 31,</w:t>
            </w:r>
          </w:p>
        </w:tc>
      </w:tr>
      <w:tr>
        <w:trPr>
          <w:trHeight w:val="207"/>
        </w:trPr>
        <w:tc>
          <w:tcPr>
            <w:tcW w:w="5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5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34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25,309,270</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27,903,952</w:t>
            </w:r>
          </w:p>
        </w:tc>
        <w:tc>
          <w:tcPr>
            <w:tcW w:w="100" w:type="dxa"/>
            <w:vAlign w:val="bottom"/>
            <w:shd w:val="clear" w:color="auto" w:fill="CCEEFF"/>
          </w:tcPr>
          <w:p>
            <w:pPr>
              <w:spacing w:after="0"/>
              <w:rPr>
                <w:sz w:val="16"/>
                <w:szCs w:val="16"/>
                <w:color w:val="auto"/>
              </w:rPr>
            </w:pPr>
          </w:p>
        </w:tc>
      </w:tr>
      <w:tr>
        <w:trPr>
          <w:trHeight w:val="214"/>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4,417,683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2,101,052</w:t>
            </w:r>
          </w:p>
        </w:tc>
        <w:tc>
          <w:tcPr>
            <w:tcW w:w="100" w:type="dxa"/>
            <w:vAlign w:val="bottom"/>
          </w:tcPr>
          <w:p>
            <w:pPr>
              <w:spacing w:after="0"/>
              <w:rPr>
                <w:sz w:val="18"/>
                <w:szCs w:val="18"/>
                <w:color w:val="auto"/>
              </w:rPr>
            </w:pPr>
          </w:p>
        </w:tc>
      </w:tr>
      <w:tr>
        <w:trPr>
          <w:trHeight w:val="207"/>
        </w:trPr>
        <w:tc>
          <w:tcPr>
            <w:tcW w:w="5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assets on deposit</w:t>
            </w: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29,726,953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30,005,004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a member of the Federal Home Loan Bank of Des Moines and Dallas (“FHLB”). Assets pledged as collateral with the FHLB are presented below. These pledged securities are used as collateral for any FHLB cash advances. See Note 7 of the Notes to the Consolidated Financial Statements for more information about the FHLB.</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Years Ended December 31,</w:t>
            </w:r>
          </w:p>
        </w:tc>
      </w:tr>
      <w:tr>
        <w:trPr>
          <w:trHeight w:val="207"/>
        </w:trPr>
        <w:tc>
          <w:tcPr>
            <w:tcW w:w="5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5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34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63,800,454</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93,903,089</w:t>
            </w:r>
          </w:p>
        </w:tc>
        <w:tc>
          <w:tcPr>
            <w:tcW w:w="100" w:type="dxa"/>
            <w:vAlign w:val="bottom"/>
            <w:shd w:val="clear" w:color="auto" w:fill="CCEEFF"/>
          </w:tcPr>
          <w:p>
            <w:pPr>
              <w:spacing w:after="0"/>
              <w:rPr>
                <w:sz w:val="16"/>
                <w:szCs w:val="16"/>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Estate Held for Investment and Held for Sale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strategically deploys resources into real estate assets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Commercial Real Estate Held for Investment and Held for Sale</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owns and manages commercial real estate assets as a means of both generating investment income and providing workspace for its employees.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Company’s Board of Directors.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will generally acquire assets as a result of company acquisitions or that are in regions expected to have high growth in employment and population and that provide operational efficiencies.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currently owns and operates six commercial properties in three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aggregated net book value of commercial real estate serving as collateral for bank loans was $119,889,846 and $124,381,467 as of December 31, 2024 and 2023, respectively. The associated bank loan carrying values totaled $96,007,488 and $97,807,614 as of December 31, 2024 and 2023, respectively.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2024 and 2023, the Company did not record any impairment losses on commercial real estate held for investment or held for sale. Impairment losses, if any, are included in gains (losses) on investments and other assets on the consolidated statements of earnings.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2024 and 2023, the Company recorded depreciation expense on commercial real estate held for investment of $5,778,214 and $6,278,828,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commercial real estate held for investment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7"/>
              </w:rPr>
              <w:t>Net Book Value</w:t>
            </w:r>
          </w:p>
        </w:tc>
        <w:tc>
          <w:tcPr>
            <w:tcW w:w="200" w:type="dxa"/>
            <w:vAlign w:val="bottom"/>
          </w:tcPr>
          <w:p>
            <w:pPr>
              <w:spacing w:after="0"/>
              <w:rPr>
                <w:sz w:val="18"/>
                <w:szCs w:val="18"/>
                <w:color w:val="auto"/>
              </w:rPr>
            </w:pPr>
          </w:p>
        </w:tc>
        <w:tc>
          <w:tcPr>
            <w:tcW w:w="2160" w:type="dxa"/>
            <w:vAlign w:val="bottom"/>
            <w:gridSpan w:val="3"/>
          </w:tcPr>
          <w:p>
            <w:pPr>
              <w:jc w:val="right"/>
              <w:ind w:right="316"/>
              <w:spacing w:after="0"/>
              <w:rPr>
                <w:sz w:val="20"/>
                <w:szCs w:val="20"/>
                <w:color w:val="auto"/>
              </w:rPr>
            </w:pPr>
            <w:r>
              <w:rPr>
                <w:rFonts w:ascii="Times New Roman" w:cs="Times New Roman" w:eastAsia="Times New Roman" w:hAnsi="Times New Roman"/>
                <w:sz w:val="17"/>
                <w:szCs w:val="17"/>
                <w:color w:val="auto"/>
              </w:rPr>
              <w:t>Total Square Footage</w:t>
            </w:r>
          </w:p>
        </w:tc>
        <w:tc>
          <w:tcPr>
            <w:tcW w:w="3380" w:type="dxa"/>
            <w:vAlign w:val="bottom"/>
          </w:tcPr>
          <w:p>
            <w:pPr>
              <w:spacing w:after="0"/>
              <w:rPr>
                <w:sz w:val="18"/>
                <w:szCs w:val="18"/>
                <w:color w:val="auto"/>
              </w:rPr>
            </w:pPr>
          </w:p>
        </w:tc>
      </w:tr>
      <w:tr>
        <w:trPr>
          <w:trHeight w:val="218"/>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gridSpan w:val="4"/>
          </w:tcPr>
          <w:p>
            <w:pPr>
              <w:jc w:val="center"/>
              <w:ind w:right="40"/>
              <w:spacing w:after="0"/>
              <w:rPr>
                <w:sz w:val="20"/>
                <w:szCs w:val="20"/>
                <w:color w:val="auto"/>
              </w:rPr>
            </w:pPr>
            <w:r>
              <w:rPr>
                <w:rFonts w:ascii="Times New Roman" w:cs="Times New Roman" w:eastAsia="Times New Roman" w:hAnsi="Times New Roman"/>
                <w:sz w:val="17"/>
                <w:szCs w:val="17"/>
                <w:color w:val="auto"/>
                <w:w w:val="98"/>
              </w:rPr>
              <w:t>December 31,</w:t>
            </w:r>
          </w:p>
        </w:tc>
        <w:tc>
          <w:tcPr>
            <w:tcW w:w="200" w:type="dxa"/>
            <w:vAlign w:val="bottom"/>
          </w:tcPr>
          <w:p>
            <w:pPr>
              <w:spacing w:after="0"/>
              <w:rPr>
                <w:sz w:val="18"/>
                <w:szCs w:val="18"/>
                <w:color w:val="auto"/>
              </w:rPr>
            </w:pPr>
          </w:p>
        </w:tc>
        <w:tc>
          <w:tcPr>
            <w:tcW w:w="2160" w:type="dxa"/>
            <w:vAlign w:val="bottom"/>
            <w:gridSpan w:val="3"/>
          </w:tcPr>
          <w:p>
            <w:pPr>
              <w:jc w:val="right"/>
              <w:ind w:right="556"/>
              <w:spacing w:after="0"/>
              <w:rPr>
                <w:sz w:val="20"/>
                <w:szCs w:val="20"/>
                <w:color w:val="auto"/>
              </w:rPr>
            </w:pPr>
            <w:r>
              <w:rPr>
                <w:rFonts w:ascii="Times New Roman" w:cs="Times New Roman" w:eastAsia="Times New Roman" w:hAnsi="Times New Roman"/>
                <w:sz w:val="17"/>
                <w:szCs w:val="17"/>
                <w:color w:val="auto"/>
              </w:rPr>
              <w:t>December 31,</w:t>
            </w:r>
          </w:p>
        </w:tc>
        <w:tc>
          <w:tcPr>
            <w:tcW w:w="3380" w:type="dxa"/>
            <w:vAlign w:val="bottom"/>
          </w:tcPr>
          <w:p>
            <w:pPr>
              <w:spacing w:after="0"/>
              <w:rPr>
                <w:sz w:val="18"/>
                <w:szCs w:val="18"/>
                <w:color w:val="auto"/>
              </w:rPr>
            </w:pPr>
          </w:p>
        </w:tc>
      </w:tr>
      <w:tr>
        <w:trPr>
          <w:trHeight w:val="207"/>
        </w:trPr>
        <w:tc>
          <w:tcPr>
            <w:tcW w:w="28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24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2023</w:t>
            </w:r>
          </w:p>
        </w:tc>
        <w:tc>
          <w:tcPr>
            <w:tcW w:w="3380" w:type="dxa"/>
            <w:vAlign w:val="bottom"/>
          </w:tcPr>
          <w:p>
            <w:pPr>
              <w:spacing w:after="0"/>
              <w:rPr>
                <w:sz w:val="18"/>
                <w:szCs w:val="18"/>
                <w:color w:val="auto"/>
              </w:rPr>
            </w:pPr>
          </w:p>
        </w:tc>
      </w:tr>
      <w:tr>
        <w:trPr>
          <w:trHeight w:val="194"/>
        </w:trPr>
        <w:tc>
          <w:tcPr>
            <w:tcW w:w="33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Utah (1)</w:t>
            </w:r>
          </w:p>
        </w:tc>
        <w:tc>
          <w:tcPr>
            <w:tcW w:w="9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$ 126,056,342</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6"/>
              </w:rPr>
              <w:t>$ 142,475,177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546,941</w:t>
            </w:r>
          </w:p>
        </w:tc>
        <w:tc>
          <w:tcPr>
            <w:tcW w:w="22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625,920</w:t>
            </w:r>
          </w:p>
        </w:tc>
        <w:tc>
          <w:tcPr>
            <w:tcW w:w="3380" w:type="dxa"/>
            <w:vAlign w:val="bottom"/>
          </w:tcPr>
          <w:p>
            <w:pPr>
              <w:spacing w:after="0"/>
              <w:rPr>
                <w:sz w:val="16"/>
                <w:szCs w:val="16"/>
                <w:color w:val="auto"/>
              </w:rPr>
            </w:pPr>
          </w:p>
        </w:tc>
      </w:tr>
      <w:tr>
        <w:trPr>
          <w:trHeight w:val="202"/>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Louisiana</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18,586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19,250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3380" w:type="dxa"/>
            <w:vAlign w:val="bottom"/>
          </w:tcPr>
          <w:p>
            <w:pPr>
              <w:spacing w:after="0"/>
              <w:rPr>
                <w:sz w:val="17"/>
                <w:szCs w:val="17"/>
                <w:color w:val="auto"/>
              </w:rPr>
            </w:pPr>
          </w:p>
        </w:tc>
      </w:tr>
      <w:tr>
        <w:trPr>
          <w:trHeight w:val="214"/>
        </w:trPr>
        <w:tc>
          <w:tcPr>
            <w:tcW w:w="2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07"/>
        </w:trPr>
        <w:tc>
          <w:tcPr>
            <w:tcW w:w="2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$ 126,074,928</w:t>
            </w:r>
          </w:p>
        </w:tc>
        <w:tc>
          <w:tcPr>
            <w:tcW w:w="2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 xml:space="preserve"> 142,494,427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548,563</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627,542</w:t>
            </w:r>
          </w:p>
        </w:tc>
        <w:tc>
          <w:tcPr>
            <w:tcW w:w="338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80"/>
        </w:trPr>
        <w:tc>
          <w:tcPr>
            <w:tcW w:w="332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210"/>
        </w:trPr>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(1) Includes Center53</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507"/>
        </w:trPr>
        <w:tc>
          <w:tcPr>
            <w:tcW w:w="2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856"/>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leases arise from the leasing of the Company’s commercial real estate held for investment. Initial lease terms generally range from three to ten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maturity analysis of the annual undiscounted cash flows of the operating lease payments expected to be received.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10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10,947,238</w:t>
            </w:r>
          </w:p>
        </w:tc>
      </w:tr>
      <w:tr>
        <w:trPr>
          <w:trHeight w:val="202"/>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9,938,966</w:t>
            </w:r>
          </w:p>
        </w:tc>
      </w:tr>
      <w:tr>
        <w:trPr>
          <w:trHeight w:val="20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8,833,459</w:t>
            </w:r>
          </w:p>
        </w:tc>
      </w:tr>
      <w:tr>
        <w:trPr>
          <w:trHeight w:val="202"/>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8,700,328</w:t>
            </w:r>
          </w:p>
        </w:tc>
      </w:tr>
      <w:tr>
        <w:trPr>
          <w:trHeight w:val="20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8,085,786</w:t>
            </w: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38,741,022</w:t>
            </w:r>
          </w:p>
        </w:tc>
      </w:tr>
      <w:tr>
        <w:trPr>
          <w:trHeight w:val="207"/>
        </w:trPr>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85,246,799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commercial real estate held for sale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w w:val="97"/>
              </w:rPr>
              <w:t>Net Book Value</w:t>
            </w:r>
          </w:p>
        </w:tc>
        <w:tc>
          <w:tcPr>
            <w:tcW w:w="216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color w:val="auto"/>
                <w:w w:val="98"/>
              </w:rPr>
              <w:t>Total Square Footage</w:t>
            </w:r>
          </w:p>
        </w:tc>
      </w:tr>
      <w:tr>
        <w:trPr>
          <w:trHeight w:val="218"/>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440"/>
              <w:spacing w:after="0"/>
              <w:rPr>
                <w:sz w:val="20"/>
                <w:szCs w:val="20"/>
                <w:color w:val="auto"/>
              </w:rPr>
            </w:pPr>
            <w:r>
              <w:rPr>
                <w:rFonts w:ascii="Times New Roman" w:cs="Times New Roman" w:eastAsia="Times New Roman" w:hAnsi="Times New Roman"/>
                <w:sz w:val="17"/>
                <w:szCs w:val="17"/>
                <w:color w:val="auto"/>
                <w:w w:val="98"/>
              </w:rPr>
              <w:t>December 31,</w:t>
            </w:r>
          </w:p>
        </w:tc>
        <w:tc>
          <w:tcPr>
            <w:tcW w:w="216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w w:val="98"/>
              </w:rPr>
              <w:t>December 31,</w:t>
            </w:r>
          </w:p>
        </w:tc>
      </w:tr>
      <w:tr>
        <w:trPr>
          <w:trHeight w:val="207"/>
        </w:trPr>
        <w:tc>
          <w:tcPr>
            <w:tcW w:w="3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8"/>
                <w:szCs w:val="18"/>
                <w:color w:val="auto"/>
              </w:rPr>
            </w:pPr>
          </w:p>
        </w:tc>
      </w:tr>
      <w:tr>
        <w:trPr>
          <w:trHeight w:val="194"/>
        </w:trPr>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Mississippi (1)</w:t>
            </w:r>
          </w:p>
        </w:tc>
        <w:tc>
          <w:tcPr>
            <w:tcW w:w="200" w:type="dxa"/>
            <w:vAlign w:val="bottom"/>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151,553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3,028,973</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19,694</w:t>
            </w:r>
          </w:p>
        </w:tc>
        <w:tc>
          <w:tcPr>
            <w:tcW w:w="60" w:type="dxa"/>
            <w:vAlign w:val="bottom"/>
            <w:shd w:val="clear" w:color="auto" w:fill="CCEEFF"/>
          </w:tcPr>
          <w:p>
            <w:pPr>
              <w:spacing w:after="0"/>
              <w:rPr>
                <w:sz w:val="16"/>
                <w:szCs w:val="16"/>
                <w:color w:val="auto"/>
              </w:rPr>
            </w:pPr>
          </w:p>
        </w:tc>
      </w:tr>
      <w:tr>
        <w:trPr>
          <w:trHeight w:val="214"/>
        </w:trPr>
        <w:tc>
          <w:tcPr>
            <w:tcW w:w="3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7"/>
        </w:trPr>
        <w:tc>
          <w:tcPr>
            <w:tcW w:w="3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151,553</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3,028,973</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19,694</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line="274" w:lineRule="auto"/>
        <w:tabs>
          <w:tab w:leader="none" w:pos="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approximately 93 acres of undeveloped land for $151,553 for 2024 and 2023. The remaining property for $2,877,420 was sold in February 2024 for a gain of approximately $250,000.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Residential Real Estate Held for Investment and Held for Sale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occasionally acquires residential homes through the mortgage loan foreclosure process. The Company has the option to sell these properties or to continue to hold them for expected cash flow and price appreciation.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2024 and 2023, the Company did not record any impairment losses on residential real estate held for investment or held for sale. Impairment losses, if any, are included in gains (losses) on investments and other assets on the consolidated statements of earnings.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2024 and 2023, the Company recorded depreciation expense on residential real estate held for investment of $10,611 and $10,592,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residential real estate held for investment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Net Book Value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4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auto"/>
              </w:rPr>
              <w:t>December 31,</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7"/>
        </w:trPr>
        <w:tc>
          <w:tcPr>
            <w:tcW w:w="4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194"/>
        </w:trPr>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Utah (1)</w:t>
            </w:r>
          </w:p>
        </w:tc>
        <w:tc>
          <w:tcPr>
            <w:tcW w:w="380" w:type="dxa"/>
            <w:vAlign w:val="bottom"/>
            <w:tcBorders>
              <w:bottom w:val="single" w:sz="8" w:color="auto"/>
            </w:tcBorders>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71,618,410</w:t>
            </w:r>
          </w:p>
        </w:tc>
        <w:tc>
          <w:tcPr>
            <w:tcW w:w="2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40,924,865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7"/>
        </w:trPr>
        <w:tc>
          <w:tcPr>
            <w:tcW w:w="4260" w:type="dxa"/>
            <w:vAlign w:val="bottom"/>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71,618,410</w:t>
            </w:r>
          </w:p>
        </w:tc>
        <w:tc>
          <w:tcPr>
            <w:tcW w:w="220" w:type="dxa"/>
            <w:vAlign w:val="bottom"/>
          </w:tcPr>
          <w:p>
            <w:pPr>
              <w:spacing w:after="0"/>
              <w:rPr>
                <w:sz w:val="17"/>
                <w:szCs w:val="17"/>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40,924,865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 Includes multiple residential subdivision development projects, refer to the following table.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additional information regarding the Company’s residential subdivision development in Utah.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7"/>
                <w:szCs w:val="17"/>
                <w:color w:val="auto"/>
              </w:rPr>
              <w:t>December 31,</w:t>
            </w: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4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8"/>
                <w:szCs w:val="18"/>
                <w:color w:val="auto"/>
              </w:rPr>
            </w:pPr>
          </w:p>
        </w:tc>
      </w:tr>
      <w:tr>
        <w:trPr>
          <w:trHeight w:val="194"/>
        </w:trPr>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Lots available for sale</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231</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42</w:t>
            </w:r>
          </w:p>
        </w:tc>
        <w:tc>
          <w:tcPr>
            <w:tcW w:w="60" w:type="dxa"/>
            <w:vAlign w:val="bottom"/>
            <w:shd w:val="clear" w:color="auto" w:fill="CCEEFF"/>
          </w:tcPr>
          <w:p>
            <w:pPr>
              <w:spacing w:after="0"/>
              <w:rPr>
                <w:sz w:val="16"/>
                <w:szCs w:val="16"/>
                <w:color w:val="auto"/>
              </w:rPr>
            </w:pPr>
          </w:p>
        </w:tc>
      </w:tr>
      <w:tr>
        <w:trPr>
          <w:trHeight w:val="20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Lots to be developed</w:t>
            </w:r>
          </w:p>
        </w:tc>
        <w:tc>
          <w:tcPr>
            <w:tcW w:w="3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1,046</w:t>
            </w:r>
          </w:p>
        </w:tc>
        <w:tc>
          <w:tcPr>
            <w:tcW w:w="5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1,145</w:t>
            </w:r>
          </w:p>
        </w:tc>
      </w:tr>
      <w:tr>
        <w:trPr>
          <w:trHeight w:val="20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71,443,356</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40,739,201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residential real estate held for sale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Net Book Value</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4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auto"/>
              </w:rPr>
              <w:t>December 31,</w:t>
            </w:r>
          </w:p>
        </w:tc>
        <w:tc>
          <w:tcPr>
            <w:tcW w:w="1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7"/>
        </w:trPr>
        <w:tc>
          <w:tcPr>
            <w:tcW w:w="4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8"/>
                <w:szCs w:val="18"/>
                <w:color w:val="auto"/>
              </w:rPr>
            </w:pPr>
          </w:p>
        </w:tc>
      </w:tr>
      <w:tr>
        <w:trPr>
          <w:trHeight w:val="194"/>
        </w:trPr>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Florida</w:t>
            </w:r>
          </w:p>
        </w:tc>
        <w:tc>
          <w:tcPr>
            <w:tcW w:w="380" w:type="dxa"/>
            <w:vAlign w:val="bottom"/>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276,580</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6"/>
                <w:szCs w:val="16"/>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Utah</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849,900</w:t>
            </w:r>
          </w:p>
        </w:tc>
        <w:tc>
          <w:tcPr>
            <w:tcW w:w="5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1,126,480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net book value of foreclosed residential real estate included in residential real estate held for investment or sale was $1,126,480 and nil as of December 31, 2024 and 2023, respectively.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Real Estate Owned and Occupied by the Company</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primary business units of the Company occupy a portion of the commercial real estate owned by the Company. As of December 31, 2024, real estate owned and occupied by the Company is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Square Footage</w:t>
            </w:r>
          </w:p>
        </w:tc>
      </w:tr>
      <w:tr>
        <w:trPr>
          <w:trHeight w:val="202"/>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Approximate</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Occupied by the</w:t>
            </w:r>
          </w:p>
        </w:tc>
      </w:tr>
      <w:tr>
        <w:trPr>
          <w:trHeight w:val="218"/>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Location</w:t>
            </w:r>
          </w:p>
        </w:tc>
        <w:tc>
          <w:tcPr>
            <w:tcW w:w="29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Business Segment</w:t>
            </w:r>
          </w:p>
        </w:tc>
        <w:tc>
          <w:tcPr>
            <w:tcW w:w="202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Square Footage</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Company</w:t>
            </w:r>
          </w:p>
        </w:tc>
      </w:tr>
      <w:tr>
        <w:trPr>
          <w:trHeight w:val="178"/>
        </w:trPr>
        <w:tc>
          <w:tcPr>
            <w:tcW w:w="3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5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Corporate Offices, Life Insurance,</w:t>
            </w:r>
          </w:p>
        </w:tc>
        <w:tc>
          <w:tcPr>
            <w:tcW w:w="2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433 Ascension Way, Floors 4, 5 and 6, Salt Lake</w:t>
            </w:r>
          </w:p>
        </w:tc>
        <w:tc>
          <w:tcPr>
            <w:tcW w:w="2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Cemetery/Mortuary Operations, and</w:t>
            </w: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UT - Center53 Building 2 (1)</w:t>
            </w:r>
          </w:p>
        </w:tc>
        <w:tc>
          <w:tcPr>
            <w:tcW w:w="2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Mortgage Operations and Sales</w:t>
            </w:r>
          </w:p>
        </w:tc>
        <w:tc>
          <w:tcPr>
            <w:tcW w:w="2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221,000</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w:t>
            </w: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1818 Marshall Street, Shreveport, LA (2)</w:t>
            </w:r>
          </w:p>
        </w:tc>
        <w:tc>
          <w:tcPr>
            <w:tcW w:w="29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Life Insurance Operations</w:t>
            </w: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12,274</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20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812 Sheppard Street, Minden, LA (2) (3)</w:t>
            </w:r>
          </w:p>
        </w:tc>
        <w:tc>
          <w:tcPr>
            <w:tcW w:w="2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Life Insurance Sales</w:t>
            </w:r>
          </w:p>
        </w:tc>
        <w:tc>
          <w:tcPr>
            <w:tcW w:w="2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1,560</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real estate held for investment on the consolidated balance sheets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property and equipment on the consolidated balance sheets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Listed for sale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Mortgage Loans Held for Investment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reports mortgage loans held for investment pursuant to the accounting policy discussed in Note 1 of the Notes to Consolidated Financial Statements.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Concentrations of credit risk arise when several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December 31, 2024, the Company had 56%, 8%, 9% and 6% of its mortgage loans from borrowers located in the states of Utah, Florida, Arizona, and Texas, respectively. As of December 31, 2023, the Company had 44%, 11%, 10%, 7% and 6% of its mortgage loans from borrowers located in the states of Utah, Florida, California, Texas, and Arizona,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Allowance for Credit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 regarding the adoption of ASU 2016-13.</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consolidated statements of earnings.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$244,000 and $237,000 as of December 31,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measures expected credit losses based on the fair value of the collateral when the Company determines that foreclosure is probable. When a mortgage loan becomes delinquent, the Company proceeds to foreclose, and all expenses of foreclosure are expensed as incurred. Once foreclosed, the property is classified as real estate held for investment or held for sale.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Commercial</w:t>
      </w:r>
      <w:r>
        <w:rPr>
          <w:rFonts w:ascii="Times New Roman" w:cs="Times New Roman" w:eastAsia="Times New Roman" w:hAnsi="Times New Roman"/>
          <w:sz w:val="17"/>
          <w:szCs w:val="17"/>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These loans are secured by first and second mortgages on single-family dwellings. The borrower’s ability to repay is sensitive to life events and the general economic condition of the region. Where loan to value exceeds 80%, the loan is generally guaranteed by private mortgage insurance, the FHA, or VA.</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loan to value, payment status, age, and current property values. Analyzing the information from the various sources allows the Company to arrive at the allowance for credit losses.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Residential construction (including land acquisition and development)</w:t>
      </w:r>
      <w:r>
        <w:rPr>
          <w:rFonts w:ascii="Times New Roman" w:cs="Times New Roman" w:eastAsia="Times New Roman" w:hAnsi="Times New Roman"/>
          <w:sz w:val="17"/>
          <w:szCs w:val="17"/>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Residential construction mortgage loans are evaluated for credit loss by considering historical activity and current housing market trends to arrive at a per loan basis point allowance that is recognized at loan origination and for subsequent draws. The per loan basis point is reviewed at least annually or as loan losses or market trends require.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roll forward of the allowance for credit losses as of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Residential</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Construction</w:t>
            </w:r>
          </w:p>
        </w:tc>
        <w:tc>
          <w:tcPr>
            <w:tcW w:w="2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2024</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 - January 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1,219,653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2,390,894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208,106</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3,818,653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provision for credit losses (2)</w:t>
            </w:r>
          </w:p>
        </w:tc>
        <w:tc>
          <w:tcPr>
            <w:tcW w:w="14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(487,159)</w:t>
            </w:r>
          </w:p>
        </w:tc>
        <w:tc>
          <w:tcPr>
            <w:tcW w:w="16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(444,859)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94,240</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(837,778)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Charge-offs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(1,095,485)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(1,095,485)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Ending balance -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732,494</w:t>
            </w:r>
          </w:p>
        </w:tc>
        <w:tc>
          <w:tcPr>
            <w:tcW w:w="4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850,550</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302,346</w:t>
            </w:r>
          </w:p>
        </w:tc>
        <w:tc>
          <w:tcPr>
            <w:tcW w:w="4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1,885,390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820" w:type="dxa"/>
            <w:vAlign w:val="bottom"/>
            <w:gridSpan w:val="2"/>
          </w:tcPr>
          <w:p>
            <w:pPr>
              <w:spacing w:after="0" w:line="164" w:lineRule="exact"/>
              <w:rPr>
                <w:sz w:val="20"/>
                <w:szCs w:val="20"/>
                <w:color w:val="auto"/>
              </w:rPr>
            </w:pPr>
            <w:r>
              <w:rPr>
                <w:rFonts w:ascii="Times New Roman" w:cs="Times New Roman" w:eastAsia="Times New Roman" w:hAnsi="Times New Roman"/>
                <w:sz w:val="17"/>
                <w:szCs w:val="17"/>
                <w:color w:val="auto"/>
              </w:rPr>
              <w:t>December 31, 2023</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Beginning balance - January 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187,129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1,739,980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43,202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1,970,311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Adoption of ASU 2016-13 (1)</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555,807</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(192,607)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301,830</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665,030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provision for credit losses (2)</w:t>
            </w:r>
          </w:p>
        </w:tc>
        <w:tc>
          <w:tcPr>
            <w:tcW w:w="14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476,717</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843,521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(136,926)</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Charge-offs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Ending balance - 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1,219,653</w:t>
            </w:r>
          </w:p>
        </w:tc>
        <w:tc>
          <w:tcPr>
            <w:tcW w:w="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2,390,894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208,106</w:t>
            </w:r>
          </w:p>
        </w:tc>
        <w:tc>
          <w:tcPr>
            <w:tcW w:w="4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3,818,653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tabs>
          <w:tab w:leader="none" w:pos="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 of the notes to the consolidated financial statements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consolidated statements of earnings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aging of mortgage loans held for investment by loan type.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Residential</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Construction</w:t>
            </w:r>
          </w:p>
        </w:tc>
        <w:tc>
          <w:tcPr>
            <w:tcW w:w="2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2024</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3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30-59 days past due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2,100,000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5,818,334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7,918,334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60-89 days past due</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845,980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845,980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Over 90 days past due (1)</w:t>
            </w:r>
          </w:p>
        </w:tc>
        <w:tc>
          <w:tcPr>
            <w:tcW w:w="14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4,205,000</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3,061,450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7,266,450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 process of foreclosure (1)</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191,508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3,942,392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4,133,900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past due</w:t>
            </w: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6,496,508</w:t>
            </w:r>
          </w:p>
        </w:tc>
        <w:tc>
          <w:tcPr>
            <w:tcW w:w="4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13,668,156</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20,164,664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gridSpan w:val="2"/>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Current</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56,256,577</w:t>
            </w:r>
          </w:p>
        </w:tc>
        <w:tc>
          <w:tcPr>
            <w:tcW w:w="4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78,393,631</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151,172,733</w:t>
            </w:r>
          </w:p>
        </w:tc>
        <w:tc>
          <w:tcPr>
            <w:tcW w:w="4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285,822,941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mortgage loans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62,753,085</w:t>
            </w:r>
          </w:p>
        </w:tc>
        <w:tc>
          <w:tcPr>
            <w:tcW w:w="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92,061,787</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151,172,733</w:t>
            </w:r>
          </w:p>
        </w:tc>
        <w:tc>
          <w:tcPr>
            <w:tcW w:w="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305,987,605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gridSpan w:val="2"/>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Allowance for credit losses</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(732,494)</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(850,550)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(302,346)</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(1,885,390)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Unamortized deferred loan fees, net</w:t>
            </w:r>
          </w:p>
        </w:tc>
        <w:tc>
          <w:tcPr>
            <w:tcW w:w="14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(115,555)</w:t>
            </w:r>
          </w:p>
        </w:tc>
        <w:tc>
          <w:tcPr>
            <w:tcW w:w="16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(1,307,539)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(659,147)</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(2,082,241)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Unamortized discounts, net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(149,268)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(123,348)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(272,616)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Net mortgage loans held for investment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61,755,768</w:t>
            </w:r>
          </w:p>
        </w:tc>
        <w:tc>
          <w:tcPr>
            <w:tcW w:w="4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89,780,350</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150,211,240</w:t>
            </w:r>
          </w:p>
        </w:tc>
        <w:tc>
          <w:tcPr>
            <w:tcW w:w="4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301,747,358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820" w:type="dxa"/>
            <w:vAlign w:val="bottom"/>
            <w:gridSpan w:val="2"/>
          </w:tcPr>
          <w:p>
            <w:pPr>
              <w:spacing w:after="0" w:line="164" w:lineRule="exact"/>
              <w:rPr>
                <w:sz w:val="20"/>
                <w:szCs w:val="20"/>
                <w:color w:val="auto"/>
              </w:rPr>
            </w:pPr>
            <w:r>
              <w:rPr>
                <w:rFonts w:ascii="Times New Roman" w:cs="Times New Roman" w:eastAsia="Times New Roman" w:hAnsi="Times New Roman"/>
                <w:sz w:val="17"/>
                <w:szCs w:val="17"/>
                <w:color w:val="auto"/>
              </w:rPr>
              <w:t>December 31, 2023</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30-59 days past due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3,387,673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60-89 days past due</w:t>
            </w:r>
          </w:p>
        </w:tc>
        <w:tc>
          <w:tcPr>
            <w:tcW w:w="140" w:type="dxa"/>
            <w:vAlign w:val="bottom"/>
          </w:tcPr>
          <w:p>
            <w:pPr>
              <w:spacing w:after="0"/>
              <w:rPr>
                <w:sz w:val="17"/>
                <w:szCs w:val="17"/>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3,472,760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3,472,760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Over 90 days past due (1)</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405,000</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3,480,931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3,885,931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 process of foreclosure (1)</w:t>
            </w:r>
          </w:p>
        </w:tc>
        <w:tc>
          <w:tcPr>
            <w:tcW w:w="14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1,241,508</w:t>
            </w: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1,021,790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Borders>
              <w:top w:val="single" w:sz="8" w:color="CCEEFF"/>
            </w:tcBorders>
            <w:gridSpan w:val="2"/>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past due</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1,646,508</w:t>
            </w:r>
          </w:p>
        </w:tc>
        <w:tc>
          <w:tcPr>
            <w:tcW w:w="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11,363,154</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13,009,662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tcBorders>
              <w:bottom w:val="single" w:sz="8" w:color="CCEEFF"/>
            </w:tcBorders>
            <w:gridSpan w:val="2"/>
          </w:tcPr>
          <w:p>
            <w:pPr>
              <w:ind w:left="140"/>
              <w:spacing w:after="0" w:line="194" w:lineRule="exact"/>
              <w:rPr>
                <w:sz w:val="20"/>
                <w:szCs w:val="20"/>
                <w:color w:val="auto"/>
              </w:rPr>
            </w:pPr>
            <w:r>
              <w:rPr>
                <w:rFonts w:ascii="Times New Roman" w:cs="Times New Roman" w:eastAsia="Times New Roman" w:hAnsi="Times New Roman"/>
                <w:sz w:val="17"/>
                <w:szCs w:val="17"/>
                <w:color w:val="auto"/>
              </w:rPr>
              <w:t>Current</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72,530,030</w:t>
            </w:r>
          </w:p>
        </w:tc>
        <w:tc>
          <w:tcPr>
            <w:tcW w:w="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91,790,433</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104,052,748</w:t>
            </w:r>
          </w:p>
        </w:tc>
        <w:tc>
          <w:tcPr>
            <w:tcW w:w="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268,373,211</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20" w:type="dxa"/>
            <w:vAlign w:val="bottom"/>
            <w:gridSpan w:val="2"/>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mortgage loans</w:t>
            </w: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74,176,538</w:t>
            </w:r>
          </w:p>
        </w:tc>
        <w:tc>
          <w:tcPr>
            <w:tcW w:w="4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103,153,587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104,052,748</w:t>
            </w:r>
          </w:p>
        </w:tc>
        <w:tc>
          <w:tcPr>
            <w:tcW w:w="4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281,382,873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53" w:right="339" w:bottom="1440" w:gutter="0" w:footer="0" w:header="0"/>
        </w:sectPr>
      </w:pPr>
    </w:p>
    <w:p>
      <w:pPr>
        <w:ind w:left="160"/>
        <w:spacing w:after="0"/>
        <w:rPr>
          <w:sz w:val="20"/>
          <w:szCs w:val="20"/>
          <w:color w:val="auto"/>
        </w:rPr>
      </w:pPr>
      <w:r>
        <w:rPr>
          <w:rFonts w:ascii="Times New Roman" w:cs="Times New Roman" w:eastAsia="Times New Roman" w:hAnsi="Times New Roman"/>
          <w:sz w:val="17"/>
          <w:szCs w:val="17"/>
          <w:color w:val="auto"/>
        </w:rPr>
        <w:t>Allowance for credit losses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Unamortized deferred loan fees, net</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Unamortized discounts, net</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Net mortgage loans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17856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1400" w:type="dxa"/>
            <w:vAlign w:val="bottom"/>
            <w:gridSpan w:val="2"/>
          </w:tcPr>
          <w:p>
            <w:pPr>
              <w:jc w:val="right"/>
              <w:ind w:right="400"/>
              <w:spacing w:after="0" w:line="185" w:lineRule="exact"/>
              <w:rPr>
                <w:sz w:val="20"/>
                <w:szCs w:val="20"/>
                <w:color w:val="auto"/>
              </w:rPr>
            </w:pPr>
            <w:r>
              <w:rPr>
                <w:rFonts w:ascii="Times New Roman" w:cs="Times New Roman" w:eastAsia="Times New Roman" w:hAnsi="Times New Roman"/>
                <w:sz w:val="17"/>
                <w:szCs w:val="17"/>
                <w:color w:val="auto"/>
              </w:rPr>
              <w:t>(1,219,653)</w:t>
            </w:r>
          </w:p>
        </w:tc>
        <w:tc>
          <w:tcPr>
            <w:tcW w:w="300" w:type="dxa"/>
            <w:vAlign w:val="bottom"/>
          </w:tcPr>
          <w:p>
            <w:pPr>
              <w:spacing w:after="0"/>
              <w:rPr>
                <w:sz w:val="16"/>
                <w:szCs w:val="16"/>
                <w:color w:val="auto"/>
              </w:rPr>
            </w:pPr>
          </w:p>
        </w:tc>
        <w:tc>
          <w:tcPr>
            <w:tcW w:w="1400" w:type="dxa"/>
            <w:vAlign w:val="bottom"/>
            <w:gridSpan w:val="2"/>
          </w:tcPr>
          <w:p>
            <w:pPr>
              <w:jc w:val="right"/>
              <w:ind w:right="400"/>
              <w:spacing w:after="0" w:line="185" w:lineRule="exact"/>
              <w:rPr>
                <w:sz w:val="20"/>
                <w:szCs w:val="20"/>
                <w:color w:val="auto"/>
              </w:rPr>
            </w:pPr>
            <w:r>
              <w:rPr>
                <w:rFonts w:ascii="Times New Roman" w:cs="Times New Roman" w:eastAsia="Times New Roman" w:hAnsi="Times New Roman"/>
                <w:sz w:val="17"/>
                <w:szCs w:val="17"/>
                <w:color w:val="auto"/>
              </w:rPr>
              <w:t>(2,390,894)</w:t>
            </w:r>
          </w:p>
        </w:tc>
        <w:tc>
          <w:tcPr>
            <w:tcW w:w="260" w:type="dxa"/>
            <w:vAlign w:val="bottom"/>
          </w:tcPr>
          <w:p>
            <w:pPr>
              <w:spacing w:after="0"/>
              <w:rPr>
                <w:sz w:val="16"/>
                <w:szCs w:val="16"/>
                <w:color w:val="auto"/>
              </w:rPr>
            </w:pPr>
          </w:p>
        </w:tc>
        <w:tc>
          <w:tcPr>
            <w:tcW w:w="1420" w:type="dxa"/>
            <w:vAlign w:val="bottom"/>
            <w:gridSpan w:val="2"/>
          </w:tcPr>
          <w:p>
            <w:pPr>
              <w:jc w:val="right"/>
              <w:ind w:right="360"/>
              <w:spacing w:after="0" w:line="185" w:lineRule="exact"/>
              <w:rPr>
                <w:sz w:val="20"/>
                <w:szCs w:val="20"/>
                <w:color w:val="auto"/>
              </w:rPr>
            </w:pPr>
            <w:r>
              <w:rPr>
                <w:rFonts w:ascii="Times New Roman" w:cs="Times New Roman" w:eastAsia="Times New Roman" w:hAnsi="Times New Roman"/>
                <w:sz w:val="17"/>
                <w:szCs w:val="17"/>
                <w:color w:val="auto"/>
              </w:rPr>
              <w:t>(208,106)</w:t>
            </w:r>
          </w:p>
        </w:tc>
        <w:tc>
          <w:tcPr>
            <w:tcW w:w="240" w:type="dxa"/>
            <w:vAlign w:val="bottom"/>
          </w:tcPr>
          <w:p>
            <w:pPr>
              <w:spacing w:after="0"/>
              <w:rPr>
                <w:sz w:val="16"/>
                <w:szCs w:val="16"/>
                <w:color w:val="auto"/>
              </w:rPr>
            </w:pPr>
          </w:p>
        </w:tc>
        <w:tc>
          <w:tcPr>
            <w:tcW w:w="104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(3,818,653)</w:t>
            </w:r>
          </w:p>
        </w:tc>
      </w:tr>
      <w:tr>
        <w:trPr>
          <w:trHeight w:val="202"/>
        </w:trPr>
        <w:tc>
          <w:tcPr>
            <w:tcW w:w="300" w:type="dxa"/>
            <w:vAlign w:val="bottom"/>
          </w:tcPr>
          <w:p>
            <w:pPr>
              <w:spacing w:after="0"/>
              <w:rPr>
                <w:sz w:val="17"/>
                <w:szCs w:val="17"/>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(172,989)</w:t>
            </w:r>
          </w:p>
        </w:tc>
        <w:tc>
          <w:tcPr>
            <w:tcW w:w="300" w:type="dxa"/>
            <w:vAlign w:val="bottom"/>
          </w:tcPr>
          <w:p>
            <w:pPr>
              <w:spacing w:after="0"/>
              <w:rPr>
                <w:sz w:val="17"/>
                <w:szCs w:val="17"/>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(1,135,491)</w:t>
            </w:r>
          </w:p>
        </w:tc>
        <w:tc>
          <w:tcPr>
            <w:tcW w:w="260" w:type="dxa"/>
            <w:vAlign w:val="bottom"/>
          </w:tcPr>
          <w:p>
            <w:pPr>
              <w:spacing w:after="0"/>
              <w:rPr>
                <w:sz w:val="17"/>
                <w:szCs w:val="17"/>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(314,746)</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(1,623,226)</w:t>
            </w:r>
          </w:p>
        </w:tc>
      </w:tr>
      <w:tr>
        <w:trPr>
          <w:trHeight w:val="231"/>
        </w:trPr>
        <w:tc>
          <w:tcPr>
            <w:tcW w:w="30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(216,705)</w:t>
            </w:r>
          </w:p>
        </w:tc>
        <w:tc>
          <w:tcPr>
            <w:tcW w:w="30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(107,452)</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(324,157)</w:t>
            </w:r>
          </w:p>
        </w:tc>
      </w:tr>
      <w:tr>
        <w:trPr>
          <w:trHeight w:val="207"/>
        </w:trPr>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72,567,191</w:t>
            </w:r>
          </w:p>
        </w:tc>
        <w:tc>
          <w:tcPr>
            <w:tcW w:w="4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99,519,750</w:t>
            </w: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103,529,896</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275,616,837</w:t>
            </w:r>
          </w:p>
        </w:tc>
        <w:tc>
          <w:tcPr>
            <w:tcW w:w="60" w:type="dxa"/>
            <w:vAlign w:val="bottom"/>
          </w:tcPr>
          <w:p>
            <w:pPr>
              <w:spacing w:after="0"/>
              <w:rPr>
                <w:sz w:val="18"/>
                <w:szCs w:val="18"/>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-431800</wp:posOffset>
            </wp:positionV>
            <wp:extent cx="714121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-167640</wp:posOffset>
            </wp:positionV>
            <wp:extent cx="7141210" cy="152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653" w:right="339" w:bottom="1440" w:gutter="0" w:footer="0" w:header="0"/>
          <w:type w:val="continuous"/>
        </w:sectPr>
      </w:pPr>
    </w:p>
    <w:p>
      <w:pPr>
        <w:spacing w:after="0" w:line="10" w:lineRule="exact"/>
        <w:rPr>
          <w:sz w:val="20"/>
          <w:szCs w:val="20"/>
          <w:color w:val="auto"/>
        </w:rPr>
      </w:pPr>
    </w:p>
    <w:p>
      <w:pPr>
        <w:ind w:left="5540" w:right="4300" w:hanging="5483"/>
        <w:spacing w:after="0" w:line="646" w:lineRule="auto"/>
        <w:tabs>
          <w:tab w:leader="none" w:pos="32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income is not recognized on loans which are more than 90 days past due or in foreclosure.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-200660</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right="9400" w:firstLine="1"/>
        <w:spacing w:after="0" w:line="526" w:lineRule="auto"/>
        <w:tabs>
          <w:tab w:leader="none" w:pos="18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Investments</w:t>
      </w:r>
      <w:r>
        <w:rPr>
          <w:rFonts w:ascii="Times New Roman" w:cs="Times New Roman" w:eastAsia="Times New Roman" w:hAnsi="Times New Roman"/>
          <w:sz w:val="16"/>
          <w:szCs w:val="16"/>
          <w:color w:val="auto"/>
        </w:rPr>
        <w:t xml:space="preserve"> (Continued) </w:t>
      </w:r>
      <w:r>
        <w:rPr>
          <w:rFonts w:ascii="Times New Roman" w:cs="Times New Roman" w:eastAsia="Times New Roman" w:hAnsi="Times New Roman"/>
          <w:sz w:val="16"/>
          <w:szCs w:val="16"/>
          <w:u w:val="single" w:color="auto"/>
          <w:color w:val="auto"/>
        </w:rPr>
        <w:t>Credit Quality Indicators</w:t>
      </w: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unpaid principal balance of commercial mortgage loans by credit quality indicator and origination year was as follows as of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of</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Credit Quality Indicator</w:t>
            </w:r>
          </w:p>
        </w:tc>
        <w:tc>
          <w:tcPr>
            <w:tcW w:w="100" w:type="dxa"/>
            <w:vAlign w:val="bottom"/>
          </w:tcPr>
          <w:p>
            <w:pPr>
              <w:spacing w:after="0"/>
              <w:rPr>
                <w:sz w:val="18"/>
                <w:szCs w:val="18"/>
                <w:color w:val="auto"/>
              </w:rPr>
            </w:pPr>
          </w:p>
        </w:tc>
        <w:tc>
          <w:tcPr>
            <w:tcW w:w="7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8"/>
                <w:szCs w:val="18"/>
                <w:color w:val="auto"/>
              </w:rPr>
            </w:pPr>
          </w:p>
        </w:tc>
        <w:tc>
          <w:tcPr>
            <w:tcW w:w="1000" w:type="dxa"/>
            <w:vAlign w:val="bottom"/>
            <w:gridSpan w:val="2"/>
          </w:tcPr>
          <w:p>
            <w:pPr>
              <w:jc w:val="center"/>
              <w:ind w:left="76"/>
              <w:spacing w:after="0"/>
              <w:rPr>
                <w:sz w:val="20"/>
                <w:szCs w:val="20"/>
                <w:color w:val="auto"/>
              </w:rPr>
            </w:pPr>
            <w:r>
              <w:rPr>
                <w:rFonts w:ascii="Times New Roman" w:cs="Times New Roman" w:eastAsia="Times New Roman" w:hAnsi="Times New Roman"/>
                <w:sz w:val="17"/>
                <w:szCs w:val="17"/>
                <w:color w:val="auto"/>
                <w:w w:val="93"/>
              </w:rPr>
              <w:t>2023</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2021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2020</w:t>
            </w:r>
          </w:p>
        </w:tc>
        <w:tc>
          <w:tcPr>
            <w:tcW w:w="3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Prior</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20" w:type="dxa"/>
            <w:vAlign w:val="bottom"/>
            <w:tcBorders>
              <w:top w:val="single" w:sz="8" w:color="auto"/>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LTV:</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7,653,600</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$24,600,000</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$ 2,352,150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864,128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$ 8,867,779</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8"/>
              </w:rPr>
              <w:t>$44,337,657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65% to 80%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6"/>
              </w:rPr>
              <w:t>10,432,942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1,840,776</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823,397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4,913,313</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18,010,428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Greater than 80%</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405,000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405,000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6"/>
              </w:rPr>
              <w:t>18,086,542</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26,440,776</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$ 3,175,547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9"/>
              </w:rPr>
              <w:t>1,269,128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4,913,313</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$ 8,867,779</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62,753,085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20" w:type="dxa"/>
            <w:vAlign w:val="bottom"/>
            <w:tcBorders>
              <w:bottom w:val="single" w:sz="8" w:color="auto"/>
            </w:tcBorders>
            <w:gridSpan w:val="2"/>
          </w:tcPr>
          <w:p>
            <w:pPr>
              <w:spacing w:after="0" w:line="164" w:lineRule="exact"/>
              <w:rPr>
                <w:sz w:val="20"/>
                <w:szCs w:val="20"/>
                <w:color w:val="auto"/>
              </w:rPr>
            </w:pPr>
            <w:r>
              <w:rPr>
                <w:rFonts w:ascii="Times New Roman" w:cs="Times New Roman" w:eastAsia="Times New Roman" w:hAnsi="Times New Roman"/>
                <w:sz w:val="17"/>
                <w:szCs w:val="17"/>
                <w:color w:val="auto"/>
                <w:w w:val="89"/>
              </w:rPr>
              <w:t>DSCR</w:t>
            </w:r>
          </w:p>
        </w:tc>
        <w:tc>
          <w:tcPr>
            <w:tcW w:w="22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&gt;1.20x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6"/>
              </w:rPr>
              <w:t>16,300,000</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$20,990,000</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$ 1,000,000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4,913,313</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$ 5,414,274</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8"/>
              </w:rPr>
              <w:t>$48,617,587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1.00x - 1.20x</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432,942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5,450,776</w:t>
            </w:r>
          </w:p>
        </w:tc>
        <w:tc>
          <w:tcPr>
            <w:tcW w:w="16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2,175,547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9"/>
              </w:rPr>
              <w:t>1,269,128</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3,453,505</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12,781,898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&lt;1.00x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1,353,600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1,353,600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6"/>
              </w:rPr>
              <w:t>18,086,542</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26,440,776</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$ 3,175,547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9"/>
              </w:rPr>
              <w:t>1,269,128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4,913,313</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$ 8,867,779</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62,753,085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unpaid principal balance of residential mortgage loans by credit quality indicator and origination year was as follows as of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of</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Credit Quality Indicator</w:t>
            </w: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Prior</w:t>
            </w:r>
          </w:p>
        </w:tc>
        <w:tc>
          <w:tcPr>
            <w:tcW w:w="20" w:type="dxa"/>
            <w:vAlign w:val="bottom"/>
          </w:tcPr>
          <w:p>
            <w:pPr>
              <w:spacing w:after="0"/>
              <w:rPr>
                <w:sz w:val="18"/>
                <w:szCs w:val="18"/>
                <w:color w:val="auto"/>
              </w:rPr>
            </w:pP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Total</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00" w:type="dxa"/>
            <w:vAlign w:val="bottom"/>
            <w:tcBorders>
              <w:top w:val="single" w:sz="8" w:color="auto"/>
              <w:bottom w:val="single" w:sz="8" w:color="auto"/>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w w:val="96"/>
              </w:rPr>
              <w:t>Performance Indicators:</w:t>
            </w: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Performing</w:t>
            </w:r>
          </w:p>
        </w:tc>
        <w:tc>
          <w:tcPr>
            <w:tcW w:w="112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color w:val="auto"/>
              </w:rPr>
              <w:t>$14,861,098</w:t>
            </w: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$10,030,848</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$42,634,670</w:t>
            </w:r>
          </w:p>
        </w:tc>
        <w:tc>
          <w:tcPr>
            <w:tcW w:w="118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color w:val="auto"/>
              </w:rPr>
              <w:t>$ 3,076,901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6"/>
              </w:rPr>
              <w:t>$ 5,513,462</w:t>
            </w:r>
          </w:p>
        </w:tc>
        <w:tc>
          <w:tcPr>
            <w:tcW w:w="26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8,940,966</w:t>
            </w: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7"/>
                <w:szCs w:val="17"/>
                <w:color w:val="auto"/>
              </w:rPr>
              <w:t>$85,057,945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Non-performing (1)</w:t>
            </w:r>
          </w:p>
        </w:tc>
        <w:tc>
          <w:tcPr>
            <w:tcW w:w="11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3,442,992</w:t>
            </w: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1,451,039</w:t>
            </w:r>
          </w:p>
        </w:tc>
        <w:tc>
          <w:tcPr>
            <w:tcW w:w="11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291,359</w:t>
            </w:r>
          </w:p>
        </w:tc>
        <w:tc>
          <w:tcPr>
            <w:tcW w:w="10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311,116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1,507,336</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7,003,842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14,861,098</w:t>
            </w:r>
          </w:p>
        </w:tc>
        <w:tc>
          <w:tcPr>
            <w:tcW w:w="12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13,473,840</w:t>
            </w: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44,085,709</w:t>
            </w:r>
          </w:p>
        </w:tc>
        <w:tc>
          <w:tcPr>
            <w:tcW w:w="11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$ 3,368,260</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$ 5,824,578</w:t>
            </w:r>
          </w:p>
        </w:tc>
        <w:tc>
          <w:tcPr>
            <w:tcW w:w="2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96"/>
              </w:rPr>
              <w:t>10,448,302</w:t>
            </w:r>
          </w:p>
        </w:tc>
        <w:tc>
          <w:tcPr>
            <w:tcW w:w="11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92,061,787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840" w:type="dxa"/>
            <w:vAlign w:val="bottom"/>
            <w:gridSpan w:val="2"/>
          </w:tcPr>
          <w:p>
            <w:pPr>
              <w:spacing w:after="0"/>
              <w:rPr>
                <w:sz w:val="15"/>
                <w:szCs w:val="15"/>
                <w:color w:val="auto"/>
              </w:rPr>
            </w:pPr>
          </w:p>
        </w:tc>
        <w:tc>
          <w:tcPr>
            <w:tcW w:w="114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18"/>
          </w:tcPr>
          <w:p>
            <w:pPr>
              <w:ind w:left="40"/>
              <w:spacing w:after="0"/>
              <w:rPr>
                <w:sz w:val="20"/>
                <w:szCs w:val="20"/>
                <w:color w:val="auto"/>
              </w:rPr>
            </w:pPr>
            <w:r>
              <w:rPr>
                <w:rFonts w:ascii="Times New Roman" w:cs="Times New Roman" w:eastAsia="Times New Roman" w:hAnsi="Times New Roman"/>
                <w:sz w:val="17"/>
                <w:szCs w:val="17"/>
                <w:color w:val="auto"/>
              </w:rPr>
              <w:t>(1) Includes residential mortgage loans in the process of foreclosure of $3,942,392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520" w:type="dxa"/>
            <w:vAlign w:val="bottom"/>
            <w:gridSpan w:val="3"/>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LTV:</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Less than 65%</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$ 6,241,730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$ 4,931,376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$ 5,488,954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$ 1,790,036</w:t>
            </w:r>
          </w:p>
        </w:tc>
        <w:tc>
          <w:tcPr>
            <w:tcW w:w="2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4"/>
              </w:rPr>
              <w:t>$ 2,440,002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5,273,672</w:t>
            </w:r>
          </w:p>
        </w:tc>
        <w:tc>
          <w:tcPr>
            <w:tcW w:w="26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98"/>
              </w:rPr>
              <w:t>$26,165,770</w:t>
            </w:r>
          </w:p>
        </w:tc>
        <w:tc>
          <w:tcPr>
            <w:tcW w:w="2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65% to 80%</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7,802,984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7,662,200</w:t>
            </w: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37,509,634</w:t>
            </w: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1,578,224</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2,701,008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5,107,289</w:t>
            </w:r>
          </w:p>
        </w:tc>
        <w:tc>
          <w:tcPr>
            <w:tcW w:w="2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62,361,339</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Greater than 80%</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816,384</w:t>
            </w:r>
          </w:p>
        </w:tc>
        <w:tc>
          <w:tcPr>
            <w:tcW w:w="10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880,264</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1,087,121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683,568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67,341</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3,534,678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14,861,098</w:t>
            </w:r>
          </w:p>
        </w:tc>
        <w:tc>
          <w:tcPr>
            <w:tcW w:w="100" w:type="dxa"/>
            <w:vAlign w:val="bottom"/>
          </w:tcPr>
          <w:p>
            <w:pPr>
              <w:spacing w:after="0"/>
              <w:rPr>
                <w:sz w:val="19"/>
                <w:szCs w:val="19"/>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13,473,840</w:t>
            </w:r>
          </w:p>
        </w:tc>
        <w:tc>
          <w:tcPr>
            <w:tcW w:w="2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44,085,709</w:t>
            </w:r>
          </w:p>
        </w:tc>
        <w:tc>
          <w:tcPr>
            <w:tcW w:w="10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$ 3,368,260</w:t>
            </w:r>
          </w:p>
        </w:tc>
        <w:tc>
          <w:tcPr>
            <w:tcW w:w="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4"/>
              </w:rPr>
              <w:t>$ 5,824,578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10,448,302</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92,061,787</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aggregate unpaid principal balance of residential construction mortgage loans by credit quality indicator and origination year was as follows as of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 of</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gridSpan w:val="4"/>
          </w:tcPr>
          <w:p>
            <w:pPr>
              <w:ind w:left="580"/>
              <w:spacing w:after="0"/>
              <w:rPr>
                <w:sz w:val="20"/>
                <w:szCs w:val="20"/>
                <w:color w:val="auto"/>
              </w:rPr>
            </w:pPr>
            <w:r>
              <w:rPr>
                <w:rFonts w:ascii="Times New Roman" w:cs="Times New Roman" w:eastAsia="Times New Roman" w:hAnsi="Times New Roman"/>
                <w:sz w:val="17"/>
                <w:szCs w:val="17"/>
                <w:color w:val="auto"/>
              </w:rPr>
              <w:t>Credit Quality Indicator</w:t>
            </w:r>
          </w:p>
        </w:tc>
        <w:tc>
          <w:tcPr>
            <w:tcW w:w="80" w:type="dxa"/>
            <w:vAlign w:val="bottom"/>
          </w:tcPr>
          <w:p>
            <w:pPr>
              <w:spacing w:after="0"/>
              <w:rPr>
                <w:sz w:val="18"/>
                <w:szCs w:val="18"/>
                <w:color w:val="auto"/>
              </w:rPr>
            </w:pP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00" w:type="dxa"/>
            <w:vAlign w:val="bottom"/>
            <w:tcBorders>
              <w:top w:val="single" w:sz="8" w:color="auto"/>
              <w:bottom w:val="single" w:sz="8" w:color="auto"/>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w w:val="96"/>
              </w:rPr>
              <w:t>Performance Indicators:</w:t>
            </w:r>
          </w:p>
        </w:tc>
        <w:tc>
          <w:tcPr>
            <w:tcW w:w="184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Performing</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8"/>
              </w:rPr>
              <w:t>118,863,944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8"/>
              </w:rPr>
              <w:t>$21,375,552</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$ 972,468</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$ 9,960,769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8"/>
              </w:rPr>
              <w:t>151,172,733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Non-performing</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8"/>
              </w:rPr>
              <w:t>118,863,944</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21,375,552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$ 972,468</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$ 9,960,769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8"/>
              </w:rPr>
              <w:t>151,172,733</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620" w:type="dxa"/>
            <w:vAlign w:val="bottom"/>
            <w:gridSpan w:val="5"/>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LTV:</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Less than 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48,065,177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8"/>
              </w:rPr>
              <w:t>$21,375,552</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$ 518,590</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$ 9,960,769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79,920,088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65% to 80%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70,798,767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453,878</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71,252,645</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Greater than 80%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6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8"/>
              </w:rPr>
              <w:t>118,863,944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21,375,552</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$ 972,468</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$ 9,960,769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8"/>
              </w:rPr>
              <w:t>151,172,733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w w:val="97"/>
              </w:rPr>
              <w:t>Principal Amounts Due</w:t>
            </w:r>
          </w:p>
        </w:tc>
        <w:tc>
          <w:tcPr>
            <w:tcW w:w="2060" w:type="dxa"/>
            <w:vAlign w:val="bottom"/>
            <w:gridSpan w:val="3"/>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580" w:type="dxa"/>
            <w:vAlign w:val="bottom"/>
            <w:tcBorders>
              <w:bottom w:val="single" w:sz="8" w:color="auto"/>
            </w:tcBorders>
            <w:gridSpan w:val="3"/>
            <w:vMerge w:val="continue"/>
          </w:tcPr>
          <w:p>
            <w:pPr>
              <w:spacing w:after="0"/>
              <w:rPr>
                <w:sz w:val="24"/>
                <w:szCs w:val="24"/>
                <w:color w:val="auto"/>
              </w:rPr>
            </w:pPr>
          </w:p>
        </w:tc>
        <w:tc>
          <w:tcPr>
            <w:tcW w:w="20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presents the amortized cost and contractual payments on mortgage loans held for investment by category as of December 31, 2024. Expected principal payments may differ from contractual obligations because certain borrowers may elect to pay off mortgage obligations with or without early payment penalties.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Principal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rPr>
              <w:t>Principal</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Principal</w:t>
            </w:r>
          </w:p>
        </w:tc>
        <w:tc>
          <w:tcPr>
            <w:tcW w:w="1680" w:type="dxa"/>
            <w:vAlign w:val="bottom"/>
          </w:tcPr>
          <w:p>
            <w:pPr>
              <w:spacing w:after="0"/>
              <w:rPr>
                <w:sz w:val="17"/>
                <w:szCs w:val="17"/>
                <w:color w:val="auto"/>
              </w:rPr>
            </w:pPr>
          </w:p>
        </w:tc>
      </w:tr>
      <w:tr>
        <w:trPr>
          <w:trHeight w:val="202"/>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Amounts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w w:val="99"/>
              </w:rPr>
              <w:t>Amounts</w:t>
            </w: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Amounts</w:t>
            </w:r>
          </w:p>
        </w:tc>
        <w:tc>
          <w:tcPr>
            <w:tcW w:w="1680" w:type="dxa"/>
            <w:vAlign w:val="bottom"/>
          </w:tcPr>
          <w:p>
            <w:pPr>
              <w:spacing w:after="0"/>
              <w:rPr>
                <w:sz w:val="17"/>
                <w:szCs w:val="17"/>
                <w:color w:val="auto"/>
              </w:rPr>
            </w:pPr>
          </w:p>
        </w:tc>
      </w:tr>
      <w:tr>
        <w:trPr>
          <w:trHeight w:val="214"/>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5"/>
              </w:rPr>
              <w:t>Due in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color w:val="auto"/>
              </w:rPr>
              <w:t>Due in</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Due</w:t>
            </w:r>
          </w:p>
        </w:tc>
        <w:tc>
          <w:tcPr>
            <w:tcW w:w="1680" w:type="dxa"/>
            <w:vAlign w:val="bottom"/>
          </w:tcPr>
          <w:p>
            <w:pPr>
              <w:spacing w:after="0"/>
              <w:rPr>
                <w:sz w:val="18"/>
                <w:szCs w:val="18"/>
                <w:color w:val="auto"/>
              </w:rPr>
            </w:pPr>
          </w:p>
        </w:tc>
      </w:tr>
      <w:tr>
        <w:trPr>
          <w:trHeight w:val="218"/>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6"/>
              </w:rPr>
              <w:t>1 Year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6"/>
              </w:rPr>
              <w:t>2-5 Years</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Thereafter</w:t>
            </w:r>
          </w:p>
        </w:tc>
        <w:tc>
          <w:tcPr>
            <w:tcW w:w="1680" w:type="dxa"/>
            <w:vAlign w:val="bottom"/>
          </w:tcPr>
          <w:p>
            <w:pPr>
              <w:spacing w:after="0"/>
              <w:rPr>
                <w:sz w:val="18"/>
                <w:szCs w:val="18"/>
                <w:color w:val="auto"/>
              </w:rPr>
            </w:pPr>
          </w:p>
        </w:tc>
      </w:tr>
      <w:tr>
        <w:trPr>
          <w:trHeight w:val="195"/>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92,061,787</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1,433,574</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5,749,140</w:t>
            </w: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84,879,073</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Pr>
          <w:p>
            <w:pPr>
              <w:spacing w:after="0"/>
              <w:rPr>
                <w:sz w:val="16"/>
                <w:szCs w:val="16"/>
                <w:color w:val="auto"/>
              </w:rPr>
            </w:pPr>
          </w:p>
        </w:tc>
      </w:tr>
      <w:tr>
        <w:trPr>
          <w:trHeight w:val="202"/>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Residential Construction</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151,172,733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108,067,038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43,105,695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62,753,085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30,839,972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26,023,731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5,889,382</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305,987,605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140,340,584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w w:val="94"/>
              </w:rPr>
              <w:t>74,878,566</w:t>
            </w: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90,768,455</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81"/>
        </w:trPr>
        <w:tc>
          <w:tcPr>
            <w:tcW w:w="4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center"/>
              <w:ind w:left="36"/>
              <w:spacing w:after="0"/>
              <w:rPr>
                <w:sz w:val="20"/>
                <w:szCs w:val="20"/>
                <w:color w:val="auto"/>
              </w:rPr>
            </w:pPr>
            <w:r>
              <w:rPr>
                <w:rFonts w:ascii="Times New Roman" w:cs="Times New Roman" w:eastAsia="Times New Roman" w:hAnsi="Times New Roman"/>
                <w:sz w:val="17"/>
                <w:szCs w:val="17"/>
                <w:color w:val="auto"/>
                <w:w w:val="93"/>
              </w:rPr>
              <w:t>65</w:t>
            </w: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 Assignments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aging of insurance assignments, included in other investments and policy loans on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7"/>
          </w:tcPr>
          <w:p>
            <w:pPr>
              <w:jc w:val="right"/>
              <w:ind w:right="760"/>
              <w:spacing w:after="0"/>
              <w:rPr>
                <w:sz w:val="20"/>
                <w:szCs w:val="20"/>
                <w:color w:val="auto"/>
              </w:rPr>
            </w:pPr>
            <w:r>
              <w:rPr>
                <w:rFonts w:ascii="Times New Roman" w:cs="Times New Roman" w:eastAsia="Times New Roman" w:hAnsi="Times New Roman"/>
                <w:sz w:val="17"/>
                <w:szCs w:val="17"/>
                <w:color w:val="auto"/>
              </w:rPr>
              <w:t>Years Ended December 31,</w:t>
            </w:r>
          </w:p>
        </w:tc>
      </w:tr>
      <w:tr>
        <w:trPr>
          <w:trHeight w:val="207"/>
        </w:trPr>
        <w:tc>
          <w:tcPr>
            <w:tcW w:w="45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194"/>
        </w:trPr>
        <w:tc>
          <w:tcPr>
            <w:tcW w:w="4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30-59 days past due</w:t>
            </w:r>
          </w:p>
        </w:tc>
        <w:tc>
          <w:tcPr>
            <w:tcW w:w="340" w:type="dxa"/>
            <w:vAlign w:val="bottom"/>
            <w:shd w:val="clear" w:color="auto" w:fill="CCEEFF"/>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8,785,184</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10,829,629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2"/>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60-89 days past due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4,046,731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3,709,754</w:t>
            </w:r>
          </w:p>
        </w:tc>
        <w:tc>
          <w:tcPr>
            <w:tcW w:w="40" w:type="dxa"/>
            <w:vAlign w:val="bottom"/>
          </w:tcPr>
          <w:p>
            <w:pPr>
              <w:spacing w:after="0"/>
              <w:rPr>
                <w:sz w:val="17"/>
                <w:szCs w:val="17"/>
                <w:color w:val="auto"/>
              </w:rPr>
            </w:pPr>
          </w:p>
        </w:tc>
      </w:tr>
      <w:tr>
        <w:trPr>
          <w:trHeight w:val="21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90 days past due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5,320,216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4,329,468</w:t>
            </w:r>
          </w:p>
        </w:tc>
        <w:tc>
          <w:tcPr>
            <w:tcW w:w="40" w:type="dxa"/>
            <w:vAlign w:val="bottom"/>
            <w:shd w:val="clear" w:color="auto" w:fill="CCEEFF"/>
          </w:tcPr>
          <w:p>
            <w:pPr>
              <w:spacing w:after="0"/>
              <w:rPr>
                <w:sz w:val="18"/>
                <w:szCs w:val="18"/>
                <w:color w:val="auto"/>
              </w:rPr>
            </w:pPr>
          </w:p>
        </w:tc>
      </w:tr>
      <w:tr>
        <w:trPr>
          <w:trHeight w:val="194"/>
        </w:trPr>
        <w:tc>
          <w:tcPr>
            <w:tcW w:w="45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past due</w:t>
            </w: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18,152,131</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18,868,851</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r>
      <w:tr>
        <w:trPr>
          <w:trHeight w:val="194"/>
        </w:trPr>
        <w:tc>
          <w:tcPr>
            <w:tcW w:w="4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Current</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30,341,727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26,736,471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4"/>
        </w:trPr>
        <w:tc>
          <w:tcPr>
            <w:tcW w:w="45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insurance assignments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48,493,858</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45,605,322</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r>
      <w:tr>
        <w:trPr>
          <w:trHeight w:val="194"/>
        </w:trPr>
        <w:tc>
          <w:tcPr>
            <w:tcW w:w="4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Allowance for credit losses</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(1,536,926</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(1,553,836</w:t>
            </w:r>
          </w:p>
        </w:tc>
        <w:tc>
          <w:tcPr>
            <w:tcW w:w="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insurance assignments</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46,956,932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44,051,486</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Company records an allowance for credit losses when the insurance assignment is funded. Once an insurance assignment moves to 90 days or legal proceedings, it is monitored for write-off and collectability, and any adjustments to the allowance are recorded at that time. See Note 1 regarding the adoption of ASU 2016-13.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 roll forward of the allowance for credit losses for insurance assignments: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 - January 1, 2024</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1,553,836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provision for credit losses (1)</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Charge-offs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(1,050,187)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Ending balance - December 31, 2024</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1,536,926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Beginning balance - January 1, 2023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provision for credit losses (1)</w:t>
            </w: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891,959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Charge-offs</w:t>
            </w:r>
          </w:p>
        </w:tc>
        <w:tc>
          <w:tcPr>
            <w:tcW w:w="2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(948,074)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 - December 31, 2023</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1,553,836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 Included in other expenses on the consolidated statements of earnings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Related Earnings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presents the net realized gains and losses from sales, calls, and maturities, unrealized gains and losses on equity securities from investments and other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7"/>
                <w:szCs w:val="17"/>
                <w:color w:val="auto"/>
              </w:rPr>
              <w:t>Years Ended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Fixed maturity securities available for sale:</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realized gains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12,906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realized losses</w:t>
            </w:r>
          </w:p>
        </w:tc>
        <w:tc>
          <w:tcPr>
            <w:tcW w:w="3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(63,024)</w:t>
            </w:r>
          </w:p>
        </w:tc>
        <w:tc>
          <w:tcPr>
            <w:tcW w:w="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(106,760)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credit loss (provision) release</w:t>
            </w:r>
          </w:p>
        </w:tc>
        <w:tc>
          <w:tcPr>
            <w:tcW w:w="38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(106,444)</w:t>
            </w:r>
          </w:p>
        </w:tc>
        <w:tc>
          <w:tcPr>
            <w:tcW w:w="38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(325,314)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 (losses) on securities sold</w:t>
            </w:r>
          </w:p>
        </w:tc>
        <w:tc>
          <w:tcPr>
            <w:tcW w:w="3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(42,680)</w:t>
            </w:r>
          </w:p>
        </w:tc>
        <w:tc>
          <w:tcPr>
            <w:tcW w:w="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254,917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gains (losses) on securities held at the end of the period</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2,290,252</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1,782,219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loans held for investment:</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realized gains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realized losses</w:t>
            </w:r>
          </w:p>
        </w:tc>
        <w:tc>
          <w:tcPr>
            <w:tcW w:w="38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(1,161,363)</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Real estate held for investment and sale: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realized gains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739,107</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realized losses</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(71,792)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including call and put option derivatives: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realized gains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293,657</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214,349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realized losses</w:t>
            </w:r>
          </w:p>
        </w:tc>
        <w:tc>
          <w:tcPr>
            <w:tcW w:w="3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(20,513)</w:t>
            </w: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(175,157)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1,941,898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1,837,342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net realized gains and losses on the sale of securities are recorded on the trade date, and the cost of the securities sold is determined using the specific identification method.</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Net realized gains and losses includes gains and losses by the restricted assets and cemetery perpetual care trust investments of the cemeteries and mortuaries of $888,788 in net gains and $730,259 in net losses for 2024 and 2023,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 Investments (Continued)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4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Major categories of net investment income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24"/>
                <w:szCs w:val="24"/>
                <w:color w:val="auto"/>
              </w:rPr>
            </w:pPr>
          </w:p>
        </w:tc>
      </w:tr>
      <w:tr>
        <w:trPr>
          <w:trHeight w:val="195"/>
        </w:trPr>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636"/>
              <w:spacing w:after="0"/>
              <w:rPr>
                <w:sz w:val="20"/>
                <w:szCs w:val="20"/>
                <w:color w:val="auto"/>
              </w:rPr>
            </w:pPr>
            <w:r>
              <w:rPr>
                <w:rFonts w:ascii="Times New Roman" w:cs="Times New Roman" w:eastAsia="Times New Roman" w:hAnsi="Times New Roman"/>
                <w:sz w:val="17"/>
                <w:szCs w:val="17"/>
                <w:color w:val="auto"/>
              </w:rPr>
              <w:t>Years Ended December 31</w:t>
            </w:r>
          </w:p>
        </w:tc>
        <w:tc>
          <w:tcPr>
            <w:tcW w:w="60" w:type="dxa"/>
            <w:vAlign w:val="bottom"/>
          </w:tcPr>
          <w:p>
            <w:pPr>
              <w:spacing w:after="0"/>
              <w:rPr>
                <w:sz w:val="16"/>
                <w:szCs w:val="16"/>
                <w:color w:val="auto"/>
              </w:rPr>
            </w:pPr>
          </w:p>
        </w:tc>
      </w:tr>
      <w:tr>
        <w:trPr>
          <w:trHeight w:val="207"/>
        </w:trPr>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3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7"/>
                <w:szCs w:val="17"/>
                <w:color w:val="auto"/>
              </w:rPr>
            </w:pPr>
          </w:p>
        </w:tc>
      </w:tr>
      <w:tr>
        <w:trPr>
          <w:trHeight w:val="194"/>
        </w:trPr>
        <w:tc>
          <w:tcPr>
            <w:tcW w:w="45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Fixed maturity securities available for sale</w:t>
            </w:r>
          </w:p>
        </w:tc>
        <w:tc>
          <w:tcPr>
            <w:tcW w:w="340" w:type="dxa"/>
            <w:vAlign w:val="bottom"/>
            <w:shd w:val="clear" w:color="auto" w:fill="CCEEFF"/>
          </w:tcPr>
          <w:p>
            <w:pPr>
              <w:jc w:val="right"/>
              <w:ind w:right="1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17,332,753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16,871,558</w:t>
            </w:r>
          </w:p>
        </w:tc>
        <w:tc>
          <w:tcPr>
            <w:tcW w:w="60" w:type="dxa"/>
            <w:vAlign w:val="bottom"/>
            <w:shd w:val="clear" w:color="auto" w:fill="CCEEFF"/>
          </w:tcPr>
          <w:p>
            <w:pPr>
              <w:spacing w:after="0"/>
              <w:rPr>
                <w:sz w:val="16"/>
                <w:szCs w:val="16"/>
                <w:color w:val="auto"/>
              </w:rPr>
            </w:pPr>
          </w:p>
        </w:tc>
      </w:tr>
      <w:tr>
        <w:trPr>
          <w:trHeight w:val="202"/>
        </w:trPr>
        <w:tc>
          <w:tcPr>
            <w:tcW w:w="4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3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698,484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616,989</w:t>
            </w:r>
          </w:p>
        </w:tc>
      </w:tr>
      <w:tr>
        <w:trPr>
          <w:trHeight w:val="202"/>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29,952,242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33,242,094</w:t>
            </w:r>
          </w:p>
        </w:tc>
      </w:tr>
      <w:tr>
        <w:trPr>
          <w:trHeight w:val="202"/>
        </w:trPr>
        <w:tc>
          <w:tcPr>
            <w:tcW w:w="4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Real estate held for investment and sale</w:t>
            </w:r>
          </w:p>
        </w:tc>
        <w:tc>
          <w:tcPr>
            <w:tcW w:w="3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11,369,546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14,786,017</w:t>
            </w:r>
          </w:p>
        </w:tc>
      </w:tr>
      <w:tr>
        <w:trPr>
          <w:trHeight w:val="202"/>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Policy loans</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953,489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816,711</w:t>
            </w:r>
          </w:p>
        </w:tc>
      </w:tr>
      <w:tr>
        <w:trPr>
          <w:trHeight w:val="202"/>
        </w:trPr>
        <w:tc>
          <w:tcPr>
            <w:tcW w:w="4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Insurance assignments</w:t>
            </w:r>
          </w:p>
        </w:tc>
        <w:tc>
          <w:tcPr>
            <w:tcW w:w="3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19,971,108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18,118,391</w:t>
            </w:r>
          </w:p>
        </w:tc>
      </w:tr>
      <w:tr>
        <w:trPr>
          <w:trHeight w:val="202"/>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investments</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806,032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617,420</w:t>
            </w:r>
          </w:p>
        </w:tc>
      </w:tr>
      <w:tr>
        <w:trPr>
          <w:trHeight w:val="214"/>
        </w:trPr>
        <w:tc>
          <w:tcPr>
            <w:tcW w:w="4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6,676,563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4,250,029</w:t>
            </w:r>
          </w:p>
        </w:tc>
      </w:tr>
      <w:tr>
        <w:trPr>
          <w:trHeight w:val="194"/>
        </w:trPr>
        <w:tc>
          <w:tcPr>
            <w:tcW w:w="4560" w:type="dxa"/>
            <w:vAlign w:val="bottom"/>
            <w:tcBorders>
              <w:top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investment income</w:t>
            </w:r>
          </w:p>
        </w:tc>
        <w:tc>
          <w:tcPr>
            <w:tcW w:w="3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87,760,217</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89,319,209</w:t>
            </w: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4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(16,034,968)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(16,976,162)</w:t>
            </w:r>
          </w:p>
        </w:tc>
      </w:tr>
      <w:tr>
        <w:trPr>
          <w:trHeight w:val="207"/>
        </w:trPr>
        <w:tc>
          <w:tcPr>
            <w:tcW w:w="45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71,725,249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72,343,047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Net investment income includes income earned by the restricted assets and cemetery perpetual care trust investments of the cemeteries and mortuaries of $2,009,719 and $2,365,378 for 2024 and 2023, respectively.</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Accrued Investment Income</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investment income consists of the following:</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760" w:type="dxa"/>
            <w:vAlign w:val="bottom"/>
            <w:gridSpan w:val="6"/>
          </w:tcPr>
          <w:p>
            <w:pPr>
              <w:jc w:val="right"/>
              <w:ind w:right="1020"/>
              <w:spacing w:after="0"/>
              <w:rPr>
                <w:sz w:val="20"/>
                <w:szCs w:val="20"/>
                <w:color w:val="auto"/>
              </w:rPr>
            </w:pPr>
            <w:r>
              <w:rPr>
                <w:rFonts w:ascii="Times New Roman" w:cs="Times New Roman" w:eastAsia="Times New Roman" w:hAnsi="Times New Roman"/>
                <w:sz w:val="17"/>
                <w:szCs w:val="17"/>
                <w:color w:val="auto"/>
              </w:rPr>
              <w:t>Years Ended December 31,</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Fixed maturity securities available for sale</w:t>
            </w:r>
          </w:p>
        </w:tc>
        <w:tc>
          <w:tcPr>
            <w:tcW w:w="1020" w:type="dxa"/>
            <w:vAlign w:val="bottom"/>
            <w:shd w:val="clear" w:color="auto" w:fill="CCEEFF"/>
          </w:tcPr>
          <w:p>
            <w:pPr>
              <w:jc w:val="right"/>
              <w:ind w:right="8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6"/>
              </w:rPr>
              <w:t>3,795,581</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3,984,695</w:t>
            </w:r>
          </w:p>
        </w:tc>
        <w:tc>
          <w:tcPr>
            <w:tcW w:w="100" w:type="dxa"/>
            <w:vAlign w:val="bottom"/>
            <w:shd w:val="clear" w:color="auto" w:fill="CCEEFF"/>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20,451</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1,049,489</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2,661,092</w:t>
            </w:r>
          </w:p>
        </w:tc>
        <w:tc>
          <w:tcPr>
            <w:tcW w:w="10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Real estate held for investment</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3,559,463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3,486,115</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83,586</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18,437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accrued investment income</w:t>
            </w:r>
          </w:p>
        </w:tc>
        <w:tc>
          <w:tcPr>
            <w:tcW w:w="102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8,499,168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10,170,790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rPr>
              <w:t>68</w:t>
            </w: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 Held for Sale</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consolidated statement of earnings. Included in loans held for sale are loans in the process of foreclosure with an aggregate unpaid principal balance of nil and $1,636,090 as of December 31, 2024 and 2023, respectively. See Note 17 of the Notes to Consolidated Financial Statements for additional disclosures regarding loans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aggregate fair value and the aggregate unpaid principal balance of loans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auto"/>
              </w:rPr>
              <w:t>December 31,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5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Aggregate fair value</w:t>
            </w:r>
          </w:p>
        </w:tc>
        <w:tc>
          <w:tcPr>
            <w:tcW w:w="380" w:type="dxa"/>
            <w:vAlign w:val="bottom"/>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131,181,148</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126,549,190</w:t>
            </w:r>
          </w:p>
        </w:tc>
        <w:tc>
          <w:tcPr>
            <w:tcW w:w="100" w:type="dxa"/>
            <w:vAlign w:val="bottom"/>
            <w:shd w:val="clear" w:color="auto" w:fill="CCEEFF"/>
          </w:tcPr>
          <w:p>
            <w:pPr>
              <w:spacing w:after="0"/>
              <w:rPr>
                <w:sz w:val="16"/>
                <w:szCs w:val="16"/>
                <w:color w:val="auto"/>
              </w:rPr>
            </w:pPr>
          </w:p>
        </w:tc>
      </w:tr>
      <w:tr>
        <w:trPr>
          <w:trHeight w:val="202"/>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Unpaid principal balance</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128,948,072</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127,185,867</w:t>
            </w:r>
          </w:p>
        </w:tc>
        <w:tc>
          <w:tcPr>
            <w:tcW w:w="100" w:type="dxa"/>
            <w:vAlign w:val="bottom"/>
          </w:tcPr>
          <w:p>
            <w:pPr>
              <w:spacing w:after="0"/>
              <w:rPr>
                <w:sz w:val="17"/>
                <w:szCs w:val="17"/>
                <w:color w:val="auto"/>
              </w:rPr>
            </w:pPr>
          </w:p>
        </w:tc>
      </w:tr>
      <w:tr>
        <w:trPr>
          <w:trHeight w:val="20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(loss)</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2,233,076</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(636,677)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Mortgage Fee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Mortgage fee income consists of origination fees, processing fees, interest income and other income related to the origination and sale of mortgage loans held for sale.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Major categories of mortgage fee income for loans held for sale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5"/>
          </w:tcPr>
          <w:p>
            <w:pPr>
              <w:jc w:val="right"/>
              <w:ind w:right="1040"/>
              <w:spacing w:after="0"/>
              <w:rPr>
                <w:sz w:val="20"/>
                <w:szCs w:val="20"/>
                <w:color w:val="auto"/>
              </w:rPr>
            </w:pPr>
            <w:r>
              <w:rPr>
                <w:rFonts w:ascii="Times New Roman" w:cs="Times New Roman" w:eastAsia="Times New Roman" w:hAnsi="Times New Roman"/>
                <w:sz w:val="17"/>
                <w:szCs w:val="17"/>
                <w:color w:val="auto"/>
              </w:rPr>
              <w:t>Years Ended December 31</w:t>
            </w:r>
          </w:p>
        </w:tc>
        <w:tc>
          <w:tcPr>
            <w:tcW w:w="2240" w:type="dxa"/>
            <w:vAlign w:val="bottom"/>
          </w:tcPr>
          <w:p>
            <w:pPr>
              <w:spacing w:after="0"/>
              <w:rPr>
                <w:sz w:val="18"/>
                <w:szCs w:val="18"/>
                <w:color w:val="auto"/>
              </w:rPr>
            </w:pPr>
          </w:p>
        </w:tc>
      </w:tr>
      <w:tr>
        <w:trPr>
          <w:trHeight w:val="207"/>
        </w:trPr>
        <w:tc>
          <w:tcPr>
            <w:tcW w:w="5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2240" w:type="dxa"/>
            <w:vAlign w:val="bottom"/>
          </w:tcPr>
          <w:p>
            <w:pPr>
              <w:spacing w:after="0"/>
              <w:rPr>
                <w:sz w:val="18"/>
                <w:szCs w:val="18"/>
                <w:color w:val="auto"/>
              </w:rPr>
            </w:pPr>
          </w:p>
        </w:tc>
      </w:tr>
      <w:tr>
        <w:trPr>
          <w:trHeight w:val="194"/>
        </w:trPr>
        <w:tc>
          <w:tcPr>
            <w:tcW w:w="52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Loan fees</w:t>
            </w:r>
          </w:p>
        </w:tc>
        <w:tc>
          <w:tcPr>
            <w:tcW w:w="180" w:type="dxa"/>
            <w:vAlign w:val="bottom"/>
            <w:shd w:val="clear" w:color="auto" w:fill="CCEEFF"/>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26,343,919</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21,724,456</w:t>
            </w:r>
          </w:p>
        </w:tc>
        <w:tc>
          <w:tcPr>
            <w:tcW w:w="100" w:type="dxa"/>
            <w:vAlign w:val="bottom"/>
            <w:shd w:val="clear" w:color="auto" w:fill="CCEEFF"/>
          </w:tcPr>
          <w:p>
            <w:pPr>
              <w:spacing w:after="0"/>
              <w:rPr>
                <w:sz w:val="16"/>
                <w:szCs w:val="16"/>
                <w:color w:val="auto"/>
              </w:rPr>
            </w:pPr>
          </w:p>
        </w:tc>
        <w:tc>
          <w:tcPr>
            <w:tcW w:w="2240" w:type="dxa"/>
            <w:vAlign w:val="bottom"/>
          </w:tcPr>
          <w:p>
            <w:pPr>
              <w:spacing w:after="0"/>
              <w:rPr>
                <w:sz w:val="16"/>
                <w:szCs w:val="16"/>
                <w:color w:val="auto"/>
              </w:rPr>
            </w:pPr>
          </w:p>
        </w:tc>
      </w:tr>
      <w:tr>
        <w:trPr>
          <w:trHeight w:val="202"/>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8,192,353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9,547,741</w:t>
            </w: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Secondary gains</w:t>
            </w:r>
          </w:p>
        </w:tc>
        <w:tc>
          <w:tcPr>
            <w:tcW w:w="1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70,354,845</w:t>
            </w:r>
          </w:p>
        </w:tc>
        <w:tc>
          <w:tcPr>
            <w:tcW w:w="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68,505,014</w:t>
            </w:r>
          </w:p>
        </w:tc>
        <w:tc>
          <w:tcPr>
            <w:tcW w:w="2240" w:type="dxa"/>
            <w:vAlign w:val="bottom"/>
          </w:tcPr>
          <w:p>
            <w:pPr>
              <w:spacing w:after="0"/>
              <w:rPr>
                <w:sz w:val="17"/>
                <w:szCs w:val="17"/>
                <w:color w:val="auto"/>
              </w:rPr>
            </w:pPr>
          </w:p>
        </w:tc>
      </w:tr>
      <w:tr>
        <w:trPr>
          <w:trHeight w:val="202"/>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loan commitments</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729,948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(1,123,615)</w:t>
            </w:r>
          </w:p>
        </w:tc>
        <w:tc>
          <w:tcPr>
            <w:tcW w:w="2240" w:type="dxa"/>
            <w:vAlign w:val="bottom"/>
          </w:tcPr>
          <w:p>
            <w:pPr>
              <w:spacing w:after="0"/>
              <w:rPr>
                <w:sz w:val="17"/>
                <w:szCs w:val="17"/>
                <w:color w:val="auto"/>
              </w:rPr>
            </w:pPr>
          </w:p>
        </w:tc>
      </w:tr>
      <w:tr>
        <w:trPr>
          <w:trHeight w:val="20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loans held for sale</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2,869,729</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(478,460)</w:t>
            </w:r>
          </w:p>
        </w:tc>
        <w:tc>
          <w:tcPr>
            <w:tcW w:w="2240" w:type="dxa"/>
            <w:vAlign w:val="bottom"/>
          </w:tcPr>
          <w:p>
            <w:pPr>
              <w:spacing w:after="0"/>
              <w:rPr>
                <w:sz w:val="17"/>
                <w:szCs w:val="17"/>
                <w:color w:val="auto"/>
              </w:rPr>
            </w:pPr>
          </w:p>
        </w:tc>
      </w:tr>
      <w:tr>
        <w:trPr>
          <w:trHeight w:val="214"/>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loan loss reserve</w:t>
            </w:r>
          </w:p>
        </w:tc>
        <w:tc>
          <w:tcPr>
            <w:tcW w:w="18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(932,154)</w:t>
            </w: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(27,164)</w:t>
            </w:r>
          </w:p>
        </w:tc>
        <w:tc>
          <w:tcPr>
            <w:tcW w:w="2240" w:type="dxa"/>
            <w:vAlign w:val="bottom"/>
          </w:tcPr>
          <w:p>
            <w:pPr>
              <w:spacing w:after="0"/>
              <w:rPr>
                <w:sz w:val="18"/>
                <w:szCs w:val="18"/>
                <w:color w:val="auto"/>
              </w:rPr>
            </w:pPr>
          </w:p>
        </w:tc>
      </w:tr>
      <w:tr>
        <w:trPr>
          <w:trHeight w:val="207"/>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fee income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107,558,640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98,147,972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81"/>
        </w:trPr>
        <w:tc>
          <w:tcPr>
            <w:tcW w:w="5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7"/>
                <w:szCs w:val="17"/>
                <w:color w:val="auto"/>
              </w:rPr>
              <w:t>69</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 Loss Reserve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loan loss reserve, which is included in other liabilities and accrued expenses,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December 31,</w:t>
            </w: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55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4"/>
        </w:trPr>
        <w:tc>
          <w:tcPr>
            <w:tcW w:w="5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Beginning Balance</w:t>
            </w:r>
          </w:p>
        </w:tc>
        <w:tc>
          <w:tcPr>
            <w:tcW w:w="340" w:type="dxa"/>
            <w:vAlign w:val="bottom"/>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547,233</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1,725,667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current loan originations (1)</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932,154</w:t>
            </w:r>
          </w:p>
        </w:tc>
        <w:tc>
          <w:tcPr>
            <w:tcW w:w="4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27,164</w:t>
            </w:r>
          </w:p>
        </w:tc>
        <w:tc>
          <w:tcPr>
            <w:tcW w:w="80" w:type="dxa"/>
            <w:vAlign w:val="bottom"/>
          </w:tcPr>
          <w:p>
            <w:pPr>
              <w:spacing w:after="0"/>
              <w:rPr>
                <w:sz w:val="17"/>
                <w:szCs w:val="17"/>
                <w:color w:val="auto"/>
              </w:rPr>
            </w:pPr>
          </w:p>
        </w:tc>
      </w:tr>
      <w:tr>
        <w:trPr>
          <w:trHeight w:val="21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Charge-offs, net of recaptured amounts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(782,761)</w:t>
            </w:r>
          </w:p>
        </w:tc>
        <w:tc>
          <w:tcPr>
            <w:tcW w:w="4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(1,205,598)</w:t>
            </w:r>
          </w:p>
        </w:tc>
      </w:t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696,626</w:t>
            </w:r>
          </w:p>
        </w:tc>
        <w:tc>
          <w:tcPr>
            <w:tcW w:w="2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547,233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11" w:lineRule="exact"/>
        <w:rPr>
          <w:sz w:val="20"/>
          <w:szCs w:val="20"/>
          <w:color w:val="auto"/>
        </w:rPr>
      </w:pPr>
    </w:p>
    <w:p>
      <w:pPr>
        <w:ind w:left="320" w:hanging="230"/>
        <w:spacing w:after="0"/>
        <w:tabs>
          <w:tab w:leader="none" w:pos="320" w:val="left"/>
        </w:tabs>
        <w:numPr>
          <w:ilvl w:val="0"/>
          <w:numId w:val="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Included in Mortgage fee income on the consolidated statements of earnings</w:t>
      </w:r>
    </w:p>
    <w:p>
      <w:pPr>
        <w:spacing w:after="0" w:line="2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maintains reserves for estimated losses on current production volumes. For 2024, $932,154 in reserves were added at a rate of 4.1 basis points per loan, the equivalent of $410 per $1,000,000 in loans originated. This is a decrease over 2023, when $27,164 in reserves were added at a rate of 4.3 basis points per loan originated, the equivalent of $430 per $1,000,000 in loans originated. The Company monitors market data and trends, economic conditions (including forecasts) and its own experience to maintain adequate loss reserves on current production.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2"/>
        </w:trPr>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760" w:type="dxa"/>
            <w:vAlign w:val="bottom"/>
            <w:gridSpan w:val="5"/>
          </w:tcPr>
          <w:p>
            <w:pPr>
              <w:jc w:val="center"/>
              <w:ind w:left="236"/>
              <w:spacing w:after="0"/>
              <w:rPr>
                <w:sz w:val="20"/>
                <w:szCs w:val="20"/>
                <w:color w:val="auto"/>
              </w:rPr>
            </w:pPr>
            <w:r>
              <w:rPr>
                <w:rFonts w:ascii="Times New Roman" w:cs="Times New Roman" w:eastAsia="Times New Roman" w:hAnsi="Times New Roman"/>
                <w:sz w:val="17"/>
                <w:szCs w:val="17"/>
                <w:color w:val="auto"/>
                <w:w w:val="97"/>
              </w:rPr>
              <w:t>SECURITY NATIONAL FINANCIAL CORPORATION</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300" w:type="dxa"/>
            <w:vAlign w:val="bottom"/>
            <w:gridSpan w:val="4"/>
          </w:tcPr>
          <w:p>
            <w:pPr>
              <w:jc w:val="center"/>
              <w:ind w:left="716"/>
              <w:spacing w:after="0"/>
              <w:rPr>
                <w:sz w:val="20"/>
                <w:szCs w:val="20"/>
                <w:color w:val="auto"/>
              </w:rPr>
            </w:pPr>
            <w:r>
              <w:rPr>
                <w:rFonts w:ascii="Times New Roman" w:cs="Times New Roman" w:eastAsia="Times New Roman" w:hAnsi="Times New Roman"/>
                <w:sz w:val="17"/>
                <w:szCs w:val="17"/>
                <w:color w:val="auto"/>
                <w:w w:val="98"/>
              </w:rPr>
              <w:t>AND SUBSIDIARIES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300" w:type="dxa"/>
            <w:vAlign w:val="bottom"/>
            <w:gridSpan w:val="4"/>
          </w:tcPr>
          <w:p>
            <w:pPr>
              <w:jc w:val="center"/>
              <w:ind w:left="716"/>
              <w:spacing w:after="0"/>
              <w:rPr>
                <w:sz w:val="20"/>
                <w:szCs w:val="20"/>
                <w:color w:val="auto"/>
              </w:rPr>
            </w:pPr>
            <w:r>
              <w:rPr>
                <w:rFonts w:ascii="Times New Roman" w:cs="Times New Roman" w:eastAsia="Times New Roman" w:hAnsi="Times New Roman"/>
                <w:sz w:val="17"/>
                <w:szCs w:val="17"/>
                <w:color w:val="auto"/>
                <w:w w:val="98"/>
              </w:rPr>
              <w:t>Notes to Consolidated Financial Statements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300" w:type="dxa"/>
            <w:vAlign w:val="bottom"/>
            <w:gridSpan w:val="4"/>
          </w:tcPr>
          <w:p>
            <w:pPr>
              <w:jc w:val="center"/>
              <w:ind w:left="696"/>
              <w:spacing w:after="0"/>
              <w:rPr>
                <w:sz w:val="20"/>
                <w:szCs w:val="20"/>
                <w:color w:val="auto"/>
              </w:rPr>
            </w:pPr>
            <w:r>
              <w:rPr>
                <w:rFonts w:ascii="Times New Roman" w:cs="Times New Roman" w:eastAsia="Times New Roman" w:hAnsi="Times New Roman"/>
                <w:sz w:val="17"/>
                <w:szCs w:val="17"/>
                <w:color w:val="auto"/>
                <w:w w:val="98"/>
              </w:rPr>
              <w:t>Years Ended December 31, 2024 and 2023</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6"/>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 Receivables</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Receivables consist of the following:</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4"/>
        </w:trPr>
        <w:tc>
          <w:tcPr>
            <w:tcW w:w="308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Contracts with customers</w:t>
            </w:r>
          </w:p>
        </w:tc>
        <w:tc>
          <w:tcPr>
            <w:tcW w:w="2500" w:type="dxa"/>
            <w:vAlign w:val="bottom"/>
            <w:shd w:val="clear" w:color="auto" w:fill="CCEEFF"/>
          </w:tcPr>
          <w:p>
            <w:pPr>
              <w:spacing w:after="0"/>
              <w:rPr>
                <w:sz w:val="16"/>
                <w:szCs w:val="16"/>
                <w:color w:val="auto"/>
              </w:rPr>
            </w:pPr>
          </w:p>
        </w:tc>
        <w:tc>
          <w:tcPr>
            <w:tcW w:w="340" w:type="dxa"/>
            <w:vAlign w:val="bottom"/>
            <w:shd w:val="clear" w:color="auto" w:fill="CCEEFF"/>
          </w:tcPr>
          <w:p>
            <w:pPr>
              <w:jc w:val="center"/>
              <w:ind w:right="156"/>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7,095,589</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6,321,573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2"/>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Receivables from sales agents</w:t>
            </w:r>
          </w:p>
        </w:tc>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4,028,881</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6,412,804</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7,658,789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4"/>
        </w:trPr>
        <w:tc>
          <w:tcPr>
            <w:tcW w:w="308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auto"/>
              </w:rPr>
              <w:t>Total receivables</w:t>
            </w:r>
          </w:p>
        </w:tc>
        <w:tc>
          <w:tcPr>
            <w:tcW w:w="25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17,537,274</w:t>
            </w:r>
          </w:p>
        </w:tc>
        <w:tc>
          <w:tcPr>
            <w:tcW w:w="2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17,233,202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(1,678,531)</w:t>
            </w:r>
          </w:p>
        </w:tc>
        <w:tc>
          <w:tcPr>
            <w:tcW w:w="4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(1,897,887)</w:t>
            </w:r>
          </w:p>
        </w:tc>
      </w:tr>
      <w:tr>
        <w:trPr>
          <w:trHeight w:val="207"/>
        </w:trPr>
        <w:tc>
          <w:tcPr>
            <w:tcW w:w="3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receivables</w:t>
            </w:r>
          </w:p>
        </w:tc>
        <w:tc>
          <w:tcPr>
            <w:tcW w:w="25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15,858,743</w:t>
            </w:r>
          </w:p>
        </w:tc>
        <w:tc>
          <w:tcPr>
            <w:tcW w:w="2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15,335,315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records an allowance for credit losses for its receivables in accordance with GAAP. See Note 1 regarding the adoption of ASU 2016-13.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a roll forward of the allowance for credit losses: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 - January 1, 2024</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1,897,887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provision for credit losses (1)</w:t>
            </w:r>
          </w:p>
        </w:tc>
        <w:tc>
          <w:tcPr>
            <w:tcW w:w="24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(140,277)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Charge-offs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(79,079)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Ending balance - December 31, 2024</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1,678,531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Beginning balance - January 1, 2023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provision for credit losses (1)</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(110,935)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Charge-offs</w:t>
            </w:r>
          </w:p>
        </w:tc>
        <w:tc>
          <w:tcPr>
            <w:tcW w:w="2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(220,969)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 - December 31, 2023</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1,897,887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 Included in other expenses on the consolidated statements of earnings</w:t>
      </w:r>
    </w:p>
    <w:p>
      <w:pPr>
        <w:spacing w:after="0" w:line="3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40"/>
          </w:cols>
          <w:pgMar w:left="320" w:top="653" w:right="14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jc w:val="both"/>
        <w:ind w:right="6560" w:firstLine="1"/>
        <w:spacing w:after="0" w:line="534" w:lineRule="auto"/>
        <w:tabs>
          <w:tab w:leader="none" w:pos="18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Value of Business Acquired, Goodwill and Other Intangible Assets </w:t>
      </w:r>
      <w:r>
        <w:rPr>
          <w:rFonts w:ascii="Times New Roman" w:cs="Times New Roman" w:eastAsia="Times New Roman" w:hAnsi="Times New Roman"/>
          <w:sz w:val="16"/>
          <w:szCs w:val="16"/>
          <w:color w:val="auto"/>
        </w:rPr>
        <w:t>Information regarding the value of business acquired was as follows:</w:t>
      </w:r>
    </w:p>
    <w:p>
      <w:pPr>
        <w:spacing w:after="0" w:line="1" w:lineRule="exact"/>
        <w:rPr>
          <w:sz w:val="20"/>
          <w:szCs w:val="20"/>
          <w:color w:val="auto"/>
        </w:rPr>
      </w:pPr>
    </w:p>
    <w:p>
      <w:pPr>
        <w:jc w:val="right"/>
        <w:ind w:right="3600"/>
        <w:spacing w:after="0"/>
        <w:rPr>
          <w:sz w:val="20"/>
          <w:szCs w:val="20"/>
          <w:color w:val="auto"/>
        </w:rPr>
      </w:pPr>
      <w:r>
        <w:rPr>
          <w:rFonts w:ascii="Times New Roman" w:cs="Times New Roman" w:eastAsia="Times New Roman" w:hAnsi="Times New Roman"/>
          <w:sz w:val="17"/>
          <w:szCs w:val="17"/>
          <w:color w:val="auto"/>
        </w:rPr>
        <w:t>December 31,</w:t>
      </w:r>
    </w:p>
    <w:p>
      <w:pPr>
        <w:sectPr>
          <w:pgSz w:w="11900" w:h="16838" w:orient="portrait"/>
          <w:cols w:equalWidth="0" w:num="1">
            <w:col w:w="11240"/>
          </w:cols>
          <w:pgMar w:left="320" w:top="653" w:right="33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beginning of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business acquired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Imputed interest at 7% included in earnings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included in earnings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Shadow amortization included in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comprehensive income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320" w:type="dxa"/>
            <w:vAlign w:val="bottom"/>
            <w:tcBorders>
              <w:bottom w:val="single" w:sz="8" w:color="auto"/>
            </w:tcBorders>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8,467,613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9,803,736</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94"/>
        </w:trPr>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6"/>
                <w:szCs w:val="16"/>
                <w:color w:val="auto"/>
              </w:rPr>
            </w:pPr>
          </w:p>
        </w:tc>
      </w:tr>
      <w:tr>
        <w:trPr>
          <w:trHeight w:val="178"/>
        </w:trPr>
        <w:tc>
          <w:tcPr>
            <w:tcW w:w="320" w:type="dxa"/>
            <w:vAlign w:val="bottom"/>
          </w:tcPr>
          <w:p>
            <w:pPr>
              <w:spacing w:after="0"/>
              <w:rPr>
                <w:sz w:val="15"/>
                <w:szCs w:val="15"/>
                <w:color w:val="auto"/>
              </w:rPr>
            </w:pPr>
          </w:p>
        </w:tc>
        <w:tc>
          <w:tcPr>
            <w:tcW w:w="140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7"/>
                <w:szCs w:val="17"/>
                <w:color w:val="auto"/>
              </w:rPr>
              <w:t>558,569(1)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7"/>
                <w:szCs w:val="17"/>
                <w:color w:val="auto"/>
              </w:rPr>
              <w:t>626,666(1)</w:t>
            </w:r>
          </w:p>
        </w:tc>
      </w:tr>
      <w:tr>
        <w:trPr>
          <w:trHeight w:val="202"/>
        </w:trPr>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(1,466,527(1)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(1,926,668(1)</w:t>
            </w:r>
          </w:p>
        </w:tc>
      </w:tr>
      <w:tr>
        <w:trPr>
          <w:trHeight w:val="416"/>
        </w:trPr>
        <w:tc>
          <w:tcPr>
            <w:tcW w:w="3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(68,055)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(36,121)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-927735</wp:posOffset>
            </wp:positionV>
            <wp:extent cx="5708015" cy="135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8015" cy="135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-655320</wp:posOffset>
            </wp:positionV>
            <wp:extent cx="5708015" cy="135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8015" cy="13589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-263525</wp:posOffset>
            </wp:positionV>
            <wp:extent cx="5708015" cy="264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8015" cy="264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40" w:space="720"/>
            <w:col w:w="5680"/>
          </w:cols>
          <w:pgMar w:left="320" w:top="653"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Net amortization</w:t>
            </w: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(976,013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(1,336,123</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r>
      <w:tr>
        <w:trPr>
          <w:trHeight w:val="207"/>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7,491,600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8,467,613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 Included in Amortization of deferred policy and pre-need acquisition costs and value of business acquired on the consolidated statements of earnings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Presuming no additional acquisitions, net amortization charged to income is expected to approximate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867,499</w:t>
            </w: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827,016</w:t>
            </w:r>
          </w:p>
        </w:tc>
      </w:tr>
      <w:tr>
        <w:trPr>
          <w:trHeight w:val="20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774,850</w:t>
            </w: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713,969</w:t>
            </w:r>
          </w:p>
        </w:tc>
      </w:tr>
      <w:tr>
        <w:trPr>
          <w:trHeight w:val="20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647,332</w:t>
            </w:r>
          </w:p>
        </w:tc>
      </w:tr>
      <w:tr>
        <w:trPr>
          <w:trHeight w:val="214"/>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3,660,934</w:t>
            </w:r>
          </w:p>
        </w:tc>
        <w:tc>
          <w:tcPr>
            <w:tcW w:w="40" w:type="dxa"/>
            <w:vAlign w:val="bottom"/>
            <w:tcBorders>
              <w:bottom w:val="single" w:sz="8" w:color="CCEEFF"/>
            </w:tcBorders>
          </w:tcPr>
          <w:p>
            <w:pPr>
              <w:spacing w:after="0"/>
              <w:rPr>
                <w:sz w:val="18"/>
                <w:szCs w:val="18"/>
                <w:color w:val="auto"/>
              </w:rPr>
            </w:pPr>
          </w:p>
        </w:tc>
      </w:tr>
      <w:tr>
        <w:trPr>
          <w:trHeight w:val="207"/>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7,491,600</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Actual amortization may vary based on changes in assumptions or experience. As of December 31, 2024, value of business acquired is being amortized over a weighted average life of 6.1 years.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77" w:name="page78"/>
    <w:bookmarkEnd w:id="77"/>
    <w:p>
      <w:pPr>
        <w:jc w:val="center"/>
        <w:ind w:right="-1059"/>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right="4640" w:firstLine="1"/>
        <w:spacing w:after="0" w:line="495" w:lineRule="auto"/>
        <w:tabs>
          <w:tab w:leader="none" w:pos="18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Value of Business Acquired, Goodwill and Other Intangible Assets</w:t>
      </w:r>
      <w:r>
        <w:rPr>
          <w:rFonts w:ascii="Times New Roman" w:cs="Times New Roman" w:eastAsia="Times New Roman" w:hAnsi="Times New Roman"/>
          <w:sz w:val="17"/>
          <w:szCs w:val="17"/>
          <w:color w:val="auto"/>
        </w:rPr>
        <w:t xml:space="preserve"> (Continued) Information regarding goodwill by segment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8"/>
              </w:rPr>
              <w:t>Cemetery/</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Life Insurance</w:t>
            </w:r>
          </w:p>
        </w:tc>
        <w:tc>
          <w:tcPr>
            <w:tcW w:w="260" w:type="dxa"/>
            <w:vAlign w:val="bottom"/>
          </w:tcPr>
          <w:p>
            <w:pPr>
              <w:spacing w:after="0"/>
              <w:rPr>
                <w:sz w:val="18"/>
                <w:szCs w:val="1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6"/>
              </w:rPr>
              <w:t>Mortuary</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 2023:</w:t>
            </w:r>
          </w:p>
        </w:tc>
        <w:tc>
          <w:tcPr>
            <w:tcW w:w="8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02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2,765,570</w:t>
            </w:r>
          </w:p>
        </w:tc>
        <w:tc>
          <w:tcPr>
            <w:tcW w:w="26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2,488,213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5,253,783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impairment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goodwill, net</w:t>
            </w:r>
          </w:p>
        </w:tc>
        <w:tc>
          <w:tcPr>
            <w:tcW w:w="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2,765,570</w:t>
            </w: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2,488,213</w:t>
            </w: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5,253,783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Acquisition</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9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2,765,570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2,488,213</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5,253,783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Accumulated impairment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40" w:type="dxa"/>
            <w:vAlign w:val="bottom"/>
            <w:tcBorders>
              <w:top w:val="single" w:sz="8" w:color="CCEEFF"/>
            </w:tcBorders>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Total goodwill, net</w:t>
            </w:r>
          </w:p>
        </w:tc>
        <w:tc>
          <w:tcPr>
            <w:tcW w:w="8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2,765,570</w:t>
            </w: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2,488,213</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5,253,783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2,765,570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2,488,213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5,253,783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impairment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goodwill, net</w:t>
            </w:r>
          </w:p>
        </w:tc>
        <w:tc>
          <w:tcPr>
            <w:tcW w:w="8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2,765,570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2,488,213</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5,253,783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is not amortized but is tested annually for impairment. The annual impairment tests resulted in no impairment of goodwill for 2024 and 2023.</w:t>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80"/>
          </w:cols>
          <w:pgMar w:left="320" w:top="653" w:right="139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Value of Business Acquired, Goodwill and Other Intangible Assets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value of the Company’s other intangible assets were as follows, which are included in other assets on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auto"/>
              </w:rPr>
              <w:t>December 31,</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Useful Life</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424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Intangible asset - trade name (1)</w:t>
            </w:r>
          </w:p>
        </w:tc>
        <w:tc>
          <w:tcPr>
            <w:tcW w:w="18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15 years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2,100,000</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2,100,000</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Intangible assets - other (1)</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 years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210,000</w:t>
            </w:r>
          </w:p>
        </w:tc>
        <w:tc>
          <w:tcPr>
            <w:tcW w:w="5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210,000</w:t>
            </w:r>
          </w:p>
        </w:tc>
      </w:tr>
      <w:tr>
        <w:trPr>
          <w:trHeight w:val="202"/>
        </w:trPr>
        <w:tc>
          <w:tcPr>
            <w:tcW w:w="20" w:type="dxa"/>
            <w:vAlign w:val="bottom"/>
          </w:tcPr>
          <w:p>
            <w:pPr>
              <w:spacing w:after="0"/>
              <w:rPr>
                <w:sz w:val="17"/>
                <w:szCs w:val="17"/>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 - trade name (2)</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 years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610,000</w:t>
            </w:r>
          </w:p>
        </w:tc>
        <w:tc>
          <w:tcPr>
            <w:tcW w:w="5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610,000</w:t>
            </w:r>
          </w:p>
        </w:tc>
      </w:tr>
      <w:tr>
        <w:trPr>
          <w:trHeight w:val="202"/>
        </w:trPr>
        <w:tc>
          <w:tcPr>
            <w:tcW w:w="20" w:type="dxa"/>
            <w:vAlign w:val="bottom"/>
          </w:tcPr>
          <w:p>
            <w:pPr>
              <w:spacing w:after="0"/>
              <w:rPr>
                <w:sz w:val="17"/>
                <w:szCs w:val="17"/>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Intangible asset - customer lists (2)</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 years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2,290,000</w:t>
            </w:r>
          </w:p>
        </w:tc>
        <w:tc>
          <w:tcPr>
            <w:tcW w:w="50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890,000</w:t>
            </w:r>
          </w:p>
        </w:tc>
      </w:tr>
      <w:tr>
        <w:trPr>
          <w:trHeight w:val="214"/>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(1,131,333)</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(807,333)</w:t>
            </w:r>
          </w:p>
        </w:tc>
      </w:tr>
      <w:tr>
        <w:trPr>
          <w:trHeight w:val="207"/>
        </w:trPr>
        <w:tc>
          <w:tcPr>
            <w:tcW w:w="20" w:type="dxa"/>
            <w:vAlign w:val="bottom"/>
          </w:tcPr>
          <w:p>
            <w:pPr>
              <w:spacing w:after="0"/>
              <w:rPr>
                <w:sz w:val="17"/>
                <w:szCs w:val="17"/>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4,078,667</w:t>
            </w:r>
          </w:p>
        </w:tc>
        <w:tc>
          <w:tcPr>
            <w:tcW w:w="3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3,002,667</w:t>
            </w:r>
          </w:p>
        </w:tc>
        <w:tc>
          <w:tcPr>
            <w:tcW w:w="100" w:type="dxa"/>
            <w:vAlign w:val="bottom"/>
          </w:tcPr>
          <w:p>
            <w:pPr>
              <w:spacing w:after="0"/>
              <w:rPr>
                <w:sz w:val="17"/>
                <w:szCs w:val="17"/>
                <w:color w:val="auto"/>
              </w:rPr>
            </w:pPr>
          </w:p>
        </w:tc>
      </w:tr>
      <w:tr>
        <w:trPr>
          <w:trHeight w:val="20"/>
        </w:trPr>
        <w:tc>
          <w:tcPr>
            <w:tcW w:w="3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300" w:type="dxa"/>
            <w:vAlign w:val="bottom"/>
            <w:gridSpan w:val="2"/>
          </w:tcPr>
          <w:p>
            <w:pPr>
              <w:spacing w:after="0"/>
              <w:rPr>
                <w:sz w:val="15"/>
                <w:szCs w:val="15"/>
                <w:color w:val="auto"/>
              </w:rPr>
            </w:pPr>
          </w:p>
        </w:tc>
        <w:tc>
          <w:tcPr>
            <w:tcW w:w="3960" w:type="dxa"/>
            <w:vAlign w:val="bottom"/>
            <w:gridSpan w:val="2"/>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Cemetery/Mortuary Segment</w:t>
            </w:r>
          </w:p>
        </w:tc>
        <w:tc>
          <w:tcPr>
            <w:tcW w:w="1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9"/>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Life Insurance Segment</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for 2024 and 2023 was $324,000 and $254,000, respectively, and is amortized over the estimated useful life using the straight-line method.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is included in other expenses on the consolidated statements of earnings.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estimate of future amortization for the other intangible assets: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347,333</w:t>
            </w: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347,333</w:t>
            </w:r>
          </w:p>
        </w:tc>
      </w:tr>
      <w:tr>
        <w:trPr>
          <w:trHeight w:val="20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347,333</w:t>
            </w: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347,333</w:t>
            </w:r>
          </w:p>
        </w:tc>
      </w:tr>
      <w:tr>
        <w:trPr>
          <w:trHeight w:val="20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347,333</w:t>
            </w:r>
          </w:p>
        </w:tc>
      </w:tr>
      <w:tr>
        <w:trPr>
          <w:trHeight w:val="214"/>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2,342,002</w:t>
            </w:r>
          </w:p>
        </w:tc>
        <w:tc>
          <w:tcPr>
            <w:tcW w:w="40" w:type="dxa"/>
            <w:vAlign w:val="bottom"/>
            <w:tcBorders>
              <w:bottom w:val="single" w:sz="8" w:color="CCEEFF"/>
            </w:tcBorders>
          </w:tcPr>
          <w:p>
            <w:pPr>
              <w:spacing w:after="0"/>
              <w:rPr>
                <w:sz w:val="18"/>
                <w:szCs w:val="18"/>
                <w:color w:val="auto"/>
              </w:rPr>
            </w:pPr>
          </w:p>
        </w:tc>
      </w:tr>
      <w:tr>
        <w:trPr>
          <w:trHeight w:val="207"/>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4,078,667</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2"/>
        </w:trPr>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7"/>
              </w:rPr>
              <w:t>SECURITY NATIONAL FINANCIAL CORPORATION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80" w:type="dxa"/>
            <w:vAlign w:val="bottom"/>
            <w:gridSpan w:val="4"/>
          </w:tcPr>
          <w:p>
            <w:pPr>
              <w:jc w:val="center"/>
              <w:ind w:left="396"/>
              <w:spacing w:after="0"/>
              <w:rPr>
                <w:sz w:val="20"/>
                <w:szCs w:val="20"/>
                <w:color w:val="auto"/>
              </w:rPr>
            </w:pPr>
            <w:r>
              <w:rPr>
                <w:rFonts w:ascii="Times New Roman" w:cs="Times New Roman" w:eastAsia="Times New Roman" w:hAnsi="Times New Roman"/>
                <w:sz w:val="17"/>
                <w:szCs w:val="17"/>
                <w:color w:val="auto"/>
                <w:w w:val="98"/>
              </w:rPr>
              <w:t>AND SUBSIDIARIES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80" w:type="dxa"/>
            <w:vAlign w:val="bottom"/>
            <w:gridSpan w:val="4"/>
          </w:tcPr>
          <w:p>
            <w:pPr>
              <w:jc w:val="center"/>
              <w:ind w:left="396"/>
              <w:spacing w:after="0"/>
              <w:rPr>
                <w:sz w:val="20"/>
                <w:szCs w:val="20"/>
                <w:color w:val="auto"/>
              </w:rPr>
            </w:pPr>
            <w:r>
              <w:rPr>
                <w:rFonts w:ascii="Times New Roman" w:cs="Times New Roman" w:eastAsia="Times New Roman" w:hAnsi="Times New Roman"/>
                <w:sz w:val="17"/>
                <w:szCs w:val="17"/>
                <w:color w:val="auto"/>
                <w:w w:val="98"/>
              </w:rPr>
              <w:t>Notes to Consolidated Financial Statements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80" w:type="dxa"/>
            <w:vAlign w:val="bottom"/>
            <w:gridSpan w:val="4"/>
          </w:tcPr>
          <w:p>
            <w:pPr>
              <w:jc w:val="center"/>
              <w:ind w:left="376"/>
              <w:spacing w:after="0"/>
              <w:rPr>
                <w:sz w:val="20"/>
                <w:szCs w:val="20"/>
                <w:color w:val="auto"/>
              </w:rPr>
            </w:pPr>
            <w:r>
              <w:rPr>
                <w:rFonts w:ascii="Times New Roman" w:cs="Times New Roman" w:eastAsia="Times New Roman" w:hAnsi="Times New Roman"/>
                <w:sz w:val="17"/>
                <w:szCs w:val="17"/>
                <w:color w:val="auto"/>
                <w:w w:val="98"/>
              </w:rPr>
              <w:t>Years Ended December 31, 2024 and 2023</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6"/>
        </w:trPr>
        <w:tc>
          <w:tcPr>
            <w:tcW w:w="3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6) Property and Equipment</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3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and equipment is summarized below:</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1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34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Land and buildings</w:t>
            </w:r>
          </w:p>
        </w:tc>
        <w:tc>
          <w:tcPr>
            <w:tcW w:w="2180" w:type="dxa"/>
            <w:vAlign w:val="bottom"/>
            <w:shd w:val="clear" w:color="auto" w:fill="CCEEFF"/>
          </w:tcPr>
          <w:p>
            <w:pPr>
              <w:spacing w:after="0"/>
              <w:rPr>
                <w:sz w:val="16"/>
                <w:szCs w:val="16"/>
                <w:color w:val="auto"/>
              </w:rPr>
            </w:pPr>
          </w:p>
        </w:tc>
        <w:tc>
          <w:tcPr>
            <w:tcW w:w="340" w:type="dxa"/>
            <w:vAlign w:val="bottom"/>
            <w:shd w:val="clear" w:color="auto" w:fill="CCEEFF"/>
          </w:tcPr>
          <w:p>
            <w:pPr>
              <w:jc w:val="center"/>
              <w:ind w:right="156"/>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17,194,972</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16,567,819</w:t>
            </w:r>
          </w:p>
        </w:tc>
        <w:tc>
          <w:tcPr>
            <w:tcW w:w="100" w:type="dxa"/>
            <w:vAlign w:val="bottom"/>
            <w:shd w:val="clear" w:color="auto" w:fill="CCEEFF"/>
          </w:tcPr>
          <w:p>
            <w:pPr>
              <w:spacing w:after="0"/>
              <w:rPr>
                <w:sz w:val="16"/>
                <w:szCs w:val="16"/>
                <w:color w:val="auto"/>
              </w:rPr>
            </w:pPr>
          </w:p>
        </w:tc>
      </w:tr>
      <w:tr>
        <w:trPr>
          <w:trHeight w:val="214"/>
        </w:trPr>
        <w:tc>
          <w:tcPr>
            <w:tcW w:w="3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Furniture and equipment</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15,998,717</w:t>
            </w: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16,315,061</w:t>
            </w:r>
          </w:p>
        </w:tc>
      </w:tr>
      <w:tr>
        <w:trPr>
          <w:trHeight w:val="194"/>
        </w:trPr>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33,193,689</w:t>
            </w: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32,882,880</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3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(14,146,001)</w:t>
            </w:r>
          </w:p>
        </w:tc>
        <w:tc>
          <w:tcPr>
            <w:tcW w:w="4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(13,707,781)</w:t>
            </w:r>
          </w:p>
        </w:tc>
      </w:tr>
      <w:tr>
        <w:trPr>
          <w:trHeight w:val="207"/>
        </w:trPr>
        <w:tc>
          <w:tcPr>
            <w:tcW w:w="3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19,047,688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19,175,099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Depreciation expense for 2024 and 2023 was $2,383,621 and $2,351,661, respectively. Property and equipment are stated at cost and are depreciated over their estimated useful lives, primarily using the straight-line method. The Company recognized an impairment loss of $122,229 in 2023 on a property held by the life segment. This property was sold in 2024. Impairment losses are included in gains (losses) on the consolidated statements of earnings.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7) Bank and Other Loans Payable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Bank and other loans payable are summarized as follows: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7"/>
                <w:szCs w:val="17"/>
                <w:color w:val="auto"/>
              </w:rPr>
              <w:t>December 31,</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20" w:type="dxa"/>
            <w:vAlign w:val="bottom"/>
            <w:gridSpan w:val="3"/>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3.85% fixed note payable in monthly installments of $243,781 including principal and interest,</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collateralized by real property with a book value of approximately $60,420,000, due June 2032.</w:t>
            </w:r>
          </w:p>
        </w:tc>
        <w:tc>
          <w:tcPr>
            <w:tcW w:w="6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49,174,545</w:t>
            </w:r>
          </w:p>
        </w:tc>
        <w:tc>
          <w:tcPr>
            <w:tcW w:w="68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50,129,255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72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3.30% fixed note payable in monthly installments of $179,562 including principal and interest,</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collateralized by real property with a book value of approximately $42,230,000, due April 2031.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37,632,943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38,478,359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72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4.7865% fixed interest only note payable in monthly installments, collateralized by real property</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 a book value of approximately $16,240,000, due June 2028.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72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1 month SOFR rate plus 2% loan purchase agreement with a warehouse line availability of</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$100,000,000, expired November 2024 and is no longer needed by the Company.</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114,518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72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1 month SOFR rate plus 2.0% loan purchase agreement with a warehouse line availability of</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$25,000,000, matures August 2025.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2,668,519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72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1 month SOFR rate plus 2.1% loan purchase agreement with a warehouse line availability of</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$15,000,000, matures June 2025.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7,918,930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liabilities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145,167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3"/>
            <w:shd w:val="clear" w:color="auto" w:fill="CCEEFF"/>
          </w:tcPr>
          <w:p>
            <w:pPr>
              <w:jc w:val="right"/>
              <w:ind w:right="4800"/>
              <w:spacing w:after="0"/>
              <w:rPr>
                <w:sz w:val="20"/>
                <w:szCs w:val="20"/>
                <w:color w:val="auto"/>
              </w:rPr>
            </w:pPr>
            <w:r>
              <w:rPr>
                <w:rFonts w:ascii="Times New Roman" w:cs="Times New Roman" w:eastAsia="Times New Roman" w:hAnsi="Times New Roman"/>
                <w:sz w:val="17"/>
                <w:szCs w:val="17"/>
                <w:color w:val="auto"/>
              </w:rPr>
              <w:t>Total bank and other loans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106,740,104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105,555,137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installments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(12,559,420)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(9,543,052)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Bank and other loans, excluding current installments</w:t>
            </w:r>
          </w:p>
        </w:tc>
        <w:tc>
          <w:tcPr>
            <w:tcW w:w="2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94,180,684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96,012,085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gridSpan w:val="3"/>
            <w:vMerge w:val="restart"/>
          </w:tcPr>
          <w:p>
            <w:pPr>
              <w:jc w:val="right"/>
              <w:ind w:right="1040"/>
              <w:spacing w:after="0"/>
              <w:rPr>
                <w:sz w:val="20"/>
                <w:szCs w:val="20"/>
                <w:color w:val="auto"/>
              </w:rPr>
            </w:pPr>
            <w:r>
              <w:rPr>
                <w:rFonts w:ascii="Times New Roman" w:cs="Times New Roman" w:eastAsia="Times New Roman" w:hAnsi="Times New Roman"/>
                <w:sz w:val="17"/>
                <w:szCs w:val="17"/>
                <w:color w:val="auto"/>
              </w:rPr>
              <w:t>75</w:t>
            </w: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vMerge w:val="continue"/>
          </w:tcPr>
          <w:p>
            <w:pPr>
              <w:spacing w:after="0"/>
              <w:rPr>
                <w:sz w:val="24"/>
                <w:szCs w:val="24"/>
                <w:color w:val="auto"/>
              </w:rPr>
            </w:pPr>
          </w:p>
        </w:tc>
        <w:tc>
          <w:tcPr>
            <w:tcW w:w="672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and Other Loans Payable</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Federal Home Loan Bank Membership</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Home Loan Bank of Des Moines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of December 31, 2024, the amount available for borrowings from the FHLB of Des Moines was approximately $41,235,894, compared with $77,324,238 as of December 31, 2023. United States Treasury fixed maturity securities with an estimated fair value of $54,487,812 as of December 31, 2024 have been pledged at the FHLB of Des Moines as collateral for current and potential borrowings compared with $88,400,026 at December 31, 2023. As of December 31, 2024 and 2023, the Company had no outstanding FHLB borrowings. As of December 31, 2024, the Company’s total investment in FHLB stock was $479,100 compared with $453,600 as of December 31, 2023. As of December 31, 2024, the Company was contingently liable under standby letters of credit aggregating $9,670,307. These letters of credit are to be used to cover any contingency related to additional risk assessments pertaining to the Company’s captive insurance program for $443,758 and for bonding of residential land development for $9,226,549.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Home Loan Bank of Dallas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December 31, 2024, the amount available for borrowings from the FHLB of Dallas was approximately $8,342,442, compared with $5,104,610 as of December 31, 2023. Mortgage-Backed fixed maturity securities with an estimated fair value of $9,312,642 as of December 31, 2024 have been pledged at the FHLB of Dallas as collateral for current and potential borrowings compared with $5,503,063 at December 31, 2023. As of December 31, 2024 and 2023, the Company had no outstanding FHLB borrowings. As of December 31, 2024, the Company’s total investment in FHLB stock was $1,925,800 compared with $1,826,200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Revolving Lines of Credit</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a $5,000,000 revolving line-of-credit with a bank with interest payable at the Prime rate plus 0.75% with a 3% prime floor, secured by the capital stock of Security National Life and maturing May 15, 2025, renewable annually. As of December 31, 2024, the Company was contingently liable under standby letters of credit aggregating $622,293, to be used as collateral for residential subdivision land development and $1,250,000, to be used as collateral for SecurityNational Mortgage’s state licensing. The standby letters of credit will draw on the line of credit if necessary. The Company does not expect any material losses to result from the issuance of the standby letters of credit. As of December 31, 2024, there were no amounts outstanding under the revolving line-of-credit.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Debt Covenants for Mortgage Warehouse Lines of Credit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through its subsidiary SecurityNational Mortgage, has two lines of credit for the purpose of funding mortgage loans.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agreement with U.S. Bank allows SecurityNational Mortgage to borrow up to $15,000,000. The agreement charges interest at 2.10% plus the greater of (i) 0%, and (ii) the one-month forward-looking term rate based on SOFR and matures on June 20, 2025.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and Other Loans Payable</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agreement with Western Alliance Bank allows SecurityNational Mortgage to borrow up to $25,000,000. The agreement charges interest at the 1-Month SOFR rate plus 2.0% and matures on August 27, 2025. The Company is required to comply with covenants for adjusted tangible net worth, unrestricted cash balance, and minimum combined pre-tax income of at least $1.00 on a quarterly basis.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agreements for both warehouse lines of credit include cross default provisions where certain events of default under other of SecurityNational Mortgage’s obligations constitute events of default under the warehouse lines of credit. As of December 31, 2024, SecurityNational Mortgage was not in compliance with the net income covenants under its warehouse lines of credit and its operating cash flow covenant for its standby letter of credit with its primary bank. SecurityNational Mortgage has received or is in the process of receiving waivers from the warehouse banks. In the unlikely event SecurityNational Mortgage is required to repay the outstanding advances of approximately $10,587,449 on the warehouse line of credit that has not provided a covenant waiver, SecurityNational Mortgage has sufficient cash and borrowing capacity on the warehouse lines of credit that have provided covenant waivers to fund its origination activities. The Company has done an internal analysis of the funding capacities of both internal and external sources and has determined that there are sufficient funds to continue its business model. The Company continues to negotiate other warehouse lines of credit with other lenders. The Company has performed an internal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Debt Covenants for Revolving Lines of Credit and Bank Loans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also has debt covenants on its revolving lines of credit and is required to comply with minimum operating cash flow ratios and minimum net worth for each of its business segments. The Company also has debt covenants for one of its loans on real estate for a minimum consolidated operating cash flow ratio, minimum liquidity, and consolidated net worth. In addition to these financial debt covenants, the Company is required to provide segment specific financial statements and building specific financial statements on all bank loans. As of December 31, 2024, the Company was in compliance with all these debt covenants.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tabulation shows the combined maturities of bank and other loans payable: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12,559,420</w:t>
            </w:r>
          </w:p>
        </w:tc>
      </w:t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2,013,541</w:t>
            </w:r>
          </w:p>
        </w:tc>
        <w:tc>
          <w:tcPr>
            <w:tcW w:w="40" w:type="dxa"/>
            <w:vAlign w:val="bottom"/>
          </w:tcPr>
          <w:p>
            <w:pPr>
              <w:spacing w:after="0"/>
              <w:rPr>
                <w:sz w:val="17"/>
                <w:szCs w:val="17"/>
                <w:color w:val="auto"/>
              </w:rPr>
            </w:pPr>
          </w:p>
        </w:tc>
      </w:tr>
      <w:tr>
        <w:trPr>
          <w:trHeight w:val="202"/>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2,026,749</w:t>
            </w:r>
          </w:p>
        </w:tc>
        <w:tc>
          <w:tcPr>
            <w:tcW w:w="40" w:type="dxa"/>
            <w:vAlign w:val="bottom"/>
            <w:shd w:val="clear" w:color="auto" w:fill="CCEEFF"/>
          </w:tcPr>
          <w:p>
            <w:pPr>
              <w:spacing w:after="0"/>
              <w:rPr>
                <w:sz w:val="17"/>
                <w:szCs w:val="17"/>
                <w:color w:val="auto"/>
              </w:rPr>
            </w:pPr>
          </w:p>
        </w:tc>
      </w:tr>
      <w:tr>
        <w:trPr>
          <w:trHeight w:val="202"/>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2,096,945</w:t>
            </w:r>
          </w:p>
        </w:tc>
        <w:tc>
          <w:tcPr>
            <w:tcW w:w="40" w:type="dxa"/>
            <w:vAlign w:val="bottom"/>
          </w:tcPr>
          <w:p>
            <w:pPr>
              <w:spacing w:after="0"/>
              <w:rPr>
                <w:sz w:val="17"/>
                <w:szCs w:val="17"/>
                <w:color w:val="auto"/>
              </w:rPr>
            </w:pPr>
          </w:p>
        </w:tc>
      </w:tr>
      <w:tr>
        <w:trPr>
          <w:trHeight w:val="202"/>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11,380,242</w:t>
            </w:r>
          </w:p>
        </w:tc>
      </w:tr>
      <w:tr>
        <w:trPr>
          <w:trHeight w:val="21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76,663,207</w:t>
            </w:r>
          </w:p>
        </w:tc>
      </w:tr>
      <w:tr>
        <w:trPr>
          <w:trHeight w:val="207"/>
        </w:trPr>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106,740,104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 2024 and 2023 was $4,254,100 and $4,865,327,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Cemetery Perpetual Care Trust Investments and Obligation and Restricted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Cemetery Perpetual Care Trust Investments and Obligation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7"/>
          <w:szCs w:val="17"/>
          <w:i w:val="1"/>
          <w:iCs w:val="1"/>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cemetery perpetual care investments and obligation as of December 31, 2024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7"/>
              </w:rPr>
              <w:t>Gross Unrealized</w:t>
            </w:r>
          </w:p>
        </w:tc>
        <w:tc>
          <w:tcPr>
            <w:tcW w:w="156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auto"/>
                <w:w w:val="99"/>
              </w:rPr>
              <w:t>Gross Unrealized</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8"/>
              </w:rPr>
              <w:t>Estimated Fair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398"/>
              <w:spacing w:after="0"/>
              <w:rPr>
                <w:sz w:val="20"/>
                <w:szCs w:val="20"/>
                <w:color w:val="auto"/>
              </w:rPr>
            </w:pPr>
            <w:r>
              <w:rPr>
                <w:rFonts w:ascii="Times New Roman" w:cs="Times New Roman" w:eastAsia="Times New Roman" w:hAnsi="Times New Roman"/>
                <w:sz w:val="17"/>
                <w:szCs w:val="17"/>
                <w:color w:val="auto"/>
                <w:w w:val="97"/>
              </w:rPr>
              <w:t>Amortized Cost</w:t>
            </w:r>
          </w:p>
        </w:tc>
        <w:tc>
          <w:tcPr>
            <w:tcW w:w="240" w:type="dxa"/>
            <w:vAlign w:val="bottom"/>
          </w:tcPr>
          <w:p>
            <w:pPr>
              <w:spacing w:after="0"/>
              <w:rPr>
                <w:sz w:val="18"/>
                <w:szCs w:val="18"/>
                <w:color w:val="auto"/>
              </w:rPr>
            </w:pP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Gains</w:t>
            </w:r>
          </w:p>
        </w:tc>
        <w:tc>
          <w:tcPr>
            <w:tcW w:w="240" w:type="dxa"/>
            <w:vAlign w:val="bottom"/>
          </w:tcPr>
          <w:p>
            <w:pPr>
              <w:spacing w:after="0"/>
              <w:rPr>
                <w:sz w:val="18"/>
                <w:szCs w:val="18"/>
                <w:color w:val="auto"/>
              </w:rPr>
            </w:pPr>
          </w:p>
        </w:tc>
        <w:tc>
          <w:tcPr>
            <w:tcW w:w="1320" w:type="dxa"/>
            <w:vAlign w:val="bottom"/>
            <w:gridSpan w:val="2"/>
          </w:tcPr>
          <w:p>
            <w:pPr>
              <w:jc w:val="right"/>
              <w:ind w:right="621"/>
              <w:spacing w:after="0"/>
              <w:rPr>
                <w:sz w:val="20"/>
                <w:szCs w:val="20"/>
                <w:color w:val="auto"/>
              </w:rPr>
            </w:pPr>
            <w:r>
              <w:rPr>
                <w:rFonts w:ascii="Times New Roman" w:cs="Times New Roman" w:eastAsia="Times New Roman" w:hAnsi="Times New Roman"/>
                <w:sz w:val="17"/>
                <w:szCs w:val="17"/>
                <w:color w:val="auto"/>
              </w:rPr>
              <w:t>Losses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2024:</w:t>
            </w: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651,428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649,418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tcPr>
          <w:p>
            <w:pPr>
              <w:spacing w:after="0"/>
              <w:rPr>
                <w:sz w:val="18"/>
                <w:szCs w:val="18"/>
                <w:color w:val="auto"/>
              </w:rPr>
            </w:pPr>
          </w:p>
        </w:tc>
        <w:tc>
          <w:tcPr>
            <w:tcW w:w="15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125,194</w:t>
            </w:r>
          </w:p>
        </w:tc>
        <w:tc>
          <w:tcPr>
            <w:tcW w:w="2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120,244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fixed maturity securities available for sale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776,622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769,662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 at estimated fair value:</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Industrial, miscellaneous and all other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3,874,522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1,271,529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(226,007)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equity securities at estimated fair value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3,874,522</w:t>
            </w:r>
          </w:p>
        </w:tc>
        <w:tc>
          <w:tcPr>
            <w:tcW w:w="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1,271,529</w:t>
            </w:r>
          </w:p>
        </w:tc>
        <w:tc>
          <w:tcPr>
            <w:tcW w:w="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(226,007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4,920,044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loans held for investment at amortized cost:</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202,600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80" w:type="dxa"/>
            <w:vAlign w:val="bottom"/>
          </w:tcPr>
          <w:p>
            <w:pPr>
              <w:spacing w:after="0"/>
              <w:rPr>
                <w:sz w:val="17"/>
                <w:szCs w:val="17"/>
                <w:color w:val="auto"/>
              </w:rPr>
            </w:pPr>
          </w:p>
        </w:tc>
        <w:tc>
          <w:tcPr>
            <w:tcW w:w="152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(405)</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1,939,269</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80" w:type="dxa"/>
            <w:vAlign w:val="bottom"/>
          </w:tcPr>
          <w:p>
            <w:pPr>
              <w:spacing w:after="0"/>
              <w:rPr>
                <w:sz w:val="18"/>
                <w:szCs w:val="18"/>
                <w:color w:val="auto"/>
              </w:rPr>
            </w:pPr>
          </w:p>
        </w:tc>
        <w:tc>
          <w:tcPr>
            <w:tcW w:w="15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mortgage loans held for investment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2,141,464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tcBorders>
              <w:bottom w:val="single" w:sz="8" w:color="CCEEFF"/>
            </w:tcBorders>
            <w:gridSpan w:val="2"/>
            <w:vMerge w:val="continue"/>
          </w:tcPr>
          <w:p>
            <w:pPr>
              <w:spacing w:after="0"/>
              <w:rPr>
                <w:sz w:val="19"/>
                <w:szCs w:val="19"/>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1,002,396</w:t>
            </w:r>
          </w:p>
        </w:tc>
        <w:tc>
          <w:tcPr>
            <w:tcW w:w="34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Accrued investment income</w:t>
            </w: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2,937</w:t>
            </w: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cemetery perpetual care trust investments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tcBorders>
              <w:bottom w:val="single" w:sz="8" w:color="CCEEFF"/>
            </w:tcBorders>
            <w:gridSpan w:val="2"/>
            <w:vMerge w:val="continue"/>
          </w:tcPr>
          <w:p>
            <w:pPr>
              <w:spacing w:after="0"/>
              <w:rPr>
                <w:sz w:val="19"/>
                <w:szCs w:val="19"/>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8,836,503</w:t>
            </w:r>
          </w:p>
        </w:tc>
        <w:tc>
          <w:tcPr>
            <w:tcW w:w="34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Cemetery perpetual care obligation</w:t>
            </w: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(5,642,693</w:t>
            </w:r>
          </w:p>
        </w:tc>
        <w:tc>
          <w:tcPr>
            <w:tcW w:w="3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Trust investments in excess of trust obligations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3,193,810</w:t>
            </w:r>
          </w:p>
        </w:tc>
        <w:tc>
          <w:tcPr>
            <w:tcW w:w="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rPr>
              <w:t>78</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Cemetery Perpetual Care Trust Investments and Obligation and Restricted Assets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the cemetery perpetual care investments and obligation as of December 31, 2023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7"/>
              </w:rPr>
              <w:t>Gross Unrealized</w:t>
            </w:r>
          </w:p>
        </w:tc>
        <w:tc>
          <w:tcPr>
            <w:tcW w:w="156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auto"/>
                <w:w w:val="99"/>
              </w:rPr>
              <w:t>Gross Unrealized</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8"/>
              </w:rPr>
              <w:t>Estimated Fair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w w:val="97"/>
              </w:rPr>
              <w:t>Amortized Cost</w:t>
            </w:r>
          </w:p>
        </w:tc>
        <w:tc>
          <w:tcPr>
            <w:tcW w:w="240" w:type="dxa"/>
            <w:vAlign w:val="bottom"/>
          </w:tcPr>
          <w:p>
            <w:pPr>
              <w:spacing w:after="0"/>
              <w:rPr>
                <w:sz w:val="18"/>
                <w:szCs w:val="18"/>
                <w:color w:val="auto"/>
              </w:rPr>
            </w:pP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Gains</w:t>
            </w:r>
          </w:p>
        </w:tc>
        <w:tc>
          <w:tcPr>
            <w:tcW w:w="240" w:type="dxa"/>
            <w:vAlign w:val="bottom"/>
          </w:tcPr>
          <w:p>
            <w:pPr>
              <w:spacing w:after="0"/>
              <w:rPr>
                <w:sz w:val="18"/>
                <w:szCs w:val="18"/>
                <w:color w:val="auto"/>
              </w:rPr>
            </w:pPr>
          </w:p>
        </w:tc>
        <w:tc>
          <w:tcPr>
            <w:tcW w:w="1320" w:type="dxa"/>
            <w:vAlign w:val="bottom"/>
            <w:gridSpan w:val="2"/>
          </w:tcPr>
          <w:p>
            <w:pPr>
              <w:jc w:val="right"/>
              <w:ind w:right="621"/>
              <w:spacing w:after="0"/>
              <w:rPr>
                <w:sz w:val="20"/>
                <w:szCs w:val="20"/>
                <w:color w:val="auto"/>
              </w:rPr>
            </w:pPr>
            <w:r>
              <w:rPr>
                <w:rFonts w:ascii="Times New Roman" w:cs="Times New Roman" w:eastAsia="Times New Roman" w:hAnsi="Times New Roman"/>
                <w:sz w:val="17"/>
                <w:szCs w:val="17"/>
                <w:color w:val="auto"/>
              </w:rPr>
              <w:t>Losses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2023:</w:t>
            </w: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477,797</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477,525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115,792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(5,114)</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110,678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53,501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fixed maturity securities available for sale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647,261</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(5,859</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641,704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securities at estimated fair value: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Industrial, miscellaneous and all other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3,614,392</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859,680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(146,771)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equity securities at estimated fair value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3,614,392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859,680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(146,771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4,327,301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 at amortized cost:</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247,360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(495)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Total mortgage loans held for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246,865</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2,867,047</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cemetery perpetual care trust investments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tcBorders>
              <w:bottom w:val="single" w:sz="8" w:color="CCEEFF"/>
            </w:tcBorders>
            <w:gridSpan w:val="2"/>
            <w:vMerge w:val="continue"/>
          </w:tcPr>
          <w:p>
            <w:pPr>
              <w:spacing w:after="0"/>
              <w:rPr>
                <w:sz w:val="19"/>
                <w:szCs w:val="19"/>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8,082,917</w:t>
            </w:r>
          </w:p>
        </w:tc>
        <w:tc>
          <w:tcPr>
            <w:tcW w:w="2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Cemetery perpetual care obligation</w:t>
            </w: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(5,326,196</w:t>
            </w:r>
          </w:p>
        </w:tc>
        <w:tc>
          <w:tcPr>
            <w:tcW w:w="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Trust investments in excess of trust obligations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2,756,721</w:t>
            </w:r>
          </w:p>
        </w:tc>
        <w:tc>
          <w:tcPr>
            <w:tcW w:w="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Fixed Maturity Securities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table below summarizes unrealized losses on fixed maturity securities available for sale that were carried at estimated fair value as of December 31, 2024 and 2023. The unrealized losses were primarily related to interest rate fluctuations. The tables set forth unrealized losses by duration with the fair value of the related fixed maturity securities:</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At December 31, 2024</w:t>
      </w:r>
    </w:p>
    <w:p>
      <w:pPr>
        <w:spacing w:after="0" w:line="2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p>
      <w:pPr>
        <w:spacing w:after="0" w:line="1" w:lineRule="exact"/>
        <w:rPr>
          <w:sz w:val="20"/>
          <w:szCs w:val="20"/>
          <w:color w:val="auto"/>
        </w:rPr>
      </w:pPr>
    </w:p>
    <w:p>
      <w:pPr>
        <w:ind w:right="940"/>
        <w:spacing w:after="0" w:line="270" w:lineRule="auto"/>
        <w:rPr>
          <w:sz w:val="20"/>
          <w:szCs w:val="20"/>
          <w:color w:val="auto"/>
        </w:rPr>
      </w:pPr>
      <w:r>
        <w:rPr>
          <w:rFonts w:ascii="Times New Roman" w:cs="Times New Roman" w:eastAsia="Times New Roman" w:hAnsi="Times New Roman"/>
          <w:sz w:val="17"/>
          <w:szCs w:val="17"/>
          <w:color w:val="auto"/>
        </w:rPr>
        <w:t>Obligations of states and political subdivisions Total unrealized losses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9"/>
              </w:rPr>
              <w:t>Unrealized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Unrealized</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9"/>
              </w:rPr>
              <w:t>Losses for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Losses for</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8"/>
              </w:rPr>
              <w:t>Less than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More than</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4"/>
              </w:rPr>
              <w:t>Total</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Twelve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7"/>
              </w:rPr>
              <w:t>Twelve</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w w:val="99"/>
              </w:rPr>
              <w:t>Unrealized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9"/>
              </w:rPr>
              <w:t>Months</w:t>
            </w:r>
          </w:p>
        </w:tc>
        <w:tc>
          <w:tcPr>
            <w:tcW w:w="34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Fair Value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9"/>
              </w:rPr>
              <w:t>Months</w:t>
            </w:r>
          </w:p>
        </w:tc>
        <w:tc>
          <w:tcPr>
            <w:tcW w:w="34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Fair Value</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7"/>
                <w:szCs w:val="17"/>
                <w:color w:val="auto"/>
                <w:w w:val="99"/>
              </w:rPr>
              <w:t>Loss</w:t>
            </w:r>
          </w:p>
        </w:tc>
        <w:tc>
          <w:tcPr>
            <w:tcW w:w="32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6"/>
              </w:rPr>
              <w:t>Fair Value</w:t>
            </w:r>
          </w:p>
        </w:tc>
      </w:tr>
      <w:tr>
        <w:trPr>
          <w:trHeight w:val="594"/>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649,419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2,010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649,419</w:t>
            </w: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4,950</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4,950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120,243</w:t>
            </w:r>
          </w:p>
        </w:tc>
      </w:tr>
      <w:tr>
        <w:trPr>
          <w:trHeight w:val="207"/>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6,960</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6,960</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769,662</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-695960</wp:posOffset>
            </wp:positionV>
            <wp:extent cx="7141210" cy="135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-303530</wp:posOffset>
            </wp:positionV>
            <wp:extent cx="7141210" cy="135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80" w:space="640"/>
            <w:col w:w="6520"/>
          </w:cols>
          <w:pgMar w:left="320" w:top="652"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5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54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7"/>
                <w:szCs w:val="17"/>
                <w:color w:val="auto"/>
                <w:w w:val="98"/>
              </w:rPr>
              <w:t>At December 31, 2023</w:t>
            </w: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securities and obligations of U.S. Government</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agencies</w:t>
            </w:r>
          </w:p>
        </w:tc>
        <w:tc>
          <w:tcPr>
            <w:tcW w:w="6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143,448</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143,448</w:t>
            </w:r>
          </w:p>
        </w:tc>
        <w:tc>
          <w:tcPr>
            <w:tcW w:w="0" w:type="dxa"/>
            <w:vAlign w:val="bottom"/>
          </w:tcPr>
          <w:p>
            <w:pPr>
              <w:spacing w:after="0"/>
              <w:rPr>
                <w:sz w:val="1"/>
                <w:szCs w:val="1"/>
                <w:color w:val="auto"/>
              </w:rPr>
            </w:pPr>
          </w:p>
        </w:tc>
      </w:tr>
      <w:tr>
        <w:trPr>
          <w:trHeight w:val="202"/>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5,114</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110,678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5,114</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110,678</w:t>
            </w:r>
          </w:p>
        </w:tc>
        <w:tc>
          <w:tcPr>
            <w:tcW w:w="0" w:type="dxa"/>
            <w:vAlign w:val="bottom"/>
          </w:tcPr>
          <w:p>
            <w:pPr>
              <w:spacing w:after="0"/>
              <w:rPr>
                <w:sz w:val="1"/>
                <w:szCs w:val="1"/>
                <w:color w:val="auto"/>
              </w:rPr>
            </w:pPr>
          </w:p>
        </w:tc>
      </w:tr>
      <w:tr>
        <w:trPr>
          <w:trHeight w:val="21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53,501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171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53,501</w:t>
            </w:r>
          </w:p>
        </w:tc>
        <w:tc>
          <w:tcPr>
            <w:tcW w:w="0" w:type="dxa"/>
            <w:vAlign w:val="bottom"/>
          </w:tcPr>
          <w:p>
            <w:pPr>
              <w:spacing w:after="0"/>
              <w:rPr>
                <w:sz w:val="1"/>
                <w:szCs w:val="1"/>
                <w:color w:val="auto"/>
              </w:rPr>
            </w:pPr>
          </w:p>
        </w:tc>
      </w:t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unrealized losses</w:t>
            </w:r>
          </w:p>
        </w:tc>
        <w:tc>
          <w:tcPr>
            <w:tcW w:w="3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143,448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5,285</w:t>
            </w: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164,179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5,859</w:t>
            </w: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82"/>
              </w:rPr>
              <w:t>79</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5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Cemetery Perpetual Care Trust Investments and Obligation and Restricted Assets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Relevant holdings were comprised of four securities with fair values aggregating 99.1% of aggregate amortized cost as of December 31, 2024. There were four securities with fair values aggregating 98.1% of aggregate amortized cost as of December 31, 2023. No credit losses have been recognized for 2024 and 2023, since the increase in unrealized losses is primarily a result of increases in interest rates. See Note 2 for additional information regarding the Company’s evaluation of the allowance for credit losses for fixed maturity securities available for sale.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table below presents the amortized cost and estimated fair value of fixed maturity securities available for sale as of December 31,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53"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in 1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in 2-5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in 5-10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Due in more than 10 years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Amortized</w:t>
            </w:r>
          </w:p>
        </w:tc>
        <w:tc>
          <w:tcPr>
            <w:tcW w:w="120" w:type="dxa"/>
            <w:vAlign w:val="bottom"/>
          </w:tcPr>
          <w:p>
            <w:pPr>
              <w:spacing w:after="0"/>
              <w:rPr>
                <w:sz w:val="18"/>
                <w:szCs w:val="18"/>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Estimated Fair</w:t>
            </w:r>
          </w:p>
        </w:tc>
      </w:tr>
      <w:tr>
        <w:trPr>
          <w:trHeight w:val="218"/>
        </w:trPr>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Cost</w:t>
            </w:r>
          </w:p>
        </w:tc>
        <w:tc>
          <w:tcPr>
            <w:tcW w:w="120" w:type="dxa"/>
            <w:vAlign w:val="bottom"/>
          </w:tcPr>
          <w:p>
            <w:pPr>
              <w:spacing w:after="0"/>
              <w:rPr>
                <w:sz w:val="18"/>
                <w:szCs w:val="18"/>
                <w:color w:val="auto"/>
              </w:rPr>
            </w:pPr>
          </w:p>
        </w:tc>
        <w:tc>
          <w:tcPr>
            <w:tcW w:w="122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Value</w:t>
            </w:r>
          </w:p>
        </w:tc>
      </w:tr>
      <w:tr>
        <w:trPr>
          <w:trHeight w:val="178"/>
        </w:trPr>
        <w:tc>
          <w:tcPr>
            <w:tcW w:w="180" w:type="dxa"/>
            <w:vAlign w:val="bottom"/>
            <w:tcBorders>
              <w:top w:val="single" w:sz="8" w:color="auto"/>
            </w:tcBorders>
          </w:tcPr>
          <w:p>
            <w:pPr>
              <w:jc w:val="right"/>
              <w:ind w:right="1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503,125</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501,375</w:t>
            </w:r>
          </w:p>
        </w:tc>
      </w:tr>
      <w:tr>
        <w:trPr>
          <w:trHeight w:val="202"/>
        </w:trPr>
        <w:tc>
          <w:tcPr>
            <w:tcW w:w="18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221,021</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216,687</w:t>
            </w:r>
          </w:p>
        </w:tc>
      </w:tr>
      <w:tr>
        <w:trPr>
          <w:trHeight w:val="214"/>
        </w:trPr>
        <w:tc>
          <w:tcPr>
            <w:tcW w:w="1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52,476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51,600</w:t>
            </w:r>
          </w:p>
        </w:tc>
      </w:tr>
      <w:tr>
        <w:trPr>
          <w:trHeight w:val="218"/>
        </w:trPr>
        <w:tc>
          <w:tcPr>
            <w:tcW w:w="1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776,622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769,662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81"/>
        </w:trPr>
        <w:tc>
          <w:tcPr>
            <w:tcW w:w="180" w:type="dxa"/>
            <w:vAlign w:val="bottom"/>
          </w:tcPr>
          <w:p>
            <w:pPr>
              <w:spacing w:after="0"/>
              <w:rPr>
                <w:sz w:val="24"/>
                <w:szCs w:val="24"/>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-951865</wp:posOffset>
            </wp:positionV>
            <wp:extent cx="4995545"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5545" cy="135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-687705</wp:posOffset>
            </wp:positionV>
            <wp:extent cx="4995545" cy="128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5545" cy="12827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-423545</wp:posOffset>
            </wp:positionV>
            <wp:extent cx="4995545" cy="152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5545" cy="15240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0</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2">
            <w:col w:w="4180" w:space="720"/>
            <w:col w:w="6340"/>
          </w:cols>
          <w:pgMar w:left="320" w:top="653"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Cemetery Perpetual Care Trust Investments and Obligation and Restricted Assets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Assets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also established certain restricted assets to provide for future merchandise and service obligations incurred in connection with its pre-need sales for its cemetery and mortuary segment.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Restricted assets as of December 31, 2024 are summarized as follows: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7"/>
              </w:rPr>
              <w:t>Gross Unrealized</w:t>
            </w:r>
          </w:p>
        </w:tc>
        <w:tc>
          <w:tcPr>
            <w:tcW w:w="156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auto"/>
                <w:w w:val="99"/>
              </w:rPr>
              <w:t>Gross Unrealized</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8"/>
              </w:rPr>
              <w:t>Estimated Fair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w w:val="97"/>
              </w:rPr>
              <w:t>Amortized Cost</w:t>
            </w:r>
          </w:p>
        </w:tc>
        <w:tc>
          <w:tcPr>
            <w:tcW w:w="240" w:type="dxa"/>
            <w:vAlign w:val="bottom"/>
          </w:tcPr>
          <w:p>
            <w:pPr>
              <w:spacing w:after="0"/>
              <w:rPr>
                <w:sz w:val="18"/>
                <w:szCs w:val="18"/>
                <w:color w:val="auto"/>
              </w:rPr>
            </w:pP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Gains</w:t>
            </w:r>
          </w:p>
        </w:tc>
        <w:tc>
          <w:tcPr>
            <w:tcW w:w="240" w:type="dxa"/>
            <w:vAlign w:val="bottom"/>
          </w:tcPr>
          <w:p>
            <w:pPr>
              <w:spacing w:after="0"/>
              <w:rPr>
                <w:sz w:val="18"/>
                <w:szCs w:val="18"/>
                <w:color w:val="auto"/>
              </w:rPr>
            </w:pPr>
          </w:p>
        </w:tc>
        <w:tc>
          <w:tcPr>
            <w:tcW w:w="1320" w:type="dxa"/>
            <w:vAlign w:val="bottom"/>
            <w:gridSpan w:val="2"/>
          </w:tcPr>
          <w:p>
            <w:pPr>
              <w:jc w:val="right"/>
              <w:ind w:right="621"/>
              <w:spacing w:after="0"/>
              <w:rPr>
                <w:sz w:val="20"/>
                <w:szCs w:val="20"/>
                <w:color w:val="auto"/>
              </w:rPr>
            </w:pPr>
            <w:r>
              <w:rPr>
                <w:rFonts w:ascii="Times New Roman" w:cs="Times New Roman" w:eastAsia="Times New Roman" w:hAnsi="Times New Roman"/>
                <w:sz w:val="17"/>
                <w:szCs w:val="17"/>
                <w:color w:val="auto"/>
              </w:rPr>
              <w:t>Losses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2024:</w:t>
            </w: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1,741,029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1,741,774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471,217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180</w:t>
            </w:r>
          </w:p>
        </w:tc>
        <w:tc>
          <w:tcPr>
            <w:tcW w:w="240" w:type="dxa"/>
            <w:vAlign w:val="bottom"/>
          </w:tcPr>
          <w:p>
            <w:pPr>
              <w:spacing w:after="0"/>
              <w:rPr>
                <w:sz w:val="17"/>
                <w:szCs w:val="17"/>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(4,223)</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467,174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144,616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(2,227)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142,421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fixed maturity securities available for sale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2,356,862</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2,468</w:t>
            </w:r>
          </w:p>
        </w:tc>
        <w:tc>
          <w:tcPr>
            <w:tcW w:w="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2,351,369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securities at estimated fair value: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Industrial, miscellaneous and all other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8,547,709</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1,914,309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(489,852)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9,972,166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equity securities at estimated fair value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8,547,709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1,914,309</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(489,852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9,972,166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 at amortized cost:</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985,806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(1,972)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Total mortgage loans held for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983,834</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Other investments</w:t>
            </w: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1,939,269</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Cash and cash equivalents (1)</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tcBorders>
              <w:bottom w:val="single" w:sz="8" w:color="CCEEFF"/>
            </w:tcBorders>
            <w:gridSpan w:val="2"/>
            <w:vMerge w:val="continue"/>
          </w:tcPr>
          <w:p>
            <w:pPr>
              <w:spacing w:after="0"/>
              <w:rPr>
                <w:sz w:val="19"/>
                <w:szCs w:val="19"/>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8,553,803</w:t>
            </w:r>
          </w:p>
        </w:tc>
        <w:tc>
          <w:tcPr>
            <w:tcW w:w="2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Accrued investment income</w:t>
            </w: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6,395</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restricted assets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23,806,836</w:t>
            </w:r>
          </w:p>
        </w:tc>
        <w:tc>
          <w:tcPr>
            <w:tcW w:w="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ind w:left="5540" w:right="4400" w:hanging="5450"/>
        <w:spacing w:after="0" w:line="491" w:lineRule="auto"/>
        <w:tabs>
          <w:tab w:leader="none" w:pos="329" w:val="left"/>
        </w:tabs>
        <w:numPr>
          <w:ilvl w:val="0"/>
          <w:numId w:val="6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Including cash and cash equivalents of $7,657,958 for the life insurance and mortgage segments.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right="4740" w:firstLine="1"/>
        <w:spacing w:after="0" w:line="495" w:lineRule="auto"/>
        <w:tabs>
          <w:tab w:leader="none" w:pos="18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Cemetery Perpetual Care Trust Investments and Obligation and Restricted Assets</w:t>
      </w:r>
      <w:r>
        <w:rPr>
          <w:rFonts w:ascii="Times New Roman" w:cs="Times New Roman" w:eastAsia="Times New Roman" w:hAnsi="Times New Roman"/>
          <w:sz w:val="17"/>
          <w:szCs w:val="17"/>
          <w:color w:val="auto"/>
        </w:rPr>
        <w:t xml:space="preserve"> (Continued) Restricted assets as of December 31, 2023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w w:val="97"/>
              </w:rPr>
              <w:t>Gross Unrealized</w:t>
            </w:r>
          </w:p>
        </w:tc>
        <w:tc>
          <w:tcPr>
            <w:tcW w:w="1560" w:type="dxa"/>
            <w:vAlign w:val="bottom"/>
            <w:gridSpan w:val="3"/>
          </w:tcPr>
          <w:p>
            <w:pPr>
              <w:jc w:val="right"/>
              <w:ind w:right="281"/>
              <w:spacing w:after="0"/>
              <w:rPr>
                <w:sz w:val="20"/>
                <w:szCs w:val="20"/>
                <w:color w:val="auto"/>
              </w:rPr>
            </w:pPr>
            <w:r>
              <w:rPr>
                <w:rFonts w:ascii="Times New Roman" w:cs="Times New Roman" w:eastAsia="Times New Roman" w:hAnsi="Times New Roman"/>
                <w:sz w:val="17"/>
                <w:szCs w:val="17"/>
                <w:color w:val="auto"/>
                <w:w w:val="99"/>
              </w:rPr>
              <w:t>Gross Unrealized</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8"/>
              </w:rPr>
              <w:t>Estimated Fair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w w:val="97"/>
              </w:rPr>
              <w:t>Amortized Cost</w:t>
            </w:r>
          </w:p>
        </w:tc>
        <w:tc>
          <w:tcPr>
            <w:tcW w:w="240" w:type="dxa"/>
            <w:vAlign w:val="bottom"/>
          </w:tcPr>
          <w:p>
            <w:pPr>
              <w:spacing w:after="0"/>
              <w:rPr>
                <w:sz w:val="18"/>
                <w:szCs w:val="18"/>
                <w:color w:val="auto"/>
              </w:rPr>
            </w:pP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rPr>
              <w:t>Gains</w:t>
            </w:r>
          </w:p>
        </w:tc>
        <w:tc>
          <w:tcPr>
            <w:tcW w:w="240" w:type="dxa"/>
            <w:vAlign w:val="bottom"/>
          </w:tcPr>
          <w:p>
            <w:pPr>
              <w:spacing w:after="0"/>
              <w:rPr>
                <w:sz w:val="18"/>
                <w:szCs w:val="18"/>
                <w:color w:val="auto"/>
              </w:rPr>
            </w:pPr>
          </w:p>
        </w:tc>
        <w:tc>
          <w:tcPr>
            <w:tcW w:w="1320" w:type="dxa"/>
            <w:vAlign w:val="bottom"/>
            <w:gridSpan w:val="2"/>
          </w:tcPr>
          <w:p>
            <w:pPr>
              <w:jc w:val="right"/>
              <w:ind w:right="621"/>
              <w:spacing w:after="0"/>
              <w:rPr>
                <w:sz w:val="20"/>
                <w:szCs w:val="20"/>
                <w:color w:val="auto"/>
              </w:rPr>
            </w:pPr>
            <w:r>
              <w:rPr>
                <w:rFonts w:ascii="Times New Roman" w:cs="Times New Roman" w:eastAsia="Times New Roman" w:hAnsi="Times New Roman"/>
                <w:sz w:val="17"/>
                <w:szCs w:val="17"/>
                <w:color w:val="auto"/>
              </w:rPr>
              <w:t>Losses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60" w:type="dxa"/>
            <w:vAlign w:val="bottom"/>
            <w:tcBorders>
              <w:top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rPr>
              <w:t>December 31, 2023:</w:t>
            </w:r>
          </w:p>
        </w:tc>
        <w:tc>
          <w:tcPr>
            <w:tcW w:w="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Fixed maturity securities, available for sale, at estimated fair value: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932,737</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933,170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652,770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305</w:t>
            </w:r>
          </w:p>
        </w:tc>
        <w:tc>
          <w:tcPr>
            <w:tcW w:w="240" w:type="dxa"/>
            <w:vAlign w:val="bottom"/>
          </w:tcPr>
          <w:p>
            <w:pPr>
              <w:spacing w:after="0"/>
              <w:rPr>
                <w:sz w:val="17"/>
                <w:szCs w:val="17"/>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(4,542)</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648,533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274,688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272,157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fixed maturity securities available for sale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1,860,195</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3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1,853,860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securities at estimated fair value:</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Industrial, miscellaneous and all other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6,516,044</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1,117,155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(247,996)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7,385,203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equity securities at estimated fair value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6,516,044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1,117,155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(247,996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held for investment at amortized cost:</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676,572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(1,353)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Total mortgage loans held for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675,219</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Borders>
              <w:bottom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Cash and cash equivalents (1)</w:t>
            </w:r>
          </w:p>
        </w:tc>
        <w:tc>
          <w:tcPr>
            <w:tcW w:w="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10,114,694</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restricted assets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20,028,976</w:t>
            </w:r>
          </w:p>
        </w:tc>
        <w:tc>
          <w:tcPr>
            <w:tcW w:w="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 Including cash and cash equivalents of $6,930,933 for the life insurance and mortgage segments.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surplus note receivable in the amount of $4,000,000 at December 31, 2024 and 2023, from Security National Life, was eliminated in consolidation.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Fixed Maturity Securities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table below summarizes unrealized losses on fixed maturity securities available for sale that were carried at estimated fair value as of December 31, 2024 and 2023. The unrealized losses were primarily related to interest rate fluctuations. The tables set forth unrealized losses by duration with the fair value of the related fixed maturity securities.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Unrealized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Unrealized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Losses for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Losses for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8"/>
              </w:rPr>
              <w:t>Less than</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9"/>
              </w:rPr>
              <w:t>More than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Twelve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7"/>
              </w:rPr>
              <w:t>Twelve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w w:val="96"/>
              </w:rPr>
              <w:t>Unrealized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Months</w:t>
            </w:r>
          </w:p>
        </w:tc>
        <w:tc>
          <w:tcPr>
            <w:tcW w:w="32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Fair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9"/>
              </w:rPr>
              <w:t>Months</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99"/>
              </w:rPr>
              <w:t>Fair Value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9"/>
              </w:rPr>
              <w:t>Loss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w w:val="96"/>
              </w:rPr>
              <w:t>At December 31, 2024</w:t>
            </w:r>
          </w:p>
        </w:tc>
        <w:tc>
          <w:tcPr>
            <w:tcW w:w="28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U.S. Treasury securities and obligations of U.S. Government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agencies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1,511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558,707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558,707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2,004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237,636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2,219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129,358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4,223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366,994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51,685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911</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65,704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2,227</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117,389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unrealized losses</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848,028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4"/>
              </w:rPr>
              <w:t>195,062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88"/>
              </w:rPr>
              <w:t>7,961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1,043,090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5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520" w:type="dxa"/>
            <w:vAlign w:val="bottom"/>
            <w:tcBorders>
              <w:bottom w:val="single" w:sz="8" w:color="auto"/>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w w:val="96"/>
              </w:rPr>
              <w:t>At December 31, 2023</w:t>
            </w:r>
          </w:p>
        </w:tc>
        <w:tc>
          <w:tcPr>
            <w:tcW w:w="28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U.S. Treasury securities and obligations of U.S. Government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agencies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249,877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249,877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4,542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451,985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4,542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451,985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securities including public utilities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2,740</w:t>
            </w:r>
          </w:p>
        </w:tc>
        <w:tc>
          <w:tcPr>
            <w:tcW w:w="1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221,334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221,334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unrealized losses</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4"/>
              </w:rPr>
              <w:t>673,319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88"/>
              </w:rPr>
              <w:t>8,282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923,196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82"/>
              </w:rPr>
              <w:t>82</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180" w:hanging="179"/>
        <w:spacing w:after="0"/>
        <w:tabs>
          <w:tab w:leader="none" w:pos="1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Cemetery Perpetual Care Trust Investments and Obligation and Restricted Assets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Relevant holdings were comprised of 15 securities with fair values aggregating 99.2% of aggregate amortized cost as of December 31, 2024. Relevant holdings were comprised of 12 securities with fair values aggregating of 99.1% of aggregate amortized cost at December 31, 2023. No credit losses have been recognized for 2024 and 2023, since the increase in unrealized losses is primarily a result of increases in interest rates. See Note 3 for additional information regarding the Company’s evaluation of the allowance for credit losses for fixed maturity securities available for sale.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table below presents the amortized cost and estimated fair value of fixed maturity securities available for sale as of December 31,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in 1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in 2-5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in 5-10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Due in more than 10 years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Amortized</w:t>
            </w: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Estimated Fair</w:t>
            </w:r>
          </w:p>
        </w:tc>
      </w:tr>
      <w:tr>
        <w:trPr>
          <w:trHeight w:val="218"/>
        </w:trPr>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Cost</w:t>
            </w: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78"/>
        </w:trPr>
        <w:tc>
          <w:tcPr>
            <w:tcW w:w="180" w:type="dxa"/>
            <w:vAlign w:val="bottom"/>
            <w:tcBorders>
              <w:top w:val="single" w:sz="8" w:color="auto"/>
            </w:tcBorders>
          </w:tcPr>
          <w:p>
            <w:pPr>
              <w:jc w:val="right"/>
              <w:ind w:right="1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1,539,890</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1,539,487</w:t>
            </w:r>
          </w:p>
        </w:tc>
        <w:tc>
          <w:tcPr>
            <w:tcW w:w="20" w:type="dxa"/>
            <w:vAlign w:val="bottom"/>
          </w:tcPr>
          <w:p>
            <w:pPr>
              <w:spacing w:after="0"/>
              <w:rPr>
                <w:sz w:val="15"/>
                <w:szCs w:val="15"/>
                <w:color w:val="auto"/>
              </w:rPr>
            </w:pPr>
          </w:p>
        </w:tc>
      </w:tr>
      <w:tr>
        <w:trPr>
          <w:trHeight w:val="202"/>
        </w:trPr>
        <w:tc>
          <w:tcPr>
            <w:tcW w:w="18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308,335</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307,820</w:t>
            </w:r>
          </w:p>
        </w:tc>
      </w:tr>
      <w:tr>
        <w:trPr>
          <w:trHeight w:val="214"/>
        </w:trPr>
        <w:tc>
          <w:tcPr>
            <w:tcW w:w="1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100,606</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100,648</w:t>
            </w:r>
          </w:p>
        </w:tc>
      </w:tr>
      <w:tr>
        <w:trPr>
          <w:trHeight w:val="218"/>
        </w:trPr>
        <w:tc>
          <w:tcPr>
            <w:tcW w:w="1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408,031</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403,414</w:t>
            </w:r>
          </w:p>
        </w:tc>
      </w:tr>
      <w:tr>
        <w:trPr>
          <w:trHeight w:val="207"/>
        </w:trPr>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2,356,862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2,351,369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-695960</wp:posOffset>
            </wp:positionV>
            <wp:extent cx="4995545" cy="135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95545" cy="135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-431800</wp:posOffset>
            </wp:positionV>
            <wp:extent cx="4995545"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5545" cy="12827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-167640</wp:posOffset>
            </wp:positionV>
            <wp:extent cx="4995545" cy="152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95545"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180" w:space="720"/>
            <w:col w:w="6340"/>
          </w:cols>
          <w:pgMar w:left="320" w:top="65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See Notes 1, 2 and 17 for additional information regarding restricted assets and cemetery perpetual care trust investments.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88" w:name="page89"/>
    <w:bookmarkEnd w:id="88"/>
    <w:p>
      <w:pPr>
        <w:jc w:val="center"/>
        <w:ind w:right="-1100"/>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9) Income Taxes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Company’s income tax liability is summarized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8"/>
                <w:szCs w:val="18"/>
                <w:color w:val="auto"/>
              </w:rPr>
            </w:pPr>
          </w:p>
        </w:tc>
      </w:tr>
      <w:tr>
        <w:trPr>
          <w:trHeight w:val="194"/>
        </w:trPr>
        <w:tc>
          <w:tcPr>
            <w:tcW w:w="49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Current</w:t>
            </w:r>
          </w:p>
        </w:tc>
        <w:tc>
          <w:tcPr>
            <w:tcW w:w="280" w:type="dxa"/>
            <w:vAlign w:val="bottom"/>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(725,175)</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246,437</w:t>
            </w:r>
          </w:p>
        </w:tc>
        <w:tc>
          <w:tcPr>
            <w:tcW w:w="60" w:type="dxa"/>
            <w:vAlign w:val="bottom"/>
            <w:shd w:val="clear" w:color="auto" w:fill="CCEEFF"/>
          </w:tcPr>
          <w:p>
            <w:pPr>
              <w:spacing w:after="0"/>
              <w:rPr>
                <w:sz w:val="16"/>
                <w:szCs w:val="16"/>
                <w:color w:val="auto"/>
              </w:rPr>
            </w:pPr>
          </w:p>
        </w:tc>
      </w:tr>
      <w:tr>
        <w:trPr>
          <w:trHeight w:val="214"/>
        </w:trPr>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w:t>
            </w:r>
          </w:p>
        </w:tc>
        <w:tc>
          <w:tcPr>
            <w:tcW w:w="2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13,804,432</w:t>
            </w:r>
          </w:p>
        </w:tc>
        <w:tc>
          <w:tcPr>
            <w:tcW w:w="4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13,506,544</w:t>
            </w:r>
          </w:p>
        </w:tc>
      </w:tr>
      <w:tr>
        <w:trPr>
          <w:trHeight w:val="207"/>
        </w:trPr>
        <w:tc>
          <w:tcPr>
            <w:tcW w:w="49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13,079,257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13,752,981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significant components of the Company’s deferred tax assets and liabilities are approximately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December 31,</w:t>
            </w: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Assets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Future policy benefits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15,144,640</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14,902,816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loss reserve and allowances</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1,395,203</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1,908,243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Unearned premium</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422,453</w:t>
            </w:r>
          </w:p>
        </w:tc>
        <w:tc>
          <w:tcPr>
            <w:tcW w:w="4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534,203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1,245,888</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1,050,770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2,033,686</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2,138,385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on unrealized appreciation</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491,271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20,241,870</w:t>
            </w:r>
          </w:p>
        </w:tc>
        <w:tc>
          <w:tcPr>
            <w:tcW w:w="26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21,025,688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policy acquisition costs</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19,104,454</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18,478,562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Basis difference in property, equipment and real estate</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8,973,198</w:t>
            </w:r>
          </w:p>
        </w:tc>
        <w:tc>
          <w:tcPr>
            <w:tcW w:w="4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11,054,092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 of business acquired</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1,573,236</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1,778,199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Deferred gains</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1,365,803</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1,308,365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Trusts</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1,064,387</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1,064,387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Intangibles</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717,336</w:t>
            </w:r>
          </w:p>
        </w:tc>
        <w:tc>
          <w:tcPr>
            <w:tcW w:w="4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516,210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534,311</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332,417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Tax on unrealized appreciaton</w:t>
            </w: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713,577</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34,046,302</w:t>
            </w: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34,532,232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13,804,432</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13,506,544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 period amounts have been adjusted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17856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53"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9) Income Taxes (Continued)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5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Company’s income tax expense is summarized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Current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7,182,377</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4,091,306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73,654</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209,537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7,256,031</w:t>
            </w:r>
          </w:p>
        </w:tc>
        <w:tc>
          <w:tcPr>
            <w:tcW w:w="2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4,300,843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189,698</w:t>
            </w:r>
          </w:p>
        </w:tc>
        <w:tc>
          <w:tcPr>
            <w:tcW w:w="4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122,273</w:t>
            </w:r>
          </w:p>
        </w:tc>
        <w:tc>
          <w:tcPr>
            <w:tcW w:w="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(356,365)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311,971</w:t>
            </w: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(2,495,489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7,568,002</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1,805,354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reconciliation of income tax expense at the U.S. federal statutory rates is as follows:</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Computed expense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5708015" cy="135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08015" cy="135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 tax expense (benefit), net of federal tax benefit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5708015"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8015"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Other,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5708015" cy="152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8015"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7"/>
          <w:szCs w:val="17"/>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8"/>
                <w:szCs w:val="18"/>
                <w:color w:val="auto"/>
              </w:rPr>
            </w:pPr>
          </w:p>
        </w:tc>
      </w:tr>
      <w:tr>
        <w:trPr>
          <w:trHeight w:val="178"/>
        </w:trPr>
        <w:tc>
          <w:tcPr>
            <w:tcW w:w="340" w:type="dxa"/>
            <w:vAlign w:val="bottom"/>
          </w:tcPr>
          <w:p>
            <w:pPr>
              <w:jc w:val="right"/>
              <w:ind w:right="156"/>
              <w:spacing w:after="0" w:line="178"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7,161,792</w:t>
            </w:r>
          </w:p>
        </w:tc>
        <w:tc>
          <w:tcPr>
            <w:tcW w:w="260" w:type="dxa"/>
            <w:vAlign w:val="bottom"/>
          </w:tcPr>
          <w:p>
            <w:pPr>
              <w:spacing w:after="0"/>
              <w:rPr>
                <w:sz w:val="15"/>
                <w:szCs w:val="15"/>
                <w:color w:val="auto"/>
              </w:rPr>
            </w:pPr>
          </w:p>
        </w:tc>
        <w:tc>
          <w:tcPr>
            <w:tcW w:w="340" w:type="dxa"/>
            <w:vAlign w:val="bottom"/>
          </w:tcPr>
          <w:p>
            <w:pPr>
              <w:jc w:val="right"/>
              <w:ind w:right="17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3,423,086</w:t>
            </w:r>
          </w:p>
        </w:tc>
        <w:tc>
          <w:tcPr>
            <w:tcW w:w="60" w:type="dxa"/>
            <w:vAlign w:val="bottom"/>
          </w:tcPr>
          <w:p>
            <w:pPr>
              <w:spacing w:after="0"/>
              <w:rPr>
                <w:sz w:val="15"/>
                <w:szCs w:val="15"/>
                <w:color w:val="auto"/>
              </w:rPr>
            </w:pPr>
          </w:p>
        </w:tc>
      </w:tr>
      <w:tr>
        <w:trPr>
          <w:trHeight w:val="202"/>
        </w:trPr>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154,782</w:t>
            </w:r>
          </w:p>
        </w:tc>
        <w:tc>
          <w:tcPr>
            <w:tcW w:w="3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(115,994)</w:t>
            </w:r>
          </w:p>
        </w:tc>
      </w:tr>
      <w:tr>
        <w:trPr>
          <w:trHeight w:val="214"/>
        </w:trPr>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(1,506,144)</w:t>
            </w:r>
          </w:p>
        </w:tc>
      </w:tr>
      <w:tr>
        <w:trPr>
          <w:trHeight w:val="218"/>
        </w:trPr>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251,428</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4,406</w:t>
            </w:r>
          </w:p>
        </w:tc>
      </w:tr>
      <w:tr>
        <w:trPr>
          <w:trHeight w:val="207"/>
        </w:trPr>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7,568,002</w:t>
            </w: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1,805,354</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4860" w:space="720"/>
            <w:col w:w="5660"/>
          </w:cols>
          <w:pgMar w:left="320" w:top="652"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overall effective tax rate for 2024 and 2023 was 22.2% and 11.1% respectively. The Company’s effective tax rates differ from the U.S. federal statutory rate of 21% partially due to its provision for state income taxes. The increase in the effective tax rate when compared to the prior year is partially due to the prior period reducing the valuation allowance related to Kilpatrick Life Insurance Company to zero and no valuation allowance adjustment in the current period.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2024, the Company had no significant unrecognized tax benefits. As of December 31, 2024, the Company does not expect any material changes to the estimated amount of unrecognized tax benefits in the next twelve months. Federal and state income tax returns for 2021 through 2024 are subject to examination by taxing authorities.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Operating Losses and Tax Credit Carryforwards: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441"/>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 of Expiration</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95"/>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500" w:type="dxa"/>
            <w:vAlign w:val="bottom"/>
          </w:tcPr>
          <w:p>
            <w:pPr>
              <w:spacing w:after="0"/>
              <w:rPr>
                <w:sz w:val="16"/>
                <w:szCs w:val="16"/>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500" w:type="dxa"/>
            <w:vAlign w:val="bottom"/>
          </w:tcPr>
          <w:p>
            <w:pPr>
              <w:spacing w:after="0"/>
              <w:rPr>
                <w:sz w:val="17"/>
                <w:szCs w:val="17"/>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500" w:type="dxa"/>
            <w:vAlign w:val="bottom"/>
          </w:tcPr>
          <w:p>
            <w:pPr>
              <w:spacing w:after="0"/>
              <w:rPr>
                <w:sz w:val="17"/>
                <w:szCs w:val="17"/>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500" w:type="dxa"/>
            <w:vAlign w:val="bottom"/>
          </w:tcPr>
          <w:p>
            <w:pPr>
              <w:spacing w:after="0"/>
              <w:rPr>
                <w:sz w:val="17"/>
                <w:szCs w:val="17"/>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500" w:type="dxa"/>
            <w:vAlign w:val="bottom"/>
          </w:tcPr>
          <w:p>
            <w:pPr>
              <w:spacing w:after="0"/>
              <w:rPr>
                <w:sz w:val="17"/>
                <w:szCs w:val="17"/>
                <w:color w:val="auto"/>
              </w:rPr>
            </w:pPr>
          </w:p>
        </w:tc>
      </w:tr>
      <w:tr>
        <w:trPr>
          <w:trHeight w:val="202"/>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 up through 2037</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735,671</w:t>
            </w:r>
          </w:p>
        </w:tc>
        <w:tc>
          <w:tcPr>
            <w:tcW w:w="4500" w:type="dxa"/>
            <w:vAlign w:val="bottom"/>
          </w:tcPr>
          <w:p>
            <w:pPr>
              <w:spacing w:after="0"/>
              <w:rPr>
                <w:sz w:val="17"/>
                <w:szCs w:val="17"/>
                <w:color w:val="auto"/>
              </w:rPr>
            </w:pPr>
          </w:p>
        </w:tc>
      </w:tr>
      <w:tr>
        <w:trPr>
          <w:trHeight w:val="21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Indefinite carryforwards</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2,436,242</w:t>
            </w:r>
          </w:p>
        </w:tc>
        <w:tc>
          <w:tcPr>
            <w:tcW w:w="4500" w:type="dxa"/>
            <w:vAlign w:val="bottom"/>
          </w:tcPr>
          <w:p>
            <w:pPr>
              <w:spacing w:after="0"/>
              <w:rPr>
                <w:sz w:val="18"/>
                <w:szCs w:val="18"/>
                <w:color w:val="auto"/>
              </w:rPr>
            </w:pPr>
          </w:p>
        </w:tc>
      </w:tr>
      <w:tr>
        <w:trPr>
          <w:trHeight w:val="207"/>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3,171,913</w:t>
            </w:r>
          </w:p>
        </w:tc>
        <w:tc>
          <w:tcPr>
            <w:tcW w:w="45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81"/>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85</w:t>
            </w:r>
          </w:p>
        </w:tc>
        <w:tc>
          <w:tcPr>
            <w:tcW w:w="8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Reinsurance, Commitments and Contingencies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Reinsurance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follows the procedure of reinsuring risks of more than a specified limit, which ranges from $25,000 to $100,000 on newly issued policies. The Company has also assumed various reinsurance agreements through acquisition of various life companies and has assets held in trust related to certain agreements. The Company is ultimately liable for these reinsured amounts in the event such reinsurers are unable to pay their portion of the claims. The Company evaluates the financial condition of reinsurers and monitors the concentration of credit risk. The Company had a significant concentration of credit risk with a single reinsurer of 94.4% and 94.0% of ceded life insurance in force as of December 31, 2024 and 2023, respectively. This represented approximately 7.8% and 8.8% of the Company’s total life insurance in force as of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life insurance in force and premiums for reinsurance are summarized as follows:</w:t>
      </w:r>
    </w:p>
    <w:p>
      <w:pPr>
        <w:sectPr>
          <w:pgSz w:w="11900" w:h="16838" w:orient="portrait"/>
          <w:cols w:equalWidth="0" w:num="1">
            <w:col w:w="11240"/>
          </w:cols>
          <w:pgMar w:left="320" w:top="6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2024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 Insurance in force ($000)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w w:val="96"/>
              </w:rPr>
              <w:t>Percentage</w:t>
            </w:r>
          </w:p>
        </w:tc>
      </w:tr>
      <w:tr>
        <w:trPr>
          <w:trHeight w:val="202"/>
        </w:trPr>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8"/>
              </w:rPr>
              <w:t>Ceded to</w:t>
            </w: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Assumed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w w:val="97"/>
              </w:rPr>
              <w:t>of Amount</w:t>
            </w:r>
          </w:p>
        </w:tc>
      </w:tr>
      <w:tr>
        <w:trPr>
          <w:trHeight w:val="214"/>
        </w:trPr>
        <w:tc>
          <w:tcPr>
            <w:tcW w:w="180" w:type="dxa"/>
            <w:vAlign w:val="bottom"/>
          </w:tcPr>
          <w:p>
            <w:pPr>
              <w:spacing w:after="0"/>
              <w:rPr>
                <w:sz w:val="18"/>
                <w:szCs w:val="18"/>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8"/>
              </w:rPr>
              <w:t>Direct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8"/>
              </w:rPr>
              <w:t>Other</w:t>
            </w: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from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Net</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rPr>
              <w:t>Assumed</w:t>
            </w:r>
          </w:p>
        </w:tc>
      </w:tr>
      <w:tr>
        <w:trPr>
          <w:trHeight w:val="218"/>
        </w:trPr>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7"/>
                <w:szCs w:val="17"/>
                <w:color w:val="auto"/>
              </w:rPr>
              <w:t>Amount</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9"/>
              </w:rPr>
              <w:t>Companies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color w:val="auto"/>
                <w:w w:val="99"/>
              </w:rPr>
              <w:t>Companies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Amount</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to Net</w:t>
            </w:r>
          </w:p>
        </w:tc>
        <w:tc>
          <w:tcPr>
            <w:tcW w:w="140" w:type="dxa"/>
            <w:vAlign w:val="bottom"/>
            <w:gridSpan w:val="2"/>
          </w:tcPr>
          <w:p>
            <w:pPr>
              <w:spacing w:after="0"/>
              <w:rPr>
                <w:sz w:val="18"/>
                <w:szCs w:val="18"/>
                <w:color w:val="auto"/>
              </w:rPr>
            </w:pPr>
          </w:p>
        </w:tc>
      </w:tr>
      <w:tr>
        <w:trPr>
          <w:trHeight w:val="421"/>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3,914,583</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325,189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33,088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3,622,482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-303530</wp:posOffset>
            </wp:positionV>
            <wp:extent cx="7141210" cy="135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720"/>
            <w:col w:w="7060"/>
          </w:cols>
          <w:pgMar w:left="320" w:top="653"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Premiums: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Insurance</w:t>
            </w:r>
          </w:p>
        </w:tc>
        <w:tc>
          <w:tcPr>
            <w:tcW w:w="1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121,392,765</w:t>
            </w:r>
          </w:p>
        </w:tc>
        <w:tc>
          <w:tcPr>
            <w:tcW w:w="6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2,142,678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217,701</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119,467,788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Accident and Health Insurance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187,957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premiums</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121,580,714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2,142,678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119,655,745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0" w:type="dxa"/>
            <w:vAlign w:val="bottom"/>
            <w:tcBorders>
              <w:bottom w:val="single" w:sz="8" w:color="auto"/>
            </w:tcBorders>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w w:val="88"/>
              </w:rPr>
              <w:t>2023</w:t>
            </w:r>
          </w:p>
        </w:tc>
        <w:tc>
          <w:tcPr>
            <w:tcW w:w="28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Life Insurance in force ($000)</w:t>
            </w:r>
          </w:p>
        </w:tc>
        <w:tc>
          <w:tcPr>
            <w:tcW w:w="11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3,517,812</w:t>
            </w:r>
          </w:p>
        </w:tc>
        <w:tc>
          <w:tcPr>
            <w:tcW w:w="62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333,211</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34,742</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3,219,343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Premiums: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Life Insurance</w:t>
            </w:r>
          </w:p>
        </w:tc>
        <w:tc>
          <w:tcPr>
            <w:tcW w:w="11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116,141,852</w:t>
            </w:r>
          </w:p>
        </w:tc>
        <w:tc>
          <w:tcPr>
            <w:tcW w:w="6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1,938,610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239,744</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114,442,986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Accident and Health Insurance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215,450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premiums</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116,357,294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1,938,610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114,658,436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Mortgage Loan Loss Settlements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Future loan losses can be extremely difficult to estimate. However, the Company believes that the Company’s reserve methodology and its current practice of property preservation allow it to estimate potential losses on loans sold. See Note 3 for additional information about the Company’s loan loss reserve.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Non-Cancelable 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leases office space and equipment under various non-cancelable agreements. See Note 23 regarding leases.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Reinsurance, Commitments and Contingencies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Contingencies and Commitments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commitments to fund existing construction and land development loans pursuant to the various loan agreements. As of December 31, 2024, the Company’s commitments were approximately $216,368,000 for these loans, of which $152,361,000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members.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a defendant in various other legal actions arising from the normal conduct of business. The Company believes that none of the actions, if adversely determined, will have a material effect on the Company’s financial position or results of operations. Based on the Company’s assessment and legal counsel’s representations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Retirement Plans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three 401(k) savings plans covering all eligible employees which include employer participation in accordance with the provisions of Section 401(k) of the Internal Revenue Code. The plans allow participants to make pretax contributions up to a maximum of $23,000 and $22,500 for the years 2024 and 2023, respectively or the statutory limits. The Company matched 100% of up to 3% of an employee’s total annual compensation and matched 50% of 4% to 5% of an employee’s annual compensation. The match was in Company stock. The Company’s contribution for 2024 and 2023 was $768,288 and $1,819,275, respectively under the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a Non-Qualified Deferred Compensation Plan.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2024 and 2023.</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June 2024, the Board members approved a motion to extend the Chief Executive Officer’s employment agreement, dated December 4, 2012, for an additional six-year term ending December 31, 2030. In the event of disability, the Chief Executive Officer’s salary would be continued for up to five years at 75% of its current level of compensation. In the event of a sale or merger of the Company and the Chief Executive Officer is not retained in his current position, the Company would be obligated to continue paying the Chief Executive Officer’s current compensation and benefits for seven years following the merger or sale. The agreement further provides that the Chief Executive Officer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If the Chief Executive Officer dies prior to receiving all retirement benefits thereunder, the remaining benefits are to be paid to his heirs. The Company adjusted the accrual by $340,557 and nil during 2024 and 2023, respectively, to cover the present value of anticipated retirement benefits under the employment agreement. The liability accrued was $7,215,806 and $7,556,363 as of December 31, 2024 and 2023, respectively.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If this individual dies prior to receiving all his retirement benefits under his employment agreement, the remaining benefits will be made to his heirs. The company has paid monthly installments that equal an annual payment of $133,843 to this individual each year since 2016. The liability accrued was $133,843 and $267,686 as of December 31, 2024 and 2023, respectively and is included in other liabilities and accrued expenses on the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one class of preferred stock of $1.00 par value, 5,000,000 shares authorized, of which none are issued. The preferred stock is non-voting.</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one-to-one ratio.</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Stockholders of both Class A and Class C Common Stock have received 5% stock dividends in the years 1990 through 2019, a 7.5% stock dividend in the year 2020, and a 5% stock dividend in the years 2021 through 2024, as authorized by the Company’s Board of Directors.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ectPr>
          <w:pgSz w:w="11900" w:h="16838" w:orient="portrait"/>
          <w:cols w:equalWidth="0" w:num="1">
            <w:col w:w="11240"/>
          </w:cols>
          <w:pgMar w:left="320" w:top="653"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activity in shares of capital stock.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shares at December 31, 2022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5708015" cy="152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8015" cy="152400"/>
                    </a:xfrm>
                    <a:prstGeom prst="rect">
                      <a:avLst/>
                    </a:prstGeom>
                    <a:noFill/>
                  </pic:spPr>
                </pic:pic>
              </a:graphicData>
            </a:graphic>
          </wp:anchor>
        </w:drawing>
      </w: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5708015"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8015" cy="128270"/>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Vesting of restricted stock units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Conversion of Class C to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5708015" cy="135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8015" cy="135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shares at December 31,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5708015" cy="152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8015" cy="152400"/>
                    </a:xfrm>
                    <a:prstGeom prst="rect">
                      <a:avLst/>
                    </a:prstGeom>
                    <a:noFill/>
                  </pic:spPr>
                </pic:pic>
              </a:graphicData>
            </a:graphic>
          </wp:anchor>
        </w:drawing>
      </w: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5708015"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8015" cy="128270"/>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Vesting of restricted stock units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Conversion of Class C to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5708015" cy="135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08015" cy="135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shares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5708015" cy="152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08015" cy="152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198755</wp:posOffset>
            </wp:positionV>
            <wp:extent cx="17856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Class A</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Class C</w:t>
            </w:r>
          </w:p>
        </w:tc>
      </w:tr>
      <w:tr>
        <w:trPr>
          <w:trHeight w:val="207"/>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20,712,892</w:t>
            </w:r>
          </w:p>
        </w:tc>
        <w:tc>
          <w:tcPr>
            <w:tcW w:w="2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3,180,031</w:t>
            </w:r>
          </w:p>
        </w:tc>
        <w:tc>
          <w:tcPr>
            <w:tcW w:w="60" w:type="dxa"/>
            <w:vAlign w:val="bottom"/>
          </w:tcPr>
          <w:p>
            <w:pPr>
              <w:spacing w:after="0"/>
              <w:rPr>
                <w:sz w:val="18"/>
                <w:szCs w:val="18"/>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5"/>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279,177</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r>
      <w:tr>
        <w:trPr>
          <w:trHeight w:val="202"/>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1,215</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31"/>
        </w:trPr>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59,599</w:t>
            </w: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(59,599)</w:t>
            </w:r>
          </w:p>
        </w:tc>
      </w:tr>
      <w:tr>
        <w:trPr>
          <w:trHeight w:val="421"/>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21,052,883</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3,120,432</w:t>
            </w:r>
          </w:p>
        </w:tc>
        <w:tc>
          <w:tcPr>
            <w:tcW w:w="6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5"/>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200,072</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201,667</w:t>
            </w:r>
          </w:p>
        </w:tc>
      </w:tr>
      <w:tr>
        <w:trPr>
          <w:trHeight w:val="202"/>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1,785</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31"/>
        </w:trPr>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421"/>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21,255,006</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3,321,833</w:t>
            </w:r>
          </w:p>
        </w:tc>
        <w:tc>
          <w:tcPr>
            <w:tcW w:w="6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60" w:space="720"/>
            <w:col w:w="5660"/>
          </w:cols>
          <w:pgMar w:left="320" w:top="653" w:right="339" w:bottom="1440" w:gutter="0" w:footer="0" w:header="0"/>
          <w:type w:val="continuous"/>
        </w:sectPr>
      </w:pP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 Adjusted retroactively for the effect of annual stock dividends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Stock</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Earnings per share amounts have been retroactively adjusted for the effect of annual stock dividends. In accordance with GAAP, the basic and diluted earnings per share amounts were calculated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color w:val="auto"/>
              </w:rPr>
              <w:t>Years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Numerator:</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26,535,768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14,495,058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5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Denominator:</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Denominator for basic earnings per share-weighted-average shares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23,314,643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23,189,418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Employee stock options</w:t>
            </w:r>
          </w:p>
        </w:tc>
        <w:tc>
          <w:tcPr>
            <w:tcW w:w="3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660,835</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623,906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Dilutive potential common shares</w:t>
            </w: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660,865</w:t>
            </w:r>
          </w:p>
        </w:tc>
        <w:tc>
          <w:tcPr>
            <w:tcW w:w="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623,906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Denominator for diluted earnings per share-adjusted weighted-average shares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and assumed conversions</w:t>
            </w:r>
          </w:p>
        </w:tc>
        <w:tc>
          <w:tcPr>
            <w:tcW w:w="3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23,975,508</w:t>
            </w:r>
          </w:p>
        </w:tc>
        <w:tc>
          <w:tcPr>
            <w:tcW w:w="34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23,813,324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5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1.14</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6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Diluted earnings per share</w:t>
            </w:r>
          </w:p>
        </w:tc>
        <w:tc>
          <w:tcPr>
            <w:tcW w:w="340" w:type="dxa"/>
            <w:vAlign w:val="bottom"/>
            <w:tcBorders>
              <w:top w:val="single" w:sz="8" w:color="auto"/>
              <w:bottom w:val="single" w:sz="8" w:color="auto"/>
            </w:tcBorders>
            <w:shd w:val="clear" w:color="auto" w:fill="CCEEFF"/>
          </w:tcPr>
          <w:p>
            <w:pPr>
              <w:jc w:val="right"/>
              <w:ind w:right="156"/>
              <w:spacing w:after="0" w:line="180"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1.11</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2024 and 2023, there were 363,700 and nil of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Compensation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equity incentive plans (the “2013 Plan”, the “2014 Director Plan” and the “2022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 based compensation expense for stock options issued of $794,654 and $601,058 has been recognized under these plans for 2024 and 2023, respectively, and is included in personnel expenses on the consolidated statements of earnings. As of December 31, 2024, the total unrecognized compensation expense related to the stock options issued was $1,096,891, which is expected to be recognized over the remaining vesting period.</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fair value of each stock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assumptions used in estimating the fair value of each stock option granted along with the weighted-average fair value of the stock options granted.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7"/>
                <w:szCs w:val="17"/>
                <w:color w:val="auto"/>
                <w:w w:val="97"/>
              </w:rPr>
              <w:t>Weighted-</w:t>
            </w: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9"/>
              </w:rPr>
              <w:t>Assumptions</w:t>
            </w: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center"/>
              <w:ind w:right="160"/>
              <w:spacing w:after="0" w:line="178" w:lineRule="exact"/>
              <w:rPr>
                <w:sz w:val="20"/>
                <w:szCs w:val="20"/>
                <w:color w:val="auto"/>
              </w:rPr>
            </w:pPr>
            <w:r>
              <w:rPr>
                <w:rFonts w:ascii="Times New Roman" w:cs="Times New Roman" w:eastAsia="Times New Roman" w:hAnsi="Times New Roman"/>
                <w:sz w:val="17"/>
                <w:szCs w:val="17"/>
                <w:color w:val="auto"/>
                <w:w w:val="97"/>
              </w:rPr>
              <w:t>Weighted-</w:t>
            </w:r>
          </w:p>
        </w:tc>
        <w:tc>
          <w:tcPr>
            <w:tcW w:w="7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7"/>
                <w:szCs w:val="17"/>
                <w:color w:val="auto"/>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Average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Average</w:t>
            </w:r>
          </w:p>
        </w:tc>
        <w:tc>
          <w:tcPr>
            <w:tcW w:w="6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w w:val="96"/>
              </w:rPr>
              <w:t>Fair Value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Underlying</w:t>
            </w:r>
          </w:p>
        </w:tc>
        <w:tc>
          <w:tcPr>
            <w:tcW w:w="1980" w:type="dxa"/>
            <w:vAlign w:val="bottom"/>
            <w:gridSpan w:val="6"/>
          </w:tcPr>
          <w:p>
            <w:pPr>
              <w:jc w:val="right"/>
              <w:ind w:right="220"/>
              <w:spacing w:after="0"/>
              <w:rPr>
                <w:sz w:val="20"/>
                <w:szCs w:val="20"/>
                <w:color w:val="auto"/>
              </w:rPr>
            </w:pPr>
            <w:r>
              <w:rPr>
                <w:rFonts w:ascii="Times New Roman" w:cs="Times New Roman" w:eastAsia="Times New Roman" w:hAnsi="Times New Roman"/>
                <w:sz w:val="17"/>
                <w:szCs w:val="17"/>
                <w:color w:val="auto"/>
              </w:rPr>
              <w:t>Weighted-   Risk-Free</w:t>
            </w:r>
          </w:p>
        </w:tc>
        <w:tc>
          <w:tcPr>
            <w:tcW w:w="6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Expected</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9"/>
              </w:rPr>
              <w:t>of Each</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3"/>
              </w:rPr>
              <w:t>Average</w:t>
            </w:r>
          </w:p>
        </w:tc>
        <w:tc>
          <w:tcPr>
            <w:tcW w:w="4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Interest</w:t>
            </w:r>
          </w:p>
        </w:tc>
        <w:tc>
          <w:tcPr>
            <w:tcW w:w="6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Life</w:t>
            </w:r>
          </w:p>
        </w:tc>
        <w:tc>
          <w:tcPr>
            <w:tcW w:w="0" w:type="dxa"/>
            <w:vAlign w:val="bottom"/>
          </w:tcPr>
          <w:p>
            <w:pPr>
              <w:spacing w:after="0"/>
              <w:rPr>
                <w:sz w:val="1"/>
                <w:szCs w:val="1"/>
                <w:color w:val="auto"/>
              </w:rPr>
            </w:pPr>
          </w:p>
        </w:tc>
      </w:tr>
      <w:tr>
        <w:trPr>
          <w:trHeight w:val="218"/>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Grant Date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Plan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w w:val="97"/>
              </w:rPr>
              <w:t>Option</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Yield (1)</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FMV</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Volatility</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Rate</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(years)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December 26, 2024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All Plans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38.41%</w:t>
            </w:r>
          </w:p>
        </w:tc>
        <w:tc>
          <w:tcPr>
            <w:tcW w:w="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4.38%</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December 6, 2024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All Plans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13.08</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38.17%</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5.12</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January 12, 2024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All Plans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8.35</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37.51%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January 8, 2024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All Plans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2.16</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8.93</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37.50%</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3.93%</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December 1, 2023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All Plans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7.99</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36.76%</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4.14%</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January 30, 2023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All Plans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1.65</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7.10</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36.73%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3.64%</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January 18, 2023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All Plans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7.37</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36.79%</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11" w:lineRule="exact"/>
        <w:rPr>
          <w:sz w:val="20"/>
          <w:szCs w:val="20"/>
          <w:color w:val="auto"/>
        </w:rPr>
      </w:pPr>
    </w:p>
    <w:p>
      <w:pPr>
        <w:ind w:left="320" w:hanging="230"/>
        <w:spacing w:after="0"/>
        <w:tabs>
          <w:tab w:leader="none" w:pos="320" w:val="left"/>
        </w:tabs>
        <w:numPr>
          <w:ilvl w:val="0"/>
          <w:numId w:val="7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Stock dividend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Compensation Plans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activity of the stock option plans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60" w:type="dxa"/>
            <w:vAlign w:val="bottom"/>
          </w:tcPr>
          <w:p>
            <w:pPr>
              <w:spacing w:after="0"/>
              <w:rPr>
                <w:sz w:val="17"/>
                <w:szCs w:val="17"/>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Number of</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w:t>
            </w: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Number of</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Weighted Average</w:t>
            </w:r>
          </w:p>
        </w:tc>
        <w:tc>
          <w:tcPr>
            <w:tcW w:w="0" w:type="dxa"/>
            <w:vAlign w:val="bottom"/>
          </w:tcPr>
          <w:p>
            <w:pPr>
              <w:spacing w:after="0"/>
              <w:rPr>
                <w:sz w:val="1"/>
                <w:szCs w:val="1"/>
                <w:color w:val="auto"/>
              </w:rPr>
            </w:pPr>
          </w:p>
        </w:tc>
      </w:tr>
      <w:tr>
        <w:trPr>
          <w:trHeight w:val="218"/>
        </w:trPr>
        <w:tc>
          <w:tcPr>
            <w:tcW w:w="38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Class A Shares</w:t>
            </w:r>
          </w:p>
        </w:tc>
        <w:tc>
          <w:tcPr>
            <w:tcW w:w="3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Exercise Price (2)</w:t>
            </w:r>
          </w:p>
        </w:tc>
        <w:tc>
          <w:tcPr>
            <w:tcW w:w="3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Class C Shares</w:t>
            </w:r>
          </w:p>
        </w:tc>
        <w:tc>
          <w:tcPr>
            <w:tcW w:w="3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Exercise Price (2)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January 1, 2023</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976,605</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1,157,203</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Adjustment for the effect of stock dividends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860" w:type="dxa"/>
            <w:vAlign w:val="bottom"/>
            <w:vMerge w:val="continue"/>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38,266</w:t>
            </w:r>
          </w:p>
        </w:tc>
        <w:tc>
          <w:tcPr>
            <w:tcW w:w="3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57,859</w:t>
            </w:r>
          </w:p>
        </w:tc>
        <w:tc>
          <w:tcPr>
            <w:tcW w:w="3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106,500</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305,000</w:t>
            </w: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(286,965)</w:t>
            </w: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Cancelled</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(836)</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653" w:right="339" w:bottom="1440" w:gutter="0" w:footer="0" w:header="0"/>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at December 31, 2023</w:t>
      </w: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Adjustment for the effect of stock dividends</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Granted</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Exercised</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Cancelled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833,570</w:t>
            </w:r>
          </w:p>
        </w:tc>
        <w:tc>
          <w:tcPr>
            <w:tcW w:w="160" w:type="dxa"/>
            <w:vAlign w:val="bottom"/>
          </w:tcPr>
          <w:p>
            <w:pPr>
              <w:spacing w:after="0"/>
              <w:rPr>
                <w:sz w:val="19"/>
                <w:szCs w:val="19"/>
                <w:color w:val="auto"/>
              </w:rPr>
            </w:pPr>
          </w:p>
        </w:tc>
        <w:tc>
          <w:tcPr>
            <w:tcW w:w="68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4.91</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1,520,062</w:t>
            </w:r>
          </w:p>
        </w:tc>
        <w:tc>
          <w:tcPr>
            <w:tcW w:w="160" w:type="dxa"/>
            <w:vAlign w:val="bottom"/>
          </w:tcPr>
          <w:p>
            <w:pPr>
              <w:spacing w:after="0"/>
              <w:rPr>
                <w:sz w:val="19"/>
                <w:szCs w:val="19"/>
                <w:color w:val="auto"/>
              </w:rPr>
            </w:pPr>
          </w:p>
        </w:tc>
        <w:tc>
          <w:tcPr>
            <w:tcW w:w="6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2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38,724</w:t>
            </w:r>
          </w:p>
        </w:tc>
        <w:tc>
          <w:tcPr>
            <w:tcW w:w="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76,005</w:t>
            </w:r>
          </w:p>
        </w:tc>
        <w:tc>
          <w:tcPr>
            <w:tcW w:w="1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59,200</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330,000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(267,491)</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(201,667)</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(17,409)</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-687705</wp:posOffset>
            </wp:positionV>
            <wp:extent cx="6421120" cy="152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1120" cy="1524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-391160</wp:posOffset>
            </wp:positionV>
            <wp:extent cx="6421120"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21120" cy="12827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-135255</wp:posOffset>
            </wp:positionV>
            <wp:extent cx="6421120" cy="144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21120"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380"/>
          </w:cols>
          <w:pgMar w:left="320" w:top="653"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646,594</w:t>
            </w:r>
          </w:p>
        </w:tc>
        <w:tc>
          <w:tcPr>
            <w:tcW w:w="70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5.93</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1,724,400</w:t>
            </w:r>
          </w:p>
        </w:tc>
        <w:tc>
          <w:tcPr>
            <w:tcW w:w="7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at end of year</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599,769</w:t>
            </w:r>
          </w:p>
        </w:tc>
        <w:tc>
          <w:tcPr>
            <w:tcW w:w="70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5.42</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1,394,400</w:t>
            </w:r>
          </w:p>
        </w:tc>
        <w:tc>
          <w:tcPr>
            <w:tcW w:w="7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Available options for future grant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79,281</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146,238</w:t>
            </w: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Weighted average contractual term of options</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5.55 years</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6.71 years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Weighted average contractual term of options</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at December 31, 2024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5.36 years</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6.05 years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Aggregated intrinsic value of options outstanding at</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2024 (1)</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3,944,715</w:t>
            </w:r>
          </w:p>
        </w:tc>
        <w:tc>
          <w:tcPr>
            <w:tcW w:w="7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8,269,398</w:t>
            </w: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Aggregated intrinsic value of options exercisable at</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2024 (1)</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3,962,435</w:t>
            </w:r>
          </w:p>
        </w:tc>
        <w:tc>
          <w:tcPr>
            <w:tcW w:w="7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8,652,316</w:t>
            </w: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ind w:left="320" w:hanging="263"/>
        <w:spacing w:after="0"/>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used a stock price of $12.03 as of December 31, 2024 to derive intrinsic value.</w:t>
      </w:r>
    </w:p>
    <w:p>
      <w:pPr>
        <w:spacing w:after="0" w:line="22"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for the effect of annual stock dividends.</w:t>
      </w:r>
    </w:p>
    <w:p>
      <w:pPr>
        <w:spacing w:after="0" w:line="29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total intrinsic value (which is the amount by which the fair value of the underlying stock exceeds the exercise price of an option on the exercise date) of stock options exercised during 2024 and 2023 was $3,104,163 and $657,354, respectively.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Compensation Plans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 (“RSUs”)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 based compensation expense for RSUs issued of $6,166 and $304 has been recognized under these plans for the 2024 and 2023, respectively, and is included in personnel expenses on the consolidated statements of earnings. As of December 31, 2024, the total unrecognized compensation expense related to the RSUs issued was $37,299, which is expected to be recognized over the remaining vesting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activity of the RSUs is summarized as follows:</w:t>
            </w: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Number of</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Weighted Average</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Class A Shares</w:t>
            </w:r>
          </w:p>
        </w:tc>
        <w:tc>
          <w:tcPr>
            <w:tcW w:w="2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w w:val="97"/>
              </w:rPr>
              <w:t>Grant Date Fair Value</w:t>
            </w:r>
          </w:p>
        </w:tc>
        <w:tc>
          <w:tcPr>
            <w:tcW w:w="100" w:type="dxa"/>
            <w:vAlign w:val="bottom"/>
            <w:tcBorders>
              <w:bottom w:val="single" w:sz="8" w:color="CCEEFF"/>
            </w:tcBorders>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January 1, 2023</w:t>
            </w:r>
          </w:p>
        </w:tc>
        <w:tc>
          <w:tcPr>
            <w:tcW w:w="2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Borders>
              <w:top w:val="single" w:sz="8" w:color="CCEEFF"/>
              <w:bottom w:val="single" w:sz="8" w:color="CCEEFF"/>
            </w:tcBorders>
            <w:vMerge w:val="restart"/>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1,840</w:t>
            </w:r>
          </w:p>
        </w:tc>
        <w:tc>
          <w:tcPr>
            <w:tcW w:w="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2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(1,215)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2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2,245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2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12,353</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28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(1,785)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28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12,813</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12.90</w:t>
            </w: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4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Available RSUs for future grant</w:t>
            </w:r>
          </w:p>
        </w:tc>
        <w:tc>
          <w:tcPr>
            <w:tcW w:w="10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1336"/>
              <w:spacing w:after="0"/>
              <w:rPr>
                <w:sz w:val="20"/>
                <w:szCs w:val="20"/>
                <w:color w:val="auto"/>
              </w:rPr>
            </w:pPr>
            <w:r>
              <w:rPr>
                <w:rFonts w:ascii="Times New Roman" w:cs="Times New Roman" w:eastAsia="Times New Roman" w:hAnsi="Times New Roman"/>
                <w:sz w:val="17"/>
                <w:szCs w:val="17"/>
                <w:color w:val="auto"/>
              </w:rPr>
              <w:t>93</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Statutory Financial Information and Dividend Limitations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insurance subsidiaries are also required to prepare statutory-basis financial statements in conformity with accounting practices prescribed or permitted by the insurance department of the applicable state of domicile. The prescribed statutory accounting practices include the Accounting Practices and Procedures Manual of the NAIC, a variety of publications of the NAIC, as well as state laws, regulations, and general administrative rules. Statutory accounting practices differ from GAAP primarily since they require expensing policy acquisition and certain sales inducement costs as incurred, establishing life insurance reserves based on different actuarial assumptions, applying different valuing methods for certain investments and accounting for deferred taxes on a different basis.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statutory net income and capital and surplus of the Company’s insurance subsidiaries, determined in accordance with statutory accounting practices prescribed by insurance regulatory authorities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center"/>
              <w:ind w:left="496"/>
              <w:spacing w:after="0"/>
              <w:rPr>
                <w:sz w:val="20"/>
                <w:szCs w:val="20"/>
                <w:color w:val="auto"/>
              </w:rPr>
            </w:pPr>
            <w:r>
              <w:rPr>
                <w:rFonts w:ascii="Times New Roman" w:cs="Times New Roman" w:eastAsia="Times New Roman" w:hAnsi="Times New Roman"/>
                <w:sz w:val="17"/>
                <w:szCs w:val="17"/>
                <w:color w:val="auto"/>
                <w:w w:val="99"/>
              </w:rPr>
              <w:t>Statutory Net Income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color w:val="auto"/>
              </w:rPr>
              <w:t>Statutory Capital and Surplus</w:t>
            </w:r>
          </w:p>
        </w:tc>
      </w:tr>
      <w:tr>
        <w:trPr>
          <w:trHeight w:val="218"/>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5"/>
          </w:tcPr>
          <w:p>
            <w:pPr>
              <w:jc w:val="center"/>
              <w:ind w:right="500"/>
              <w:spacing w:after="0"/>
              <w:rPr>
                <w:sz w:val="20"/>
                <w:szCs w:val="20"/>
                <w:color w:val="auto"/>
              </w:rPr>
            </w:pPr>
            <w:r>
              <w:rPr>
                <w:rFonts w:ascii="Times New Roman" w:cs="Times New Roman" w:eastAsia="Times New Roman" w:hAnsi="Times New Roman"/>
                <w:sz w:val="17"/>
                <w:szCs w:val="17"/>
                <w:color w:val="auto"/>
                <w:w w:val="97"/>
              </w:rPr>
              <w:t>Years Ended December 31,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December 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93"/>
              </w:rPr>
              <w:t>2023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4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Amounts by insurance subsidiary:</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Security National Life Insurance Company</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9,618,883</w:t>
            </w:r>
          </w:p>
        </w:tc>
        <w:tc>
          <w:tcPr>
            <w:tcW w:w="340" w:type="dxa"/>
            <w:vAlign w:val="bottom"/>
          </w:tcPr>
          <w:p>
            <w:pPr>
              <w:spacing w:after="0"/>
              <w:rPr>
                <w:sz w:val="17"/>
                <w:szCs w:val="17"/>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7,419,511</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87,559,495</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76,330,794</w:t>
            </w:r>
          </w:p>
        </w:tc>
      </w:tr>
      <w:tr>
        <w:trPr>
          <w:trHeight w:val="20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Kilpatrick Life Insurance Company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2,749,370</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2,967,779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21,419,520</w:t>
            </w:r>
          </w:p>
        </w:tc>
        <w:tc>
          <w:tcPr>
            <w:tcW w:w="4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20,535,591</w:t>
            </w: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First Guaranty Insurance Company</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1,336,977</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958,497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9,140,283</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8,427,355</w:t>
            </w:r>
          </w:p>
        </w:tc>
        <w:tc>
          <w:tcPr>
            <w:tcW w:w="100" w:type="dxa"/>
            <w:vAlign w:val="bottom"/>
          </w:tcPr>
          <w:p>
            <w:pPr>
              <w:spacing w:after="0"/>
              <w:rPr>
                <w:sz w:val="17"/>
                <w:szCs w:val="17"/>
                <w:color w:val="auto"/>
              </w:rPr>
            </w:pPr>
          </w:p>
        </w:tc>
      </w:tr>
      <w:tr>
        <w:trPr>
          <w:trHeight w:val="20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Southern Security Life Insurance Company, Inc.</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1,584,583</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1,578,322</w:t>
            </w:r>
          </w:p>
        </w:tc>
        <w:tc>
          <w:tcPr>
            <w:tcW w:w="100" w:type="dxa"/>
            <w:vAlign w:val="bottom"/>
            <w:shd w:val="clear" w:color="auto" w:fill="CCEEFF"/>
          </w:tcPr>
          <w:p>
            <w:pPr>
              <w:spacing w:after="0"/>
              <w:rPr>
                <w:sz w:val="17"/>
                <w:szCs w:val="17"/>
                <w:color w:val="auto"/>
              </w:rPr>
            </w:pP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Trans-Western Life Insurance Company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512,612</w:t>
            </w:r>
          </w:p>
        </w:tc>
        <w:tc>
          <w:tcPr>
            <w:tcW w:w="4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512,570</w:t>
            </w:r>
          </w:p>
        </w:tc>
      </w:tr>
      <w:tr>
        <w:trPr>
          <w:trHeight w:val="207"/>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13,705,295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11,345,837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120,216,493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107,384,632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State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2024. The Company does not have any guarantees to maintain the capital and surplus of any affiliates except for the Company’s agreement to provide additional capital to Security National Life Insurance Company in the event risk-based capital drops below 350% of the authorized control level.</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Statutory Financial Information and Dividend Limitations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Under the Utah Insurance Code, Security National Life Insurance Company is permitted to pay stockholder dividends, or otherwise make distributions, to the Company subject to certain limitations. Security National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Utah law and Security National Life Insurance Company would be required to file notice of its intention to declare such a dividend or make such a distribution with the Utah Commissioner and the Utah Commissioner must either approve the distribution or dividend or not disapprove the dividend or distribution within 30 days’ of the notice filing. Based on Security National Life Insurance Company’s surplus held for policyholders and net gain from operations as of December 31, 2024, the maximum aggregate amount of dividends and distributions that it could pay or make in 2024 and which would not constitute an “extraordinary” dividend or distribution under Utah law and would therefore not require notice and approval or lack of disproval from the Utah Commissioner, would be approximately $7,358,000.</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Under the Louisiana Insurance Code, First Guaranty Insurance Company and Kilpatrick Life Insurance Company are permitted to pay stockholder dividends, or otherwise make distributions, to the Company subject to certain limitations. First Guaranty Insurance Company and Kilpatrick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Louisiana law and First Guaranty Insurance Company and Kilpatrick Life Insurance Company would be required to file notice of its intention to declare such a dividend or make such a distribution with the Louisiana Commissioner and the Louisiana Commissioner must either approve the distribution or dividend or not disapprove the dividend or distribution within 30 days’ of the notice filing. Based on First Guaranty Insurance Company’s and Kilpatrick Life Insurance Company’s surplus held for policyholders and net gain from operations as of December 31, 2024, the maximum aggregate amount of dividends and distributions that it could pay or make in 2024 and which would not constitute an “extraordinary” dividend or distribution under Louisiana law and would therefore not require notice and approval or lack of disproval from the Louisiana Commissioner, would be approximately $742,000 for First Guaranty Insurance Company and $1,974,000 for Kilpatrick Life Insurance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Segment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 regarding the adoption of ASU 2023-07.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Products and Services by Segment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has three operating and reportable business segments: life insurance, cemetery and mortuary, and mortgage. The Company’s life insurance segment’s revenue consists of life insurance premiums, fees earned on factored life insurance policies and net investment income derived from investing policyholder and surplus funds. Its expenses include operating expenses to collect insurance premiums and insurance policy receivables, administer claims, and commissions related to the sale of insurance products sold by the Company’s independent agency force. The Company’s cemetery and mortuary segment’s revenue consists of fees from the sale of at-need cemetery and mortuary merchandise, services at its mortuaries and cemeteries, pre-need sales of cemetery spaces after collection of 10% or more of the purchase price and the net investment income from investing surplus cash. Its expenses include operating expenses to maintain mortuary and cemetery operations and commissions related to the sale of insurance products sold by the Company’s agents. The Company’s mortgage segment’s revenue consists of residential mortgage origination fee income and mortgage interest income. Its expenses include normal operating expenses related to the origination and sale of residential mortgage loans, loan servicing and warehouse interest and fee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Services and Cost Sharing Policies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accounting policies of the Company’s operating and reportable segments are the same as those described in the Significant Accounting Principles.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Management Used to Identify the Company’s Operating and Reportable Segments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operating and reportable segments are business units that are managed separately due to the different products provided and the need to report separately to the various regulatory jurisdictions.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Chief Operating Decision Maker (“CODM”)</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 over month and year over 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15) Business Segment Information (Continued)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540"/>
              <w:spacing w:after="0" w:line="191" w:lineRule="exact"/>
              <w:rPr>
                <w:sz w:val="20"/>
                <w:szCs w:val="20"/>
                <w:color w:val="auto"/>
              </w:rPr>
            </w:pPr>
            <w:r>
              <w:rPr>
                <w:rFonts w:ascii="Times New Roman" w:cs="Times New Roman" w:eastAsia="Times New Roman" w:hAnsi="Times New Roman"/>
                <w:sz w:val="17"/>
                <w:szCs w:val="17"/>
                <w:color w:val="auto"/>
                <w:w w:val="98"/>
              </w:rPr>
              <w:t>Life</w:t>
            </w:r>
          </w:p>
        </w:tc>
        <w:tc>
          <w:tcPr>
            <w:tcW w:w="180" w:type="dxa"/>
            <w:vAlign w:val="bottom"/>
          </w:tcPr>
          <w:p>
            <w:pPr>
              <w:spacing w:after="0"/>
              <w:rPr>
                <w:sz w:val="16"/>
                <w:szCs w:val="16"/>
                <w:color w:val="auto"/>
              </w:rPr>
            </w:pPr>
          </w:p>
        </w:tc>
        <w:tc>
          <w:tcPr>
            <w:tcW w:w="14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7"/>
                <w:szCs w:val="17"/>
                <w:color w:val="auto"/>
              </w:rPr>
              <w:t>Cemetery/</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9"/>
              </w:rPr>
              <w:t>Insurance</w:t>
            </w:r>
          </w:p>
        </w:tc>
        <w:tc>
          <w:tcPr>
            <w:tcW w:w="1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Mortuary</w:t>
            </w:r>
          </w:p>
        </w:tc>
        <w:tc>
          <w:tcPr>
            <w:tcW w:w="200" w:type="dxa"/>
            <w:vAlign w:val="bottom"/>
          </w:tcPr>
          <w:p>
            <w:pPr>
              <w:spacing w:after="0"/>
              <w:rPr>
                <w:sz w:val="18"/>
                <w:szCs w:val="18"/>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external sources: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from external customers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119,655,745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29,037,173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107,558,640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256,251,558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68,254,989</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2,568,511</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901,749</w:t>
            </w: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71,725,249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(losses) on investments and other assets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2,054,994</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873,166</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(986,262)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1,563,812</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543,354</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2,496,797</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4,603,963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Intersegment revenues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7,272,110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340,933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573,449</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8,186,492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gridSpan w:val="3"/>
          </w:tcPr>
          <w:p>
            <w:pPr>
              <w:spacing w:after="0" w:line="194" w:lineRule="exact"/>
              <w:rPr>
                <w:sz w:val="20"/>
                <w:szCs w:val="20"/>
                <w:color w:val="auto"/>
              </w:rPr>
            </w:pPr>
            <w:r>
              <w:rPr>
                <w:rFonts w:ascii="Times New Roman" w:cs="Times New Roman" w:eastAsia="Times New Roman" w:hAnsi="Times New Roman"/>
                <w:sz w:val="17"/>
                <w:szCs w:val="17"/>
                <w:color w:val="auto"/>
              </w:rPr>
              <w:t>Total segment revenues</w:t>
            </w: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198,801,650</w:t>
            </w:r>
          </w:p>
        </w:tc>
        <w:tc>
          <w:tcPr>
            <w:tcW w:w="3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33,363,137</w:t>
            </w:r>
          </w:p>
        </w:tc>
        <w:tc>
          <w:tcPr>
            <w:tcW w:w="3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110,544,373</w:t>
            </w:r>
          </w:p>
        </w:tc>
        <w:tc>
          <w:tcPr>
            <w:tcW w:w="3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342,709,160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Elimination of intersegment 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(8,186,492)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consolidated revenues</w:t>
            </w:r>
          </w:p>
        </w:tc>
        <w:tc>
          <w:tcPr>
            <w:tcW w:w="1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334,522,668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Death benefits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58,116,837</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Surrenders and other policy benefits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4,584,763</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Increase in future policy benefits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36,253,859</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Amortization of deferred policy and pre-need acquisition costs and value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of business acquired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15,162,995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777,376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Commissions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3,809,118</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1,564,426</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41,599,365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Personnel</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30,396,560</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10,215,565</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44,472,677</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466,821</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568,597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2,079,702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Rent and rent related</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434,604</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158,950</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4,553,515</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on property and equipment</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923,365</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830,855</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629,401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Cost related to funding mortgage loans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6,134,709</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Data processing and IT related (1)</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847,845</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240,946</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3,453,741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Premium taxes on insurance premiums and other considerations (1)</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3,067,467</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segment items (1)(2)</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8,640,857</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4,975,269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6,401,085</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Intersegment expenses (3)</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913,279</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365,635</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6,907,578</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3,727,514</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827</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525,759</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Costs of goods and services sold-mortuaries and cemeteries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4,803,528</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6,604,520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2,227,353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(1,263,871)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gridSpan w:val="3"/>
          </w:tcPr>
          <w:p>
            <w:pPr>
              <w:spacing w:after="0" w:line="194" w:lineRule="exact"/>
              <w:rPr>
                <w:sz w:val="20"/>
                <w:szCs w:val="20"/>
                <w:color w:val="auto"/>
              </w:rPr>
            </w:pPr>
            <w:r>
              <w:rPr>
                <w:rFonts w:ascii="Times New Roman" w:cs="Times New Roman" w:eastAsia="Times New Roman" w:hAnsi="Times New Roman"/>
                <w:sz w:val="17"/>
                <w:szCs w:val="17"/>
                <w:color w:val="auto"/>
              </w:rPr>
              <w:t>Segment net earnings (loss)</w:t>
            </w:r>
          </w:p>
        </w:tc>
        <w:tc>
          <w:tcPr>
            <w:tcW w:w="18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24,851,246</w:t>
            </w:r>
          </w:p>
        </w:tc>
        <w:tc>
          <w:tcPr>
            <w:tcW w:w="3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6,633,810</w:t>
            </w:r>
          </w:p>
        </w:tc>
        <w:tc>
          <w:tcPr>
            <w:tcW w:w="3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(4,949,288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26,535,768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26,535,768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Segment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1,396,093,195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101,524,343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85,174,812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1,582,792,350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Elimination of intersegment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(92,985,136)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consolidated assets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1,489,807,214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Expenditures for long-lived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52,414,507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2,185,269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219,054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54,818,830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line="274" w:lineRule="auto"/>
        <w:tabs>
          <w:tab w:leader="none" w:pos="3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consolidated statements of earnings. Data processing and IT related expenses includes various software subscriptions, maintenance, consulting, support and storage fees.</w:t>
      </w:r>
    </w:p>
    <w:p>
      <w:pPr>
        <w:spacing w:after="0" w:line="158"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other segment items includes:</w:t>
      </w:r>
    </w:p>
    <w:p>
      <w:pPr>
        <w:spacing w:after="0" w:line="30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Life Insurance - bad debt, insurance expenses, professional service expenses, state insurance department fees, amortization of intangible assets, and certain overhead expenses.</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Cemetery/Mortuary - bad debt, insurance expenses, professional service expenses, maintenance and utility expenses, property taxes, amortization of intangible assets, and certain overhead expenses.</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Mortgage - bad debt, insurance expenses, professional service expenses, business license and registration fees, dues and subscriptions, amortization expense of mortgage servicing rights, and certain overhead expenses.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 For each reportable segment, intersegment expenses includes:</w:t>
      </w:r>
    </w:p>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Life Insurance - mortgage servicing fees and interest expense.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Cemetery/Mortuary - rent expense, data processing and IT related expenses, and interest expense.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Mortgage - rent expense and interest expense.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15) Business Segment Information (Continued)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540"/>
              <w:spacing w:after="0" w:line="191" w:lineRule="exact"/>
              <w:rPr>
                <w:sz w:val="20"/>
                <w:szCs w:val="20"/>
                <w:color w:val="auto"/>
              </w:rPr>
            </w:pPr>
            <w:r>
              <w:rPr>
                <w:rFonts w:ascii="Times New Roman" w:cs="Times New Roman" w:eastAsia="Times New Roman" w:hAnsi="Times New Roman"/>
                <w:sz w:val="17"/>
                <w:szCs w:val="17"/>
                <w:color w:val="auto"/>
                <w:w w:val="98"/>
              </w:rPr>
              <w:t>Life</w:t>
            </w:r>
          </w:p>
        </w:tc>
        <w:tc>
          <w:tcPr>
            <w:tcW w:w="180" w:type="dxa"/>
            <w:vAlign w:val="bottom"/>
          </w:tcPr>
          <w:p>
            <w:pPr>
              <w:spacing w:after="0"/>
              <w:rPr>
                <w:sz w:val="16"/>
                <w:szCs w:val="16"/>
                <w:color w:val="auto"/>
              </w:rPr>
            </w:pPr>
          </w:p>
        </w:tc>
        <w:tc>
          <w:tcPr>
            <w:tcW w:w="14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7"/>
                <w:szCs w:val="17"/>
                <w:color w:val="auto"/>
              </w:rPr>
              <w:t>Cemetery/</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99"/>
              </w:rPr>
              <w:t>Insurance</w:t>
            </w:r>
          </w:p>
        </w:tc>
        <w:tc>
          <w:tcPr>
            <w:tcW w:w="1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Mortuary</w:t>
            </w:r>
          </w:p>
        </w:tc>
        <w:tc>
          <w:tcPr>
            <w:tcW w:w="200" w:type="dxa"/>
            <w:vAlign w:val="bottom"/>
          </w:tcPr>
          <w:p>
            <w:pPr>
              <w:spacing w:after="0"/>
              <w:rPr>
                <w:sz w:val="18"/>
                <w:szCs w:val="18"/>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external sources: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from external customers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114,735,304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27,864,811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98,071,104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240,671,219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67,811,926</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2,951,577</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1,579,544</w:t>
            </w: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72,343,047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(losses) on investments and other assets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962,824</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717,312</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157,206</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1,837,342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revenues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1,666,020</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404,256</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1,575,606</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3,645,882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Intersegment revenues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8,203,306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340,001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531,406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9,074,713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gridSpan w:val="3"/>
          </w:tcPr>
          <w:p>
            <w:pPr>
              <w:spacing w:after="0" w:line="194" w:lineRule="exact"/>
              <w:rPr>
                <w:sz w:val="20"/>
                <w:szCs w:val="20"/>
                <w:color w:val="auto"/>
              </w:rPr>
            </w:pPr>
            <w:r>
              <w:rPr>
                <w:rFonts w:ascii="Times New Roman" w:cs="Times New Roman" w:eastAsia="Times New Roman" w:hAnsi="Times New Roman"/>
                <w:sz w:val="17"/>
                <w:szCs w:val="17"/>
                <w:color w:val="auto"/>
              </w:rPr>
              <w:t>Total segment revenues</w:t>
            </w: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193,379,380</w:t>
            </w:r>
          </w:p>
        </w:tc>
        <w:tc>
          <w:tcPr>
            <w:tcW w:w="3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32,277,957</w:t>
            </w:r>
          </w:p>
        </w:tc>
        <w:tc>
          <w:tcPr>
            <w:tcW w:w="3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101,914,866</w:t>
            </w:r>
          </w:p>
        </w:tc>
        <w:tc>
          <w:tcPr>
            <w:tcW w:w="3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327,572,203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Elimination of intersegment 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(9,074,713)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consolidated revenues</w:t>
            </w:r>
          </w:p>
        </w:tc>
        <w:tc>
          <w:tcPr>
            <w:tcW w:w="1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318,497,490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Death benefits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61,390,517</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Surrenders and other policy benefits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4,612,346</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Increase in future policy benefits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34,008,997</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Amortization of deferred policy and pre-need acquisition costs and value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of business acquired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17,485,699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538,639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Commissions</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3,963,185</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1,777,071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34,189,300</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Personnel</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26,769,211</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9,722,659</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46,649,889</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638,071</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663,113</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2,409,261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Rent and rent related</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414,564</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159,877</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6,282,696</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on property and equipment</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880,116</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812,641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658,904</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Cost related to funding mortgage loans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6,440,439</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Data processing and IT related (1)</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1,007,023</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227,599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4,107,542</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Premium taxes on insurance premiums and other considerations (1)</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2,939,828</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segment items (1)(2)</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9,045,037</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4,733,721</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9,998,106</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Intersegment expenses (3)</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871,407</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391,316</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7,811,990</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4,081,348</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955</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783,024</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Costs of goods and services sold-mortuaries and cemeteries</w:t>
            </w:r>
          </w:p>
        </w:tc>
        <w:tc>
          <w:tcPr>
            <w:tcW w:w="1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4,805,700</w:t>
            </w:r>
          </w:p>
        </w:tc>
        <w:tc>
          <w:tcPr>
            <w:tcW w:w="200" w:type="dxa"/>
            <w:vAlign w:val="bottom"/>
          </w:tcPr>
          <w:p>
            <w:pPr>
              <w:spacing w:after="0"/>
              <w:rPr>
                <w:sz w:val="17"/>
                <w:szCs w:val="17"/>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3,655,148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2,131,289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rPr>
              <w:t>(3,981,083)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gridSpan w:val="3"/>
          </w:tcPr>
          <w:p>
            <w:pPr>
              <w:spacing w:after="0" w:line="194" w:lineRule="exact"/>
              <w:rPr>
                <w:sz w:val="20"/>
                <w:szCs w:val="20"/>
                <w:color w:val="auto"/>
              </w:rPr>
            </w:pPr>
            <w:r>
              <w:rPr>
                <w:rFonts w:ascii="Times New Roman" w:cs="Times New Roman" w:eastAsia="Times New Roman" w:hAnsi="Times New Roman"/>
                <w:sz w:val="17"/>
                <w:szCs w:val="17"/>
                <w:color w:val="auto"/>
              </w:rPr>
              <w:t>Segment net earnings (loss)</w:t>
            </w:r>
          </w:p>
        </w:tc>
        <w:tc>
          <w:tcPr>
            <w:tcW w:w="18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21,616,883</w:t>
            </w:r>
          </w:p>
        </w:tc>
        <w:tc>
          <w:tcPr>
            <w:tcW w:w="3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6,313,377</w:t>
            </w:r>
          </w:p>
        </w:tc>
        <w:tc>
          <w:tcPr>
            <w:tcW w:w="3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CCEEFF"/>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(13,435,202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14,495,058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14,495,058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Segment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1,329,049,024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97,547,937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7"/>
                <w:szCs w:val="17"/>
                <w:color w:val="auto"/>
              </w:rPr>
              <w:t>97,018,754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1,523,615,715</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Elimination of intersegment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(93,063,440)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consolidated assets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1,430,552,275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Expenditures for long-lived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23,010,579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856,716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rPr>
              <w:t>137,246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24,004,541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line="274"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consolidated statements of earnings. Data processing and IT related expenses includes various software subscriptions, maintenance, consulting, support and storage fees.</w:t>
      </w:r>
    </w:p>
    <w:p>
      <w:pPr>
        <w:spacing w:after="0" w:line="158"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other segment items includes:</w:t>
      </w:r>
    </w:p>
    <w:p>
      <w:pPr>
        <w:spacing w:after="0" w:line="30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Life Insurance - bad debt, insurance expenses, professional service expenses, state insurance department fees, amortization of intangible assets, and certain overhead expenses.</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Cemetery/Mortuary - bad debt, insurance expenses, professional service expenses, maintenance and utility expenses, property taxes, amortization of intangible assets, and certain overhead expenses.</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Mortgage - bad debt, insurance expenses, professional service expenses, business license and registration fees, dues and subscriptions, amortization expense of mortgage servicing rights, and certain overhead expenses.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 For each reportable segment, intersegment expenses includes:</w:t>
      </w:r>
    </w:p>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Life Insurance - mortgage servicing fees and interest expense.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Cemetery/Mortuary - rent expense, data processing and IT related expenses, and interest expense.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Mortgage - rent expense and interest expense.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Transactions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Board of Directors has a written procedure, which requires disclosure to the Board of any material interest or any affiliation on the part of any of its officers, directors or employees that is in conflict or may conflict with the interests of the Company. The Company and its Board of Directors are unaware of any related party transactions that require disclosure as of December 31, 2024.</w:t>
      </w:r>
    </w:p>
    <w:p>
      <w:pPr>
        <w:spacing w:after="0" w:line="169" w:lineRule="exact"/>
        <w:rPr>
          <w:sz w:val="20"/>
          <w:szCs w:val="20"/>
          <w:color w:val="auto"/>
        </w:rPr>
      </w:pPr>
    </w:p>
    <w:p>
      <w:pPr>
        <w:ind w:left="260" w:hanging="259"/>
        <w:spacing w:after="0"/>
        <w:tabs>
          <w:tab w:leader="none" w:pos="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Financial assets and financial liabilities whose values are based on unadjusted quoted prices for identical assets or liabilities in an active market that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can access.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Financial assets and financial liabilities whose values are based on the following:</w:t>
      </w:r>
    </w:p>
    <w:p>
      <w:pPr>
        <w:spacing w:after="0" w:line="212" w:lineRule="exact"/>
        <w:rPr>
          <w:sz w:val="20"/>
          <w:szCs w:val="20"/>
          <w:color w:val="auto"/>
        </w:rPr>
      </w:pPr>
    </w:p>
    <w:p>
      <w:pPr>
        <w:ind w:left="900" w:hanging="294"/>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similar assets or liabilities in active markets;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identical or similar assets or liabilities in non-active markets; or</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 models whose inputs are observable, directly or indirectly, for substantially the full term of the asset or liability.</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Financial assets and financial liabilities whose values are based on prices or valuation techniques that require inputs that are both unobservable and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overall fair value measurement. These inputs may reflect the Company’s estimates of the assumptions that market participants would use in valuing financial assets and financial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utilizes a combination of third-party valuation service providers, brokers, and internal valuation models to determine fair value.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methods and assumptions were used by the Company in estimating the fair value disclosures related to significant financial instruments: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items shown under Level 1 and Level 2 are valued as follows: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Fixed Maturity Securities Available for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fair values of fixed maturity securities are based on quoted market prices, when available. For fixed maturity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Equity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fair values for equity securities are based on quoted market prices.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Restricted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portion of these assets include equity securities and fixed maturity securities available for sale that have quoted market prices that are used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Cemetery Perpetual Care Trust Investments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portion of these assets include equity securities and fixed maturity securities available for sale that have quoted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there were no transfers between Level 1 and Level 2 in the fair value hierarchy.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items shown under Level 3 are valued as follows: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Loans Held for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elected the fair value option for loans held for sale. The fair value is based on quoted market prices, when available. When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quoted market price is not readily available, the Company uses the market price from its last sale of similar assets. Fair value is often difficult to determine and may contain significant unobservable inputs.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Loan Commitments and Forward Sale Commitments</w:t>
      </w:r>
      <w:r>
        <w:rPr>
          <w:rFonts w:ascii="Times New Roman" w:cs="Times New Roman" w:eastAsia="Times New Roman" w:hAnsi="Times New Roman"/>
          <w:sz w:val="17"/>
          <w:szCs w:val="17"/>
          <w:color w:val="auto"/>
        </w:rPr>
        <w:t>: The Company’s mortgage segment enters into loan commitments with potential borrowers and forward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commitments to sell loans to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Impaired Mortgage Loans Held for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believes that the fair value of these nonperforming loans will approximate the unpaid principal balance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to be recovered based on the fair value of the underlying collateral. For residential and commercial properties, the collateral value is estimated by obtaining an independent appraisal. The appraisal typically considers area comparable properties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Impaired Real Estate Held for Investment</w:t>
      </w:r>
      <w:r>
        <w:rPr>
          <w:rFonts w:ascii="Times New Roman" w:cs="Times New Roman" w:eastAsia="Times New Roman" w:hAnsi="Times New Roman"/>
          <w:sz w:val="17"/>
          <w:szCs w:val="17"/>
          <w:color w:val="auto"/>
        </w:rPr>
        <w:t>: Fair value is generally determined by obtaining an independent appraisal, which typically considers area comparable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properties and property condition.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properties with the funds required for estimated future policy benefits. Accordingly, in addition to an appraisal, the fair value determination will generally be weighed more heavily toward the rental analysis.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should be noted that for replacement cost, when determining the fair value of real estate held for investment, the Company uses a provider of building cost information to the real estate construction industry. For the investment analysis, the Company used market data based upon its real estate operation experience and projected the present value of the net rental income over seven years. The Company also considers area comparable properties and property condition when determining fair value.</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u w:val="single" w:color="auto"/>
          <w:color w:val="auto"/>
        </w:rPr>
        <w:t>Mortgage Servicing Rights</w:t>
      </w:r>
      <w:r>
        <w:rPr>
          <w:rFonts w:ascii="Times New Roman" w:cs="Times New Roman" w:eastAsia="Times New Roman" w:hAnsi="Times New Roman"/>
          <w:sz w:val="17"/>
          <w:szCs w:val="17"/>
          <w:color w:val="auto"/>
        </w:rPr>
        <w:t>: The Company initially recognizes MSRs at their estimated fair values derived from the net cash flows associated with the servicing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contracts, where the Company assumes the obligation to service the loan in the sale transaction.</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summarizes Level 1, 2 and 3 financial assets and financial liabilities measured at fair value on a recurring basis by their classification in the consolidated balance sheet as of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Quoted Prices in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Active Markets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Significant</w:t>
            </w:r>
          </w:p>
        </w:tc>
        <w:tc>
          <w:tcPr>
            <w:tcW w:w="22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Identical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98"/>
              </w:rPr>
              <w:t>Observable Inputs</w:t>
            </w: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(Level 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Assets accounted for at fair value on a</w:t>
            </w: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recurring basis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Fixed maturity securities available for sale</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366,546,129</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365,396,203</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1,149,926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15,771,681</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15,771,681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Loans held for sale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131,181,148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131,181,148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assets (1)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2,351,369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2,351,369</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Restricted assets (2)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9,972,166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9,972,166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Cemetery perpetual care trust investments (1)</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769,662</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769,662</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Cemetery perpetual care trust investments (2)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4,920,044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4,920,044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 loan commitments (3)</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5,348,089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5,348,089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Total assets accounted for at fair value on a</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recurring basis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536,860,288</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30,663,891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368,517,234</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137,679,163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2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Liabilities accounted for at fair value on a</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recurring basis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 loan commitments (4)</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(3,034,879)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(3,034,879)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Total liabilities accounted for at fair value on a recurring</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(3,034,879)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(3,034,879)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tabs>
          <w:tab w:leader="none" w:pos="3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maturity securities available for sale</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assets on the consolidated balance sheets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liabilities and accrued expenses on the consolidated balance sheets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summarizes Level 1, 2 and 3 financial assets and financial liabilities measured at fair value on a recurring basis by their classification in the consolidated balance sheet as of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Quoted Prices in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Active Markets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Significant</w:t>
            </w:r>
          </w:p>
        </w:tc>
        <w:tc>
          <w:tcPr>
            <w:tcW w:w="220" w:type="dxa"/>
            <w:vAlign w:val="bottom"/>
          </w:tcPr>
          <w:p>
            <w:pPr>
              <w:spacing w:after="0"/>
              <w:rPr>
                <w:sz w:val="17"/>
                <w:szCs w:val="17"/>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Identical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98"/>
              </w:rPr>
              <w:t>Observable Inputs</w:t>
            </w: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(Level 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Assets accounted for at fair value on a</w:t>
            </w: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recurring basis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Fixed maturity securities available for sale</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381,535,986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380,297,330</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13,636,071</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13,636,071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Loans held for sale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126,549,190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126,549,190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assets (1)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1,853,860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1,853,860</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Restricted assets (2)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7,385,203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7,385,203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Cemetery perpetual care trust investments (1)</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641,704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641,704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Cemetery perpetual care trust investments (2)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4,327,301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4,327,301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 loan commitments (3)</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4,995,486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Total assets accounted for at fair value on a</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recurring basis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540,924,801</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25,348,575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382,792,894</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132,783,332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2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Liabilities accounted for at fair value on a</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recurring basis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 loan commitments (4)</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(3,412,224)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(3,412,224)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Total liabilities accounted for at fair value</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 a recurring basis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(3,412,224)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(3,412,224)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maturity securities available for sale</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assets on the consolidated balance sheets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liabilities and accrued expenses on the consolidated balance sheets</w:t>
      </w:r>
    </w:p>
    <w:p>
      <w:pPr>
        <w:spacing w:after="0" w:line="30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Level 3 assets and liabilities measured at fair value on a recurring basis as of December 31, 2024, the significant unobservable inputs used in the fair value measurements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Significant</w:t>
            </w:r>
          </w:p>
        </w:tc>
        <w:tc>
          <w:tcPr>
            <w:tcW w:w="2260" w:type="dxa"/>
            <w:vAlign w:val="bottom"/>
            <w:gridSpan w:val="5"/>
          </w:tcPr>
          <w:p>
            <w:pPr>
              <w:jc w:val="right"/>
              <w:ind w:right="780"/>
              <w:spacing w:after="0"/>
              <w:rPr>
                <w:sz w:val="20"/>
                <w:szCs w:val="20"/>
                <w:color w:val="auto"/>
              </w:rPr>
            </w:pPr>
            <w:r>
              <w:rPr>
                <w:rFonts w:ascii="Times New Roman" w:cs="Times New Roman" w:eastAsia="Times New Roman" w:hAnsi="Times New Roman"/>
                <w:sz w:val="17"/>
                <w:szCs w:val="17"/>
                <w:color w:val="auto"/>
              </w:rPr>
              <w:t>Range of Inputs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7"/>
                <w:szCs w:val="17"/>
                <w:color w:val="auto"/>
                <w:w w:val="96"/>
              </w:rPr>
              <w:t>Fair Value at</w:t>
            </w:r>
          </w:p>
        </w:tc>
        <w:tc>
          <w:tcPr>
            <w:tcW w:w="1180" w:type="dxa"/>
            <w:vAlign w:val="bottom"/>
          </w:tcPr>
          <w:p>
            <w:pPr>
              <w:jc w:val="center"/>
              <w:ind w:left="76"/>
              <w:spacing w:after="0" w:line="191" w:lineRule="exact"/>
              <w:rPr>
                <w:sz w:val="20"/>
                <w:szCs w:val="20"/>
                <w:color w:val="auto"/>
              </w:rPr>
            </w:pPr>
            <w:r>
              <w:rPr>
                <w:rFonts w:ascii="Times New Roman" w:cs="Times New Roman" w:eastAsia="Times New Roman" w:hAnsi="Times New Roman"/>
                <w:sz w:val="17"/>
                <w:szCs w:val="17"/>
                <w:color w:val="auto"/>
                <w:w w:val="98"/>
              </w:rPr>
              <w:t>Valuation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7"/>
                <w:szCs w:val="17"/>
                <w:color w:val="auto"/>
                <w:w w:val="99"/>
              </w:rPr>
              <w:t>Unobservable</w:t>
            </w:r>
          </w:p>
        </w:tc>
        <w:tc>
          <w:tcPr>
            <w:tcW w:w="1020" w:type="dxa"/>
            <w:vAlign w:val="bottom"/>
            <w:tcBorders>
              <w:top w:val="single" w:sz="8" w:color="auto"/>
            </w:tcBorders>
            <w:gridSpan w:val="2"/>
          </w:tcPr>
          <w:p>
            <w:pPr>
              <w:jc w:val="right"/>
              <w:ind w:right="300"/>
              <w:spacing w:after="0" w:line="191" w:lineRule="exact"/>
              <w:rPr>
                <w:sz w:val="20"/>
                <w:szCs w:val="20"/>
                <w:color w:val="auto"/>
              </w:rPr>
            </w:pPr>
            <w:r>
              <w:rPr>
                <w:rFonts w:ascii="Times New Roman" w:cs="Times New Roman" w:eastAsia="Times New Roman" w:hAnsi="Times New Roman"/>
                <w:sz w:val="17"/>
                <w:szCs w:val="17"/>
                <w:color w:val="auto"/>
              </w:rPr>
              <w:t>Minimum</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8"/>
              </w:rPr>
              <w:t>Maximum</w:t>
            </w:r>
          </w:p>
        </w:tc>
        <w:tc>
          <w:tcPr>
            <w:tcW w:w="360" w:type="dxa"/>
            <w:vAlign w:val="bottom"/>
          </w:tcPr>
          <w:p>
            <w:pPr>
              <w:spacing w:after="0"/>
              <w:rPr>
                <w:sz w:val="16"/>
                <w:szCs w:val="16"/>
                <w:color w:val="auto"/>
              </w:rPr>
            </w:pPr>
          </w:p>
        </w:tc>
        <w:tc>
          <w:tcPr>
            <w:tcW w:w="920" w:type="dxa"/>
            <w:vAlign w:val="bottom"/>
            <w:gridSpan w:val="2"/>
          </w:tcPr>
          <w:p>
            <w:pPr>
              <w:jc w:val="right"/>
              <w:ind w:right="200"/>
              <w:spacing w:after="0" w:line="191" w:lineRule="exact"/>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12/31/2024</w:t>
            </w:r>
          </w:p>
        </w:tc>
        <w:tc>
          <w:tcPr>
            <w:tcW w:w="320" w:type="dxa"/>
            <w:vAlign w:val="bottom"/>
          </w:tcPr>
          <w:p>
            <w:pPr>
              <w:spacing w:after="0"/>
              <w:rPr>
                <w:sz w:val="18"/>
                <w:szCs w:val="18"/>
                <w:color w:val="auto"/>
              </w:rPr>
            </w:pPr>
          </w:p>
        </w:tc>
        <w:tc>
          <w:tcPr>
            <w:tcW w:w="118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w w:val="97"/>
              </w:rPr>
              <w:t>Technique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Input(s)</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Value</w:t>
            </w: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Value</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w w:val="99"/>
              </w:rPr>
              <w:t>Investor contract pricing as a</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percentage of unpaid</w:t>
            </w: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held for sale</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4"/>
              </w:rPr>
              <w:t>$ 131,181,148</w:t>
            </w: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 approach</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principal balance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84.0%</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109.0%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 loan commitments (net)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2,313,210</w:t>
            </w: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 approach</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Pull-through rate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63.0%</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Initial-Value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Servicing</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 bps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242 bps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 bps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Fixed maturity securities available for</w:t>
            </w: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1,149,926</w:t>
            </w: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Broker quotes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Pricing quotes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100.00</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101.20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100.16</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w:t>
            </w:r>
          </w:p>
        </w:tc>
        <w:tc>
          <w:tcPr>
            <w:tcW w:w="1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Level 3 assets and liabilities measured at fair value on a recurring basis as of December 31, 2023, the significant unobservable inputs used in the fair value measurements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5"/>
          </w:tcPr>
          <w:p>
            <w:pPr>
              <w:jc w:val="center"/>
              <w:ind w:left="416"/>
              <w:spacing w:after="0"/>
              <w:rPr>
                <w:sz w:val="20"/>
                <w:szCs w:val="20"/>
                <w:color w:val="auto"/>
              </w:rPr>
            </w:pPr>
            <w:r>
              <w:rPr>
                <w:rFonts w:ascii="Times New Roman" w:cs="Times New Roman" w:eastAsia="Times New Roman" w:hAnsi="Times New Roman"/>
                <w:sz w:val="17"/>
                <w:szCs w:val="17"/>
                <w:color w:val="auto"/>
                <w:w w:val="99"/>
              </w:rPr>
              <w:t>Significant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10"/>
          </w:tcPr>
          <w:p>
            <w:pPr>
              <w:ind w:left="40"/>
              <w:spacing w:after="0"/>
              <w:rPr>
                <w:sz w:val="20"/>
                <w:szCs w:val="20"/>
                <w:color w:val="auto"/>
              </w:rPr>
            </w:pPr>
            <w:r>
              <w:rPr>
                <w:rFonts w:ascii="Times New Roman" w:cs="Times New Roman" w:eastAsia="Times New Roman" w:hAnsi="Times New Roman"/>
                <w:sz w:val="17"/>
                <w:szCs w:val="17"/>
                <w:color w:val="auto"/>
              </w:rPr>
              <w:t>Range of Inputs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6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7"/>
                <w:szCs w:val="17"/>
                <w:color w:val="auto"/>
                <w:w w:val="96"/>
              </w:rPr>
              <w:t>Fair Value at</w:t>
            </w:r>
          </w:p>
        </w:tc>
        <w:tc>
          <w:tcPr>
            <w:tcW w:w="1340" w:type="dxa"/>
            <w:vAlign w:val="bottom"/>
            <w:gridSpan w:val="2"/>
          </w:tcPr>
          <w:p>
            <w:pPr>
              <w:jc w:val="right"/>
              <w:ind w:right="256"/>
              <w:spacing w:after="0" w:line="191" w:lineRule="exact"/>
              <w:rPr>
                <w:sz w:val="20"/>
                <w:szCs w:val="20"/>
                <w:color w:val="auto"/>
              </w:rPr>
            </w:pPr>
            <w:r>
              <w:rPr>
                <w:rFonts w:ascii="Times New Roman" w:cs="Times New Roman" w:eastAsia="Times New Roman" w:hAnsi="Times New Roman"/>
                <w:sz w:val="17"/>
                <w:szCs w:val="17"/>
                <w:color w:val="auto"/>
              </w:rPr>
              <w:t>Valuation</w:t>
            </w:r>
          </w:p>
        </w:tc>
        <w:tc>
          <w:tcPr>
            <w:tcW w:w="220" w:type="dxa"/>
            <w:vAlign w:val="bottom"/>
          </w:tcPr>
          <w:p>
            <w:pPr>
              <w:spacing w:after="0"/>
              <w:rPr>
                <w:sz w:val="16"/>
                <w:szCs w:val="16"/>
                <w:color w:val="auto"/>
              </w:rPr>
            </w:pPr>
          </w:p>
        </w:tc>
        <w:tc>
          <w:tcPr>
            <w:tcW w:w="1480" w:type="dxa"/>
            <w:vAlign w:val="bottom"/>
            <w:gridSpan w:val="5"/>
          </w:tcPr>
          <w:p>
            <w:pPr>
              <w:jc w:val="center"/>
              <w:ind w:left="416"/>
              <w:spacing w:after="0" w:line="191" w:lineRule="exact"/>
              <w:rPr>
                <w:sz w:val="20"/>
                <w:szCs w:val="20"/>
                <w:color w:val="auto"/>
              </w:rPr>
            </w:pPr>
            <w:r>
              <w:rPr>
                <w:rFonts w:ascii="Times New Roman" w:cs="Times New Roman" w:eastAsia="Times New Roman" w:hAnsi="Times New Roman"/>
                <w:sz w:val="17"/>
                <w:szCs w:val="17"/>
                <w:color w:val="auto"/>
                <w:w w:val="99"/>
              </w:rPr>
              <w:t>Unobservable</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gridSpan w:val="6"/>
          </w:tcPr>
          <w:p>
            <w:pPr>
              <w:jc w:val="right"/>
              <w:ind w:right="216"/>
              <w:spacing w:after="0" w:line="191" w:lineRule="exact"/>
              <w:rPr>
                <w:sz w:val="20"/>
                <w:szCs w:val="20"/>
                <w:color w:val="auto"/>
              </w:rPr>
            </w:pPr>
            <w:r>
              <w:rPr>
                <w:rFonts w:ascii="Times New Roman" w:cs="Times New Roman" w:eastAsia="Times New Roman" w:hAnsi="Times New Roman"/>
                <w:sz w:val="17"/>
                <w:szCs w:val="17"/>
                <w:color w:val="auto"/>
              </w:rPr>
              <w:t>Minimum</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7"/>
                <w:szCs w:val="17"/>
                <w:color w:val="auto"/>
                <w:w w:val="98"/>
              </w:rPr>
              <w:t>Maximum</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200"/>
              <w:spacing w:after="0" w:line="191" w:lineRule="exact"/>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12/31/2023</w:t>
            </w:r>
          </w:p>
        </w:tc>
        <w:tc>
          <w:tcPr>
            <w:tcW w:w="32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Technique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Input(s)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5"/>
          </w:tcPr>
          <w:p>
            <w:pPr>
              <w:jc w:val="right"/>
              <w:ind w:right="356"/>
              <w:spacing w:after="0"/>
              <w:rPr>
                <w:sz w:val="20"/>
                <w:szCs w:val="20"/>
                <w:color w:val="auto"/>
              </w:rPr>
            </w:pPr>
            <w:r>
              <w:rPr>
                <w:rFonts w:ascii="Times New Roman" w:cs="Times New Roman" w:eastAsia="Times New Roman" w:hAnsi="Times New Roman"/>
                <w:sz w:val="17"/>
                <w:szCs w:val="17"/>
                <w:color w:val="auto"/>
                <w:w w:val="98"/>
              </w:rPr>
              <w:t>Value</w:t>
            </w:r>
          </w:p>
        </w:tc>
        <w:tc>
          <w:tcPr>
            <w:tcW w:w="120" w:type="dxa"/>
            <w:vAlign w:val="bottom"/>
          </w:tcPr>
          <w:p>
            <w:pPr>
              <w:spacing w:after="0"/>
              <w:rPr>
                <w:sz w:val="18"/>
                <w:szCs w:val="18"/>
                <w:color w:val="auto"/>
              </w:rPr>
            </w:pPr>
          </w:p>
        </w:tc>
        <w:tc>
          <w:tcPr>
            <w:tcW w:w="112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color w:val="auto"/>
                <w:w w:val="93"/>
              </w:rPr>
              <w:t>Value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3"/>
              </w:rPr>
              <w:t>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gridSpan w:val="6"/>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w w:val="99"/>
              </w:rPr>
              <w:t>Investor contract pricing as a</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percentage of unpaid</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held for sale</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4"/>
              </w:rPr>
              <w:t>$ 126,549,190</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 approach</w:t>
            </w:r>
          </w:p>
        </w:tc>
        <w:tc>
          <w:tcPr>
            <w:tcW w:w="2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principal balance</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70.0%</w:t>
            </w: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 loan commitments (net)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1,583,262</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 approach</w:t>
            </w:r>
          </w:p>
        </w:tc>
        <w:tc>
          <w:tcPr>
            <w:tcW w:w="22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Pull-through rate</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70.0%</w:t>
            </w: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Initial-Value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4"/>
          </w:tcPr>
          <w:p>
            <w:pPr>
              <w:jc w:val="right"/>
              <w:ind w:right="176"/>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7"/>
                <w:szCs w:val="17"/>
                <w:color w:val="auto"/>
              </w:rPr>
            </w:pPr>
          </w:p>
        </w:tc>
        <w:tc>
          <w:tcPr>
            <w:tcW w:w="112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Servicing</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8"/>
              </w:rPr>
              <w:t>0 bps</w:t>
            </w:r>
          </w:p>
        </w:tc>
        <w:tc>
          <w:tcPr>
            <w:tcW w:w="12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119 bps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 bps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Fixed maturity securities available for</w:t>
            </w: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1,238,656</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Broker quotes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Pricing quotes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98.40</w:t>
            </w:r>
          </w:p>
        </w:tc>
        <w:tc>
          <w:tcPr>
            <w:tcW w:w="2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102.46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99.86</w:t>
            </w:r>
          </w:p>
        </w:tc>
        <w:tc>
          <w:tcPr>
            <w:tcW w:w="0" w:type="dxa"/>
            <w:vAlign w:val="bottom"/>
          </w:tcPr>
          <w:p>
            <w:pPr>
              <w:spacing w:after="0"/>
              <w:rPr>
                <w:sz w:val="1"/>
                <w:szCs w:val="1"/>
                <w:color w:val="auto"/>
              </w:rPr>
            </w:pPr>
          </w:p>
        </w:tc>
      </w:tr>
      <w:tr>
        <w:trPr>
          <w:trHeight w:val="403"/>
        </w:trPr>
        <w:tc>
          <w:tcPr>
            <w:tcW w:w="84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 following table is a summary of changes in the consolidated balance sheet line items measured using level 3 inputs: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60" w:type="dxa"/>
            <w:vAlign w:val="bottom"/>
            <w:gridSpan w:val="4"/>
          </w:tcPr>
          <w:p>
            <w:pPr>
              <w:jc w:val="center"/>
              <w:ind w:right="276"/>
              <w:spacing w:after="0"/>
              <w:rPr>
                <w:sz w:val="20"/>
                <w:szCs w:val="20"/>
                <w:color w:val="auto"/>
              </w:rPr>
            </w:pPr>
            <w:r>
              <w:rPr>
                <w:rFonts w:ascii="Times New Roman" w:cs="Times New Roman" w:eastAsia="Times New Roman" w:hAnsi="Times New Roman"/>
                <w:sz w:val="17"/>
                <w:szCs w:val="17"/>
                <w:color w:val="auto"/>
                <w:w w:val="98"/>
              </w:rPr>
              <w:t>Net Derivatives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8"/>
          </w:tcPr>
          <w:p>
            <w:pPr>
              <w:jc w:val="center"/>
              <w:ind w:right="420"/>
              <w:spacing w:after="0"/>
              <w:rPr>
                <w:sz w:val="20"/>
                <w:szCs w:val="20"/>
                <w:color w:val="auto"/>
              </w:rPr>
            </w:pPr>
            <w:r>
              <w:rPr>
                <w:rFonts w:ascii="Times New Roman" w:cs="Times New Roman" w:eastAsia="Times New Roman" w:hAnsi="Times New Roman"/>
                <w:sz w:val="17"/>
                <w:szCs w:val="17"/>
                <w:color w:val="auto"/>
                <w:w w:val="99"/>
              </w:rPr>
              <w:t>Fixed Maturity</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jc w:val="center"/>
              <w:ind w:right="696"/>
              <w:spacing w:after="0"/>
              <w:rPr>
                <w:sz w:val="20"/>
                <w:szCs w:val="20"/>
                <w:color w:val="auto"/>
              </w:rPr>
            </w:pPr>
            <w:r>
              <w:rPr>
                <w:rFonts w:ascii="Times New Roman" w:cs="Times New Roman" w:eastAsia="Times New Roman" w:hAnsi="Times New Roman"/>
                <w:sz w:val="17"/>
                <w:szCs w:val="17"/>
                <w:color w:val="auto"/>
              </w:rPr>
              <w:t>Loan</w:t>
            </w:r>
          </w:p>
        </w:tc>
        <w:tc>
          <w:tcPr>
            <w:tcW w:w="60" w:type="dxa"/>
            <w:vAlign w:val="bottom"/>
          </w:tcPr>
          <w:p>
            <w:pPr>
              <w:spacing w:after="0"/>
              <w:rPr>
                <w:sz w:val="17"/>
                <w:szCs w:val="17"/>
                <w:color w:val="auto"/>
              </w:rPr>
            </w:pPr>
          </w:p>
        </w:tc>
        <w:tc>
          <w:tcPr>
            <w:tcW w:w="1520" w:type="dxa"/>
            <w:vAlign w:val="bottom"/>
            <w:gridSpan w:val="6"/>
          </w:tcPr>
          <w:p>
            <w:pPr>
              <w:jc w:val="right"/>
              <w:ind w:right="276"/>
              <w:spacing w:after="0"/>
              <w:rPr>
                <w:sz w:val="20"/>
                <w:szCs w:val="20"/>
                <w:color w:val="auto"/>
              </w:rPr>
            </w:pPr>
            <w:r>
              <w:rPr>
                <w:rFonts w:ascii="Times New Roman" w:cs="Times New Roman" w:eastAsia="Times New Roman" w:hAnsi="Times New Roman"/>
                <w:sz w:val="17"/>
                <w:szCs w:val="17"/>
                <w:color w:val="auto"/>
              </w:rPr>
              <w:t>Loans Held for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7"/>
          </w:tcPr>
          <w:p>
            <w:pPr>
              <w:jc w:val="center"/>
              <w:ind w:right="600"/>
              <w:spacing w:after="0"/>
              <w:rPr>
                <w:sz w:val="20"/>
                <w:szCs w:val="20"/>
                <w:color w:val="auto"/>
              </w:rPr>
            </w:pPr>
            <w:r>
              <w:rPr>
                <w:rFonts w:ascii="Times New Roman" w:cs="Times New Roman" w:eastAsia="Times New Roman" w:hAnsi="Times New Roman"/>
                <w:sz w:val="17"/>
                <w:szCs w:val="17"/>
                <w:color w:val="auto"/>
                <w:w w:val="98"/>
              </w:rPr>
              <w:t>Securities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gridSpan w:val="4"/>
          </w:tcPr>
          <w:p>
            <w:pPr>
              <w:jc w:val="center"/>
              <w:ind w:right="256"/>
              <w:spacing w:after="0"/>
              <w:rPr>
                <w:sz w:val="20"/>
                <w:szCs w:val="20"/>
                <w:color w:val="auto"/>
              </w:rPr>
            </w:pPr>
            <w:r>
              <w:rPr>
                <w:rFonts w:ascii="Times New Roman" w:cs="Times New Roman" w:eastAsia="Times New Roman" w:hAnsi="Times New Roman"/>
                <w:sz w:val="17"/>
                <w:szCs w:val="17"/>
                <w:color w:val="auto"/>
                <w:w w:val="99"/>
              </w:rPr>
              <w:t>Commitments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636"/>
              <w:spacing w:after="0"/>
              <w:rPr>
                <w:sz w:val="20"/>
                <w:szCs w:val="20"/>
                <w:color w:val="auto"/>
              </w:rPr>
            </w:pPr>
            <w:r>
              <w:rPr>
                <w:rFonts w:ascii="Times New Roman" w:cs="Times New Roman" w:eastAsia="Times New Roman" w:hAnsi="Times New Roman"/>
                <w:sz w:val="17"/>
                <w:szCs w:val="17"/>
                <w:color w:val="auto"/>
              </w:rPr>
              <w:t>Sale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8"/>
          </w:tcPr>
          <w:p>
            <w:pPr>
              <w:jc w:val="center"/>
              <w:ind w:right="420"/>
              <w:spacing w:after="0"/>
              <w:rPr>
                <w:sz w:val="20"/>
                <w:szCs w:val="20"/>
                <w:color w:val="auto"/>
              </w:rPr>
            </w:pPr>
            <w:r>
              <w:rPr>
                <w:rFonts w:ascii="Times New Roman" w:cs="Times New Roman" w:eastAsia="Times New Roman" w:hAnsi="Times New Roman"/>
                <w:sz w:val="17"/>
                <w:szCs w:val="17"/>
                <w:color w:val="auto"/>
                <w:w w:val="98"/>
              </w:rPr>
              <w:t>Available for Sale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2023</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1,583,262</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126,549,190</w:t>
            </w:r>
          </w:p>
        </w:tc>
        <w:tc>
          <w:tcPr>
            <w:tcW w:w="2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1,238,656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Originations/purchases</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5"/>
          </w:tcPr>
          <w:p>
            <w:pPr>
              <w:jc w:val="right"/>
              <w:ind w:right="136"/>
              <w:spacing w:after="0"/>
              <w:rPr>
                <w:sz w:val="20"/>
                <w:szCs w:val="20"/>
                <w:color w:val="auto"/>
              </w:rPr>
            </w:pPr>
            <w:r>
              <w:rPr>
                <w:rFonts w:ascii="Times New Roman" w:cs="Times New Roman" w:eastAsia="Times New Roman" w:hAnsi="Times New Roman"/>
                <w:sz w:val="17"/>
                <w:szCs w:val="17"/>
                <w:color w:val="auto"/>
              </w:rPr>
              <w:t>2,295,830,408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maturities and paydowns</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(2,338,209,587)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(92,593)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Foreclosed into real estate held for sale</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jc w:val="right"/>
              <w:ind w:right="76"/>
              <w:spacing w:after="0"/>
              <w:rPr>
                <w:sz w:val="20"/>
                <w:szCs w:val="20"/>
                <w:color w:val="auto"/>
              </w:rPr>
            </w:pPr>
            <w:r>
              <w:rPr>
                <w:rFonts w:ascii="Times New Roman" w:cs="Times New Roman" w:eastAsia="Times New Roman" w:hAnsi="Times New Roman"/>
                <w:sz w:val="17"/>
                <w:szCs w:val="17"/>
                <w:color w:val="auto"/>
              </w:rPr>
              <w:t>(858,977)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Foreclosed into receivables</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(382,936)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Total gains (losses):</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Included in earnings</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729,948(1)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48,253,050(1)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Included in other comprehensive income</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3,863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Balance - December 31, 2024</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2,313,210</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131,181,148</w:t>
            </w:r>
          </w:p>
        </w:tc>
        <w:tc>
          <w:tcPr>
            <w:tcW w:w="2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1,149,926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20" w:hanging="263"/>
        <w:spacing w:after="0"/>
        <w:tabs>
          <w:tab w:leader="none" w:pos="3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component of mortgage fee income on the consolidated statements of earnings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component of net investment income on the consolidated statements of earnings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summary of changes in the consolidated balance sheet line items measured using level 3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w w:val="98"/>
              </w:rPr>
              <w:t>Net Derivatives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w w:val="99"/>
              </w:rPr>
              <w:t>Fixed Maturity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w w:val="97"/>
              </w:rPr>
              <w:t>Loan</w:t>
            </w:r>
          </w:p>
        </w:tc>
        <w:tc>
          <w:tcPr>
            <w:tcW w:w="12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w w:val="99"/>
              </w:rPr>
              <w:t>Loans Held for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w w:val="98"/>
              </w:rPr>
              <w:t>Securities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580"/>
              <w:spacing w:after="0"/>
              <w:rPr>
                <w:sz w:val="20"/>
                <w:szCs w:val="20"/>
                <w:color w:val="auto"/>
              </w:rPr>
            </w:pPr>
            <w:r>
              <w:rPr>
                <w:rFonts w:ascii="Times New Roman" w:cs="Times New Roman" w:eastAsia="Times New Roman" w:hAnsi="Times New Roman"/>
                <w:sz w:val="17"/>
                <w:szCs w:val="17"/>
                <w:color w:val="auto"/>
                <w:w w:val="97"/>
              </w:rPr>
              <w:t>Commitments</w:t>
            </w:r>
          </w:p>
        </w:tc>
        <w:tc>
          <w:tcPr>
            <w:tcW w:w="12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7"/>
                <w:szCs w:val="17"/>
                <w:color w:val="auto"/>
              </w:rPr>
              <w:t>Sale</w:t>
            </w:r>
          </w:p>
        </w:tc>
        <w:tc>
          <w:tcPr>
            <w:tcW w:w="100" w:type="dxa"/>
            <w:vAlign w:val="bottom"/>
          </w:tcPr>
          <w:p>
            <w:pPr>
              <w:spacing w:after="0"/>
              <w:rPr>
                <w:sz w:val="18"/>
                <w:szCs w:val="18"/>
                <w:color w:val="auto"/>
              </w:rPr>
            </w:pPr>
          </w:p>
        </w:tc>
        <w:tc>
          <w:tcPr>
            <w:tcW w:w="15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w w:val="98"/>
              </w:rPr>
              <w:t>Available for Sale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2,706,877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141,179,620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1,435,519</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Originations/purchases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2,173,080,584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maturities and paydowns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(2,224,454,040)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(129,521)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Transfer to mortgage loans held for investment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(3,017,626)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gains (losses):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Included in earnings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(1,123,615) (1)</w:t>
            </w:r>
          </w:p>
        </w:tc>
        <w:tc>
          <w:tcPr>
            <w:tcW w:w="12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39,760,652(1)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(108) (2)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Included in other comprehensive 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(67,234)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 December 31, 2023</w:t>
            </w: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1,583,262</w:t>
            </w: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126,549,190</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1,238,656</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ind w:left="320" w:hanging="263"/>
        <w:spacing w:after="0"/>
        <w:tabs>
          <w:tab w:leader="none" w:pos="3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component of mortgage fee income on the consolidated statements of earnings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component of net investment income on the consolidated statements of earnings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have any financial assets and financial liabilities measured at fair value on a nonrecurring basis as of December 31, 2024 and 2023,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 Carried at Other Than Fair Value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ASC 825, Financial Instruments, requires disclosure of fair value information about financial instruments whether or not recognized in the balance sheet, for which it is practicable to estimate that value.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December 31, 2024 and 2023.</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carrying values and estimated fair values for such financial instruments, and their corresponding placement in the fair value hierarchy, are summarized as follows as of December 31,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6"/>
              </w:rPr>
              <w:t>Total Estimated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96"/>
              </w:rPr>
              <w:t>Carrying Value</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Level 3</w:t>
            </w: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loans held for investment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89,780,350</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90,168,328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90,168,328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10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150,211,240</w:t>
            </w:r>
          </w:p>
        </w:tc>
        <w:tc>
          <w:tcPr>
            <w:tcW w:w="104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7"/>
                <w:szCs w:val="17"/>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150,211,240</w:t>
            </w: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150,211,240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61,755,768</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60,864,775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60,864,775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Mortgage loans held for investment, net</w:t>
            </w:r>
          </w:p>
        </w:tc>
        <w:tc>
          <w:tcPr>
            <w:tcW w:w="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301,747,358</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ind w:right="8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ind w:right="8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301,244,343</w:t>
            </w:r>
          </w:p>
        </w:tc>
        <w:tc>
          <w:tcPr>
            <w:tcW w:w="320" w:type="dxa"/>
            <w:vAlign w:val="bottom"/>
          </w:tcPr>
          <w:p>
            <w:pPr>
              <w:spacing w:after="0"/>
              <w:rPr>
                <w:sz w:val="16"/>
                <w:szCs w:val="16"/>
                <w:color w:val="auto"/>
              </w:rPr>
            </w:pPr>
          </w:p>
        </w:tc>
        <w:tc>
          <w:tcPr>
            <w:tcW w:w="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301,244,343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Policy loans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14,019,248</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14,019,248</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14,019,248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Insurance assignments, net (1)</w:t>
            </w:r>
          </w:p>
        </w:tc>
        <w:tc>
          <w:tcPr>
            <w:tcW w:w="10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46,956,932</w:t>
            </w:r>
          </w:p>
        </w:tc>
        <w:tc>
          <w:tcPr>
            <w:tcW w:w="104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7"/>
                <w:szCs w:val="17"/>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46,956,932</w:t>
            </w: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46,956,932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assets (2)</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983,834</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983,834</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983,834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Cemetery perpetual care trust investments (2)</w:t>
            </w:r>
          </w:p>
        </w:tc>
        <w:tc>
          <w:tcPr>
            <w:tcW w:w="10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2,141,464</w:t>
            </w:r>
          </w:p>
        </w:tc>
        <w:tc>
          <w:tcPr>
            <w:tcW w:w="104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7"/>
                <w:szCs w:val="17"/>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2,141,464</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servicing rights, net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2,939,878</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4,552,316</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4,552,316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Bank and other loans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(106,740,104)</w:t>
            </w: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(90,455,678)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(90,455,678)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Policyholder account balances (3)</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(37,066,043)</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(37,626,593)</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(37,626,593)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Future policy benefits - annuities (3)</w:t>
            </w:r>
          </w:p>
        </w:tc>
        <w:tc>
          <w:tcPr>
            <w:tcW w:w="1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(105,716,087)</w:t>
            </w:r>
          </w:p>
        </w:tc>
        <w:tc>
          <w:tcPr>
            <w:tcW w:w="104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(104,611,544)</w:t>
            </w:r>
          </w:p>
        </w:tc>
        <w:tc>
          <w:tcPr>
            <w:tcW w:w="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(104,611,544)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4" w:lineRule="exact"/>
        <w:rPr>
          <w:sz w:val="20"/>
          <w:szCs w:val="20"/>
          <w:color w:val="auto"/>
        </w:rPr>
      </w:pPr>
    </w:p>
    <w:p>
      <w:pPr>
        <w:ind w:left="320" w:hanging="263"/>
        <w:spacing w:after="0"/>
        <w:tabs>
          <w:tab w:leader="none" w:pos="3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investments and policy loans on the consolidated balance sheets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 loans held for investment</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future policy benefits and unpaid claims on the consolidated balance sheets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carrying values and estimated fair values for such financial instruments, and their corresponding placement in the fair value hierarchy, are summarized as follows as of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6"/>
              </w:rPr>
              <w:t>Total Estimated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96"/>
              </w:rPr>
              <w:t>Carrying Value</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Level 3</w:t>
            </w: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loans held for investment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99,519,750</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96,998,106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96,998,106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Residential construction</w:t>
            </w:r>
          </w:p>
        </w:tc>
        <w:tc>
          <w:tcPr>
            <w:tcW w:w="10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103,529,896</w:t>
            </w:r>
          </w:p>
        </w:tc>
        <w:tc>
          <w:tcPr>
            <w:tcW w:w="104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7"/>
                <w:szCs w:val="17"/>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103,529,896</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103,529,896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72,567,191</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72,149,530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72,149,530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Mortgage loans held for investment, net</w:t>
            </w:r>
          </w:p>
        </w:tc>
        <w:tc>
          <w:tcPr>
            <w:tcW w:w="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275,616,837</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ind w:right="8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ind w:right="8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272,677,532</w:t>
            </w:r>
          </w:p>
        </w:tc>
        <w:tc>
          <w:tcPr>
            <w:tcW w:w="320" w:type="dxa"/>
            <w:vAlign w:val="bottom"/>
          </w:tcPr>
          <w:p>
            <w:pPr>
              <w:spacing w:after="0"/>
              <w:rPr>
                <w:sz w:val="16"/>
                <w:szCs w:val="16"/>
                <w:color w:val="auto"/>
              </w:rPr>
            </w:pPr>
          </w:p>
        </w:tc>
        <w:tc>
          <w:tcPr>
            <w:tcW w:w="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272,677,532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Policy loans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13,264,183</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13,264,183</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13,264,183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Insurance assignments, net (1)</w:t>
            </w:r>
          </w:p>
        </w:tc>
        <w:tc>
          <w:tcPr>
            <w:tcW w:w="10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44,051,486</w:t>
            </w:r>
          </w:p>
        </w:tc>
        <w:tc>
          <w:tcPr>
            <w:tcW w:w="104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7"/>
                <w:szCs w:val="17"/>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44,051,486</w:t>
            </w: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44,051,486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assets (2)</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675,219</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675,219</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675,219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Cemetery perpetual care trust investments (2)</w:t>
            </w:r>
          </w:p>
        </w:tc>
        <w:tc>
          <w:tcPr>
            <w:tcW w:w="10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246,865</w:t>
            </w:r>
          </w:p>
        </w:tc>
        <w:tc>
          <w:tcPr>
            <w:tcW w:w="1040" w:type="dxa"/>
            <w:vAlign w:val="bottom"/>
          </w:tcPr>
          <w:p>
            <w:pPr>
              <w:spacing w:after="0"/>
              <w:rPr>
                <w:sz w:val="17"/>
                <w:szCs w:val="17"/>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7"/>
                <w:szCs w:val="17"/>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246,865</w:t>
            </w: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246,865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servicing rights, net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3,461,146</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4,543,657</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4,543,657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Bank and other loans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(105,555,137)</w:t>
            </w: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(105,555,137)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(105,555,137)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Policyholder account balances (3)</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(39,245,123)</w:t>
            </w:r>
          </w:p>
        </w:tc>
        <w:tc>
          <w:tcPr>
            <w:tcW w:w="10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(48,920,691)</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(48,920,691)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Future policy benefits - annuities (3)</w:t>
            </w:r>
          </w:p>
        </w:tc>
        <w:tc>
          <w:tcPr>
            <w:tcW w:w="1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(106,285,010)</w:t>
            </w:r>
          </w:p>
        </w:tc>
        <w:tc>
          <w:tcPr>
            <w:tcW w:w="104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(102,177,585)</w:t>
            </w:r>
          </w:p>
        </w:tc>
        <w:tc>
          <w:tcPr>
            <w:tcW w:w="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(102,177,585)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74" w:lineRule="exact"/>
        <w:rPr>
          <w:sz w:val="20"/>
          <w:szCs w:val="20"/>
          <w:color w:val="auto"/>
        </w:rPr>
      </w:pPr>
    </w:p>
    <w:p>
      <w:pPr>
        <w:ind w:left="320" w:hanging="263"/>
        <w:spacing w:after="0"/>
        <w:tabs>
          <w:tab w:leader="none" w:pos="3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investments and policy loans on the consolidated balance sheets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 loans held for investment</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future policy benefits and unpaid claims on the consolidated balance sheets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methods, assumptions and significant valuation techniques and inputs used to estimate the fair value of financial instruments are summarized as follows: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Mortgage Loans Held for Investment</w:t>
      </w:r>
      <w:r>
        <w:rPr>
          <w:rFonts w:ascii="Times New Roman" w:cs="Times New Roman" w:eastAsia="Times New Roman" w:hAnsi="Times New Roman"/>
          <w:sz w:val="17"/>
          <w:szCs w:val="17"/>
          <w:color w:val="auto"/>
        </w:rPr>
        <w:t>: The estimated fair value of the Company’s mortgage loans held for investment is determined using various methods.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6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Residential — The estimated fair value is determined by estimating expected future cash flows of payments and discounting them using current interest rates for single family mortgages and considering pricing of similar loans that were sold recently.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Residential Construction — These loans are primarily short in maturity. Accordingly, the estimated fair value is determined to be the carrying value.</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Commercial — The estimated fair value is determined by estimating expected future cash flows of payments and discounting them using current interest rates for commercial mortgages.</w:t>
      </w:r>
    </w:p>
    <w:p>
      <w:pPr>
        <w:spacing w:after="0" w:line="1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i w:val="1"/>
          <w:iCs w:val="1"/>
          <w:u w:val="single" w:color="auto"/>
          <w:color w:val="auto"/>
        </w:rPr>
        <w:t>Policy Loans</w:t>
      </w:r>
      <w:r>
        <w:rPr>
          <w:rFonts w:ascii="Times New Roman" w:cs="Times New Roman" w:eastAsia="Times New Roman" w:hAnsi="Times New Roman"/>
          <w:sz w:val="17"/>
          <w:szCs w:val="17"/>
          <w:color w:val="auto"/>
        </w:rPr>
        <w:t>: The carrying amounts reported in the accompanying consolidated balance sheet for these financial instruments approximate their fair values because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they are fully collateralized by the cash surrender value of the underlying insurance policies.</w:t>
      </w:r>
    </w:p>
    <w:p>
      <w:pPr>
        <w:spacing w:after="0" w:line="1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i w:val="1"/>
          <w:iCs w:val="1"/>
          <w:u w:val="single" w:color="auto"/>
          <w:color w:val="auto"/>
        </w:rPr>
        <w:t>Insurance Assignments, Net</w:t>
      </w:r>
      <w:r>
        <w:rPr>
          <w:rFonts w:ascii="Times New Roman" w:cs="Times New Roman" w:eastAsia="Times New Roman" w:hAnsi="Times New Roman"/>
          <w:sz w:val="17"/>
          <w:szCs w:val="17"/>
          <w:color w:val="auto"/>
        </w:rPr>
        <w:t>: These investments are short in maturity. Accordingly, the carrying amounts reported in the accompanying consolidated balance sheet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financial instruments approximate their fair values.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Bank and Other Loans Payable</w:t>
      </w:r>
      <w:r>
        <w:rPr>
          <w:rFonts w:ascii="Times New Roman" w:cs="Times New Roman" w:eastAsia="Times New Roman" w:hAnsi="Times New Roman"/>
          <w:sz w:val="17"/>
          <w:szCs w:val="17"/>
          <w:color w:val="auto"/>
        </w:rPr>
        <w:t>: The carrying amounts reported in the accompanying consolidated balance sheet for warehouse lines of credit approximate their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u w:val="single" w:color="auto"/>
          <w:color w:val="auto"/>
        </w:rPr>
        <w:t>Policyholder Account Balances and Future Policy Benefits-Annuities</w:t>
      </w:r>
      <w:r>
        <w:rPr>
          <w:rFonts w:ascii="Times New Roman" w:cs="Times New Roman" w:eastAsia="Times New Roman" w:hAnsi="Times New Roman"/>
          <w:sz w:val="17"/>
          <w:szCs w:val="17"/>
          <w:color w:val="auto"/>
        </w:rPr>
        <w:t>: Future policy benefit reserves for interest-sensitive insurance products are computed under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retrospective deposit method 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1.5% to 6.5%. The fair values for these investment-type insurance policies are estimated based on the present value of liability cash flows. The fair values for the Company’s insurance policies other than investment-type policies are not required to be disclosed. However, the fair values of liabilities under all insurance policies are taken into consideration in the Company’s overall management of interest rate risk, such that the Company’s exposure to changing interest rates is minimized through the matching of investment maturities with amounts due under insurance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Accumulated Other Comprehensive Income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changes in accumulated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7"/>
              <w:spacing w:after="0"/>
              <w:rPr>
                <w:sz w:val="20"/>
                <w:szCs w:val="20"/>
                <w:color w:val="auto"/>
              </w:rPr>
            </w:pPr>
            <w:r>
              <w:rPr>
                <w:rFonts w:ascii="Times New Roman" w:cs="Times New Roman" w:eastAsia="Times New Roman" w:hAnsi="Times New Roman"/>
                <w:sz w:val="17"/>
                <w:szCs w:val="17"/>
                <w:color w:val="auto"/>
              </w:rPr>
              <w:t>December 31</w:t>
            </w: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gains on fixed maturity securities available for sale</w:t>
            </w:r>
          </w:p>
        </w:tc>
        <w:tc>
          <w:tcPr>
            <w:tcW w:w="12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7"/>
                <w:szCs w:val="17"/>
                <w:color w:val="auto"/>
              </w:rPr>
              <w:t>77,334</w:t>
            </w:r>
          </w:p>
        </w:tc>
        <w:tc>
          <w:tcPr>
            <w:tcW w:w="440" w:type="dxa"/>
            <w:vAlign w:val="bottom"/>
            <w:gridSpan w:val="2"/>
            <w:shd w:val="clear" w:color="auto" w:fill="CCEEFF"/>
          </w:tcPr>
          <w:p>
            <w:pPr>
              <w:jc w:val="right"/>
              <w:ind w:right="30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7,853,398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Amounts reclassified into net earnings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auto"/>
              </w:rPr>
              <w:t>(156,562)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(39,074)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unrealized gains (losses) before taxes</w:t>
            </w:r>
          </w:p>
        </w:tc>
        <w:tc>
          <w:tcPr>
            <w:tcW w:w="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(79,228)</w:t>
            </w: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7,814,324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Tax benefit (expense)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21"/>
              <w:spacing w:after="0"/>
              <w:rPr>
                <w:sz w:val="20"/>
                <w:szCs w:val="20"/>
                <w:color w:val="auto"/>
              </w:rPr>
            </w:pPr>
            <w:r>
              <w:rPr>
                <w:rFonts w:ascii="Times New Roman" w:cs="Times New Roman" w:eastAsia="Times New Roman" w:hAnsi="Times New Roman"/>
                <w:sz w:val="17"/>
                <w:szCs w:val="17"/>
                <w:color w:val="auto"/>
              </w:rPr>
              <w:t>13,942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(1,640,186)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0" w:type="dxa"/>
            <w:vAlign w:val="bottom"/>
            <w:tcBorders>
              <w:top w:val="single" w:sz="8" w:color="CCEEFF"/>
            </w:tcBorders>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Net</w:t>
            </w:r>
          </w:p>
        </w:tc>
        <w:tc>
          <w:tcPr>
            <w:tcW w:w="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(65,286</w:t>
            </w:r>
          </w:p>
        </w:tc>
        <w:tc>
          <w:tcPr>
            <w:tcW w:w="30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6,174,138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Unrealized gains on restricted assets (1)</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841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11,175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(210)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0" w:type="dxa"/>
            <w:vAlign w:val="bottom"/>
            <w:tcBorders>
              <w:bottom w:val="single" w:sz="8" w:color="CCEEFF"/>
            </w:tcBorders>
          </w:tcPr>
          <w:p>
            <w:pPr>
              <w:ind w:left="140"/>
              <w:spacing w:after="0" w:line="194" w:lineRule="exact"/>
              <w:rPr>
                <w:sz w:val="20"/>
                <w:szCs w:val="20"/>
                <w:color w:val="auto"/>
              </w:rPr>
            </w:pPr>
            <w:r>
              <w:rPr>
                <w:rFonts w:ascii="Times New Roman" w:cs="Times New Roman" w:eastAsia="Times New Roman" w:hAnsi="Times New Roman"/>
                <w:sz w:val="17"/>
                <w:szCs w:val="17"/>
                <w:color w:val="auto"/>
              </w:rPr>
              <w:t>Net</w:t>
            </w:r>
          </w:p>
        </w:tc>
        <w:tc>
          <w:tcPr>
            <w:tcW w:w="8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631</w:t>
            </w:r>
          </w:p>
        </w:tc>
        <w:tc>
          <w:tcPr>
            <w:tcW w:w="3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8,391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Unrealized gains (losses) on cemetery perpetual care trust investments (1)</w:t>
            </w: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(1,403)</w:t>
            </w: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Tax benefit (expense)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21"/>
              <w:spacing w:after="0"/>
              <w:rPr>
                <w:sz w:val="20"/>
                <w:szCs w:val="20"/>
                <w:color w:val="auto"/>
              </w:rPr>
            </w:pPr>
            <w:r>
              <w:rPr>
                <w:rFonts w:ascii="Times New Roman" w:cs="Times New Roman" w:eastAsia="Times New Roman" w:hAnsi="Times New Roman"/>
                <w:sz w:val="17"/>
                <w:szCs w:val="17"/>
                <w:color w:val="auto"/>
              </w:rPr>
              <w:t>350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0" w:type="dxa"/>
            <w:vAlign w:val="bottom"/>
            <w:tcBorders>
              <w:top w:val="single" w:sz="8" w:color="CCEEFF"/>
            </w:tcBorders>
            <w:shd w:val="clear" w:color="auto" w:fill="CCEEFF"/>
          </w:tcPr>
          <w:p>
            <w:pPr>
              <w:ind w:left="140"/>
              <w:spacing w:after="0" w:line="194" w:lineRule="exact"/>
              <w:rPr>
                <w:sz w:val="20"/>
                <w:szCs w:val="20"/>
                <w:color w:val="auto"/>
              </w:rPr>
            </w:pPr>
            <w:r>
              <w:rPr>
                <w:rFonts w:ascii="Times New Roman" w:cs="Times New Roman" w:eastAsia="Times New Roman" w:hAnsi="Times New Roman"/>
                <w:sz w:val="17"/>
                <w:szCs w:val="17"/>
                <w:color w:val="auto"/>
              </w:rPr>
              <w:t>Net</w:t>
            </w:r>
          </w:p>
        </w:tc>
        <w:tc>
          <w:tcPr>
            <w:tcW w:w="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(1,053</w:t>
            </w:r>
          </w:p>
        </w:tc>
        <w:tc>
          <w:tcPr>
            <w:tcW w:w="30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2,190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 changes</w:t>
            </w:r>
          </w:p>
        </w:tc>
        <w:tc>
          <w:tcPr>
            <w:tcW w:w="860" w:type="dxa"/>
            <w:vAlign w:val="bottom"/>
          </w:tcPr>
          <w:p>
            <w:pPr>
              <w:spacing w:after="0"/>
              <w:rPr>
                <w:sz w:val="17"/>
                <w:szCs w:val="17"/>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(65,708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6,184,719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Fixed maturity securities available for sale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1" w:name="page112"/>
    <w:bookmarkEnd w:id="111"/>
    <w:p>
      <w:pPr>
        <w:jc w:val="center"/>
        <w:ind w:right="-1100"/>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Accumulated Other Comprehensive Income (loss)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the accumulated balances of other comprehensive income (loss) as of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w w:val="99"/>
              </w:rPr>
              <w:t>Ending Balance</w:t>
            </w:r>
          </w:p>
        </w:tc>
      </w:tr>
      <w:tr>
        <w:trPr>
          <w:trHeight w:val="202"/>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rPr>
              <w:t>December 31,</w:t>
            </w:r>
          </w:p>
        </w:tc>
        <w:tc>
          <w:tcPr>
            <w:tcW w:w="120" w:type="dxa"/>
            <w:vAlign w:val="bottom"/>
          </w:tcPr>
          <w:p>
            <w:pPr>
              <w:spacing w:after="0"/>
              <w:rPr>
                <w:sz w:val="17"/>
                <w:szCs w:val="17"/>
                <w:color w:val="auto"/>
              </w:rPr>
            </w:pPr>
          </w:p>
        </w:tc>
        <w:tc>
          <w:tcPr>
            <w:tcW w:w="1500" w:type="dxa"/>
            <w:vAlign w:val="bottom"/>
            <w:gridSpan w:val="2"/>
          </w:tcPr>
          <w:p>
            <w:pPr>
              <w:jc w:val="right"/>
              <w:ind w:right="381"/>
              <w:spacing w:after="0"/>
              <w:rPr>
                <w:sz w:val="20"/>
                <w:szCs w:val="20"/>
                <w:color w:val="auto"/>
              </w:rPr>
            </w:pPr>
            <w:r>
              <w:rPr>
                <w:rFonts w:ascii="Times New Roman" w:cs="Times New Roman" w:eastAsia="Times New Roman" w:hAnsi="Times New Roman"/>
                <w:sz w:val="17"/>
                <w:szCs w:val="17"/>
                <w:color w:val="auto"/>
              </w:rPr>
              <w:t>Change for the</w:t>
            </w:r>
          </w:p>
        </w:tc>
        <w:tc>
          <w:tcPr>
            <w:tcW w:w="100" w:type="dxa"/>
            <w:vAlign w:val="bottom"/>
          </w:tcPr>
          <w:p>
            <w:pPr>
              <w:spacing w:after="0"/>
              <w:rPr>
                <w:sz w:val="17"/>
                <w:szCs w:val="17"/>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w w:val="98"/>
              </w:rPr>
              <w:t>December 31,</w:t>
            </w:r>
          </w:p>
        </w:tc>
      </w:tr>
      <w:tr>
        <w:trPr>
          <w:trHeight w:val="218"/>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61"/>
              <w:spacing w:after="0"/>
              <w:rPr>
                <w:sz w:val="20"/>
                <w:szCs w:val="20"/>
                <w:color w:val="auto"/>
              </w:rPr>
            </w:pPr>
            <w:r>
              <w:rPr>
                <w:rFonts w:ascii="Times New Roman" w:cs="Times New Roman" w:eastAsia="Times New Roman" w:hAnsi="Times New Roman"/>
                <w:sz w:val="17"/>
                <w:szCs w:val="17"/>
                <w:color w:val="auto"/>
              </w:rPr>
              <w:t>period</w:t>
            </w:r>
          </w:p>
        </w:tc>
        <w:tc>
          <w:tcPr>
            <w:tcW w:w="100" w:type="dxa"/>
            <w:vAlign w:val="bottom"/>
          </w:tcPr>
          <w:p>
            <w:pPr>
              <w:spacing w:after="0"/>
              <w:rPr>
                <w:sz w:val="18"/>
                <w:szCs w:val="18"/>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6"/>
        </w:trPr>
        <w:tc>
          <w:tcPr>
            <w:tcW w:w="548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Unrealized gains on fixed maturity securities</w:t>
            </w: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available for sale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(6,876,629)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(65,286)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(6,941,915)</w:t>
            </w:r>
          </w:p>
        </w:tc>
      </w:tr>
      <w:tr>
        <w:trPr>
          <w:trHeight w:val="202"/>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Unrealized gains (losses) on restricted assets (1)</w:t>
            </w:r>
          </w:p>
        </w:tc>
        <w:tc>
          <w:tcPr>
            <w:tcW w:w="120" w:type="dxa"/>
            <w:vAlign w:val="bottom"/>
          </w:tcPr>
          <w:p>
            <w:pPr>
              <w:spacing w:after="0"/>
              <w:rPr>
                <w:sz w:val="17"/>
                <w:szCs w:val="17"/>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auto"/>
              </w:rPr>
              <w:t>(4,757)</w:t>
            </w:r>
          </w:p>
        </w:tc>
        <w:tc>
          <w:tcPr>
            <w:tcW w:w="120" w:type="dxa"/>
            <w:vAlign w:val="bottom"/>
          </w:tcPr>
          <w:p>
            <w:pPr>
              <w:spacing w:after="0"/>
              <w:rPr>
                <w:sz w:val="17"/>
                <w:szCs w:val="17"/>
                <w:color w:val="auto"/>
              </w:rPr>
            </w:pP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tcPr>
          <w:p>
            <w:pPr>
              <w:spacing w:after="0"/>
              <w:rPr>
                <w:sz w:val="17"/>
                <w:szCs w:val="17"/>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(4,126)</w:t>
            </w:r>
          </w:p>
        </w:tc>
      </w:tr>
      <w:tr>
        <w:trPr>
          <w:trHeight w:val="185"/>
        </w:trPr>
        <w:tc>
          <w:tcPr>
            <w:tcW w:w="5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Unrealized losses on cemetery perpetual</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care trust investments (1)</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(4,172)</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(1,053)</w:t>
            </w:r>
          </w:p>
        </w:tc>
        <w:tc>
          <w:tcPr>
            <w:tcW w:w="1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(5,225)</w:t>
            </w: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(6,885,558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(65,708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(6,951,266</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Fixed maturity securities available for sale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the accumulated balances of other comprehensive income (loss) as of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w w:val="99"/>
              </w:rPr>
              <w:t>Ending Balance</w:t>
            </w:r>
          </w:p>
        </w:tc>
      </w:tr>
      <w:tr>
        <w:trPr>
          <w:trHeight w:val="202"/>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01"/>
              <w:spacing w:after="0"/>
              <w:rPr>
                <w:sz w:val="20"/>
                <w:szCs w:val="20"/>
                <w:color w:val="auto"/>
              </w:rPr>
            </w:pPr>
            <w:r>
              <w:rPr>
                <w:rFonts w:ascii="Times New Roman" w:cs="Times New Roman" w:eastAsia="Times New Roman" w:hAnsi="Times New Roman"/>
                <w:sz w:val="17"/>
                <w:szCs w:val="17"/>
                <w:color w:val="auto"/>
              </w:rPr>
              <w:t>December 31,</w:t>
            </w:r>
          </w:p>
        </w:tc>
        <w:tc>
          <w:tcPr>
            <w:tcW w:w="1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w w:val="98"/>
              </w:rPr>
              <w:t>Change for the</w:t>
            </w:r>
          </w:p>
        </w:tc>
        <w:tc>
          <w:tcPr>
            <w:tcW w:w="100" w:type="dxa"/>
            <w:vAlign w:val="bottom"/>
          </w:tcPr>
          <w:p>
            <w:pPr>
              <w:spacing w:after="0"/>
              <w:rPr>
                <w:sz w:val="17"/>
                <w:szCs w:val="17"/>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w w:val="98"/>
              </w:rPr>
              <w:t>December 31,</w:t>
            </w:r>
          </w:p>
        </w:tc>
      </w:tr>
      <w:tr>
        <w:trPr>
          <w:trHeight w:val="218"/>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2022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period</w:t>
            </w:r>
          </w:p>
        </w:tc>
        <w:tc>
          <w:tcPr>
            <w:tcW w:w="100" w:type="dxa"/>
            <w:vAlign w:val="bottom"/>
          </w:tcPr>
          <w:p>
            <w:pPr>
              <w:spacing w:after="0"/>
              <w:rPr>
                <w:sz w:val="18"/>
                <w:szCs w:val="18"/>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6"/>
        </w:trPr>
        <w:tc>
          <w:tcPr>
            <w:tcW w:w="548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Unrealized gains (losses) on fixed maturity securities</w:t>
            </w: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available for sale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(13,050,767)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6,174,138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(6,876,629)</w:t>
            </w:r>
          </w:p>
        </w:tc>
      </w:tr>
      <w:tr>
        <w:trPr>
          <w:trHeight w:val="202"/>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Unrealized gains (losses) on restricted assets (1)</w:t>
            </w:r>
          </w:p>
        </w:tc>
        <w:tc>
          <w:tcPr>
            <w:tcW w:w="120" w:type="dxa"/>
            <w:vAlign w:val="bottom"/>
          </w:tcPr>
          <w:p>
            <w:pPr>
              <w:spacing w:after="0"/>
              <w:rPr>
                <w:sz w:val="17"/>
                <w:szCs w:val="17"/>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7"/>
                <w:szCs w:val="17"/>
                <w:color w:val="auto"/>
              </w:rPr>
              <w:t>(13,148)</w:t>
            </w:r>
          </w:p>
        </w:tc>
        <w:tc>
          <w:tcPr>
            <w:tcW w:w="120" w:type="dxa"/>
            <w:vAlign w:val="bottom"/>
          </w:tcPr>
          <w:p>
            <w:pPr>
              <w:spacing w:after="0"/>
              <w:rPr>
                <w:sz w:val="17"/>
                <w:szCs w:val="17"/>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8,391</w:t>
            </w:r>
          </w:p>
        </w:tc>
        <w:tc>
          <w:tcPr>
            <w:tcW w:w="100" w:type="dxa"/>
            <w:vAlign w:val="bottom"/>
          </w:tcPr>
          <w:p>
            <w:pPr>
              <w:spacing w:after="0"/>
              <w:rPr>
                <w:sz w:val="17"/>
                <w:szCs w:val="17"/>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(4,757)</w:t>
            </w:r>
          </w:p>
        </w:tc>
      </w:tr>
      <w:tr>
        <w:trPr>
          <w:trHeight w:val="185"/>
        </w:trPr>
        <w:tc>
          <w:tcPr>
            <w:tcW w:w="5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Unrealized gains (losses) on cemetery perpetual</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care trust investments (1)</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rPr>
              <w:t>(6,362)</w:t>
            </w: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2,190</w:t>
            </w:r>
          </w:p>
        </w:tc>
        <w:tc>
          <w:tcPr>
            <w:tcW w:w="1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(4,172)</w:t>
            </w:r>
          </w:p>
        </w:tc>
      </w:tr>
      <w:tr>
        <w:trPr>
          <w:trHeight w:val="207"/>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(13,070,277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6,184,719</w:t>
            </w:r>
          </w:p>
        </w:tc>
        <w:tc>
          <w:tcPr>
            <w:tcW w:w="3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(6,885,558</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Fixed maturity securities available for sale</w:t>
      </w:r>
    </w:p>
    <w:p>
      <w:pPr>
        <w:spacing w:after="0" w:line="3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Instruments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reports derivative instruments pursuant to the accounting policy discussed in Note 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fair value and notional amounts of derivative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6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Balance Sheet</w:t>
            </w:r>
          </w:p>
        </w:tc>
        <w:tc>
          <w:tcPr>
            <w:tcW w:w="200" w:type="dxa"/>
            <w:vAlign w:val="bottom"/>
          </w:tcPr>
          <w:p>
            <w:pPr>
              <w:spacing w:after="0"/>
              <w:rPr>
                <w:sz w:val="18"/>
                <w:szCs w:val="18"/>
                <w:color w:val="auto"/>
              </w:rPr>
            </w:pPr>
          </w:p>
        </w:tc>
        <w:tc>
          <w:tcPr>
            <w:tcW w:w="226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7"/>
                <w:szCs w:val="17"/>
                <w:color w:val="auto"/>
              </w:rPr>
              <w:t>December 31, 2024</w:t>
            </w: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7"/>
                <w:szCs w:val="17"/>
                <w:color w:val="auto"/>
              </w:rPr>
              <w:t>December 31, 2023</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78" w:lineRule="exact"/>
              <w:rPr>
                <w:sz w:val="20"/>
                <w:szCs w:val="20"/>
                <w:color w:val="auto"/>
              </w:rPr>
            </w:pPr>
            <w:r>
              <w:rPr>
                <w:rFonts w:ascii="Times New Roman" w:cs="Times New Roman" w:eastAsia="Times New Roman" w:hAnsi="Times New Roman"/>
                <w:sz w:val="17"/>
                <w:szCs w:val="17"/>
                <w:color w:val="auto"/>
                <w:w w:val="97"/>
              </w:rPr>
              <w:t>Notional</w:t>
            </w:r>
          </w:p>
        </w:tc>
        <w:tc>
          <w:tcPr>
            <w:tcW w:w="102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7"/>
                <w:szCs w:val="17"/>
                <w:color w:val="auto"/>
                <w:w w:val="97"/>
              </w:rPr>
              <w:t>Asset Fair</w:t>
            </w:r>
          </w:p>
        </w:tc>
        <w:tc>
          <w:tcPr>
            <w:tcW w:w="4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Liability</w:t>
            </w:r>
          </w:p>
        </w:tc>
        <w:tc>
          <w:tcPr>
            <w:tcW w:w="300" w:type="dxa"/>
            <w:vAlign w:val="bottom"/>
          </w:tcPr>
          <w:p>
            <w:pPr>
              <w:spacing w:after="0"/>
              <w:rPr>
                <w:sz w:val="15"/>
                <w:szCs w:val="15"/>
                <w:color w:val="auto"/>
              </w:rPr>
            </w:pPr>
          </w:p>
        </w:tc>
        <w:tc>
          <w:tcPr>
            <w:tcW w:w="1240" w:type="dxa"/>
            <w:vAlign w:val="bottom"/>
            <w:gridSpan w:val="2"/>
          </w:tcPr>
          <w:p>
            <w:pPr>
              <w:jc w:val="center"/>
              <w:ind w:right="300"/>
              <w:spacing w:after="0" w:line="178" w:lineRule="exact"/>
              <w:rPr>
                <w:sz w:val="20"/>
                <w:szCs w:val="20"/>
                <w:color w:val="auto"/>
              </w:rPr>
            </w:pPr>
            <w:r>
              <w:rPr>
                <w:rFonts w:ascii="Times New Roman" w:cs="Times New Roman" w:eastAsia="Times New Roman" w:hAnsi="Times New Roman"/>
                <w:sz w:val="17"/>
                <w:szCs w:val="17"/>
                <w:color w:val="auto"/>
                <w:w w:val="97"/>
              </w:rPr>
              <w:t>Notional</w:t>
            </w:r>
          </w:p>
        </w:tc>
        <w:tc>
          <w:tcPr>
            <w:tcW w:w="1060" w:type="dxa"/>
            <w:vAlign w:val="bottom"/>
            <w:gridSpan w:val="2"/>
          </w:tcPr>
          <w:p>
            <w:pPr>
              <w:jc w:val="center"/>
              <w:ind w:right="300"/>
              <w:spacing w:after="0" w:line="178" w:lineRule="exact"/>
              <w:rPr>
                <w:sz w:val="20"/>
                <w:szCs w:val="20"/>
                <w:color w:val="auto"/>
              </w:rPr>
            </w:pPr>
            <w:r>
              <w:rPr>
                <w:rFonts w:ascii="Times New Roman" w:cs="Times New Roman" w:eastAsia="Times New Roman" w:hAnsi="Times New Roman"/>
                <w:sz w:val="17"/>
                <w:szCs w:val="17"/>
                <w:color w:val="auto"/>
                <w:w w:val="97"/>
              </w:rPr>
              <w:t>Asset Fair</w:t>
            </w: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Liability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Location</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6"/>
              </w:rPr>
              <w:t>Amount</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3"/>
              </w:rPr>
              <w:t>Value</w:t>
            </w:r>
          </w:p>
        </w:tc>
        <w:tc>
          <w:tcPr>
            <w:tcW w:w="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6"/>
              </w:rPr>
              <w:t>Fair Value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6"/>
              </w:rPr>
              <w:t>Amount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3"/>
              </w:rPr>
              <w:t>Value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Fair Value</w:t>
            </w:r>
          </w:p>
        </w:tc>
        <w:tc>
          <w:tcPr>
            <w:tcW w:w="0" w:type="dxa"/>
            <w:vAlign w:val="bottom"/>
          </w:tcPr>
          <w:p>
            <w:pPr>
              <w:spacing w:after="0"/>
              <w:rPr>
                <w:sz w:val="1"/>
                <w:szCs w:val="1"/>
                <w:color w:val="auto"/>
              </w:rPr>
            </w:pPr>
          </w:p>
        </w:tc>
      </w:tr>
      <w:tr>
        <w:trPr>
          <w:trHeight w:val="166"/>
        </w:trPr>
        <w:tc>
          <w:tcPr>
            <w:tcW w:w="326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Derivatives not designated as hedging</w:t>
            </w:r>
          </w:p>
        </w:tc>
        <w:tc>
          <w:tcPr>
            <w:tcW w:w="12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instruments: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12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Other assets and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Loan commitments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Other liabilities</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 xml:space="preserve"> 210,597,657</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$ 5,348,089</w:t>
            </w:r>
          </w:p>
        </w:tc>
        <w:tc>
          <w:tcPr>
            <w:tcW w:w="24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$ 3,034,879</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 xml:space="preserve"> 161,832,250</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$ 4,995,486</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$ 3,412,224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 xml:space="preserve"> 210,597,657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$ 5,348,089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4"/>
              </w:rPr>
              <w:t>$ 3,034,879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 xml:space="preserve"> 161,832,250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$ 4,995,486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$ 3,412,224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presents the gains (losses) on derivatives. There were no gains or losses reclassified from accumulated other comprehensive income into income, or gains or losses recognized into income on the ineffective portion of the derivatives or any amounts excluded from effective testing.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right"/>
              <w:ind w:right="581"/>
              <w:spacing w:after="0"/>
              <w:rPr>
                <w:sz w:val="20"/>
                <w:szCs w:val="20"/>
                <w:color w:val="auto"/>
              </w:rPr>
            </w:pPr>
            <w:r>
              <w:rPr>
                <w:rFonts w:ascii="Times New Roman" w:cs="Times New Roman" w:eastAsia="Times New Roman" w:hAnsi="Times New Roman"/>
                <w:sz w:val="17"/>
                <w:szCs w:val="17"/>
                <w:color w:val="auto"/>
              </w:rPr>
              <w:t>Years ended December 31,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Derivative</w:t>
            </w:r>
          </w:p>
        </w:tc>
        <w:tc>
          <w:tcPr>
            <w:tcW w:w="180" w:type="dxa"/>
            <w:vAlign w:val="bottom"/>
            <w:tcBorders>
              <w:bottom w:val="single" w:sz="8" w:color="CCEEFF"/>
            </w:tcBorders>
          </w:tcPr>
          <w:p>
            <w:pPr>
              <w:spacing w:after="0"/>
              <w:rPr>
                <w:sz w:val="18"/>
                <w:szCs w:val="18"/>
                <w:color w:val="auto"/>
              </w:rPr>
            </w:pPr>
          </w:p>
        </w:tc>
        <w:tc>
          <w:tcPr>
            <w:tcW w:w="28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Classification</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commitments</w:t>
            </w:r>
          </w:p>
        </w:tc>
        <w:tc>
          <w:tcPr>
            <w:tcW w:w="18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fee income</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729,948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Call and put options</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on investments and other assets</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49,963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20) Mortgage Servicing Rights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7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Company reports MSRs pursuant to the accounting policy discussed in Note 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table presents the MSR activity.</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Amortized cost:</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Balance before valuation allowance at beginning of year</w:t>
            </w:r>
          </w:p>
        </w:tc>
        <w:tc>
          <w:tcPr>
            <w:tcW w:w="4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3,461,146</w:t>
            </w:r>
          </w:p>
        </w:tc>
        <w:tc>
          <w:tcPr>
            <w:tcW w:w="160" w:type="dxa"/>
            <w:vAlign w:val="bottom"/>
          </w:tcPr>
          <w:p>
            <w:pPr>
              <w:spacing w:after="0"/>
              <w:rPr>
                <w:sz w:val="17"/>
                <w:szCs w:val="17"/>
                <w:color w:val="auto"/>
              </w:rPr>
            </w:pP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3,039,765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MSR additions resulting from loan sales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90,370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1,009,312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Amortization (1)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(611,638)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(587,931)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MSRs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6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auto"/>
              </w:rPr>
              <w:t>Application of valuation allowance to write down MSRs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with other than temporary impairment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before valuation allowance at year end</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2,939,878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3,461,146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 for impairment of MSRs: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4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6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auto"/>
              </w:rPr>
              <w:t>Application of valuation allowance to write down MSRs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with other than temporary impairment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year end</w:t>
            </w: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servicing rights, net</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2,939,878</w:t>
            </w:r>
          </w:p>
        </w:tc>
        <w:tc>
          <w:tcPr>
            <w:tcW w:w="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3,461,146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Estimated fair value of MSRs at year end</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4,552,316</w:t>
            </w:r>
          </w:p>
        </w:tc>
        <w:tc>
          <w:tcPr>
            <w:tcW w:w="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4,543,657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(1)Included in other expenses on the consolidated statements of earnings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table below summarizes the Company’s estimate of future amortization of its existing MSRs carried at amortized cost. This projection was developed using the Company’s assumptions in its December 31, 2024, valuation of MSRs. The assumptions used in the following table are likely to change as market conditions, portfolio composition and borrower behavior change, causing both actual and projected amortization levels to change over time.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Estimated</w:t>
            </w:r>
          </w:p>
        </w:tc>
      </w:tr>
      <w:tr>
        <w:trPr>
          <w:trHeight w:val="202"/>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MSR</w:t>
            </w:r>
          </w:p>
        </w:tc>
      </w:tr>
      <w:tr>
        <w:trPr>
          <w:trHeight w:val="218"/>
        </w:trPr>
        <w:tc>
          <w:tcPr>
            <w:tcW w:w="4600" w:type="dxa"/>
            <w:vAlign w:val="bottom"/>
          </w:tcPr>
          <w:p>
            <w:pPr>
              <w:spacing w:after="0"/>
              <w:rPr>
                <w:sz w:val="18"/>
                <w:szCs w:val="18"/>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w w:val="97"/>
              </w:rPr>
              <w:t>Amortization</w:t>
            </w:r>
          </w:p>
        </w:tc>
      </w:tr>
      <w:tr>
        <w:trPr>
          <w:trHeight w:val="195"/>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305,312</w:t>
            </w:r>
          </w:p>
        </w:tc>
        <w:tc>
          <w:tcPr>
            <w:tcW w:w="40" w:type="dxa"/>
            <w:vAlign w:val="bottom"/>
            <w:tcBorders>
              <w:top w:val="single" w:sz="8" w:color="CCEEFF"/>
            </w:tcBorders>
            <w:shd w:val="clear" w:color="auto" w:fill="CCEEFF"/>
          </w:tcPr>
          <w:p>
            <w:pPr>
              <w:spacing w:after="0"/>
              <w:rPr>
                <w:sz w:val="16"/>
                <w:szCs w:val="16"/>
                <w:color w:val="auto"/>
              </w:rPr>
            </w:pP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272,903</w:t>
            </w:r>
          </w:p>
        </w:tc>
      </w:tr>
      <w:tr>
        <w:trPr>
          <w:trHeight w:val="20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249,515</w:t>
            </w: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224,804</w:t>
            </w:r>
          </w:p>
        </w:tc>
      </w:tr>
      <w:tr>
        <w:trPr>
          <w:trHeight w:val="20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202,811</w:t>
            </w:r>
          </w:p>
        </w:tc>
      </w:tr>
      <w:tr>
        <w:trPr>
          <w:trHeight w:val="214"/>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1,684,533</w:t>
            </w:r>
          </w:p>
        </w:tc>
      </w:tr>
      <w:tr>
        <w:trPr>
          <w:trHeight w:val="207"/>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2,939,878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Mortgage Servicing Rights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collected the following contractual servicing fee income and late fee income as reported in other revenues on the consolidated statements of earnings.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right"/>
              <w:ind w:right="260"/>
              <w:spacing w:after="0"/>
              <w:rPr>
                <w:sz w:val="20"/>
                <w:szCs w:val="20"/>
                <w:color w:val="auto"/>
              </w:rPr>
            </w:pPr>
            <w:r>
              <w:rPr>
                <w:rFonts w:ascii="Times New Roman" w:cs="Times New Roman" w:eastAsia="Times New Roman" w:hAnsi="Times New Roman"/>
                <w:sz w:val="17"/>
                <w:szCs w:val="17"/>
                <w:color w:val="auto"/>
                <w:w w:val="99"/>
              </w:rPr>
              <w:t>Years Ended December 31,</w:t>
            </w:r>
          </w:p>
        </w:tc>
      </w:tr>
      <w:tr>
        <w:trPr>
          <w:trHeight w:val="207"/>
        </w:trPr>
        <w:tc>
          <w:tcPr>
            <w:tcW w:w="4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8"/>
                <w:szCs w:val="18"/>
                <w:color w:val="auto"/>
              </w:rPr>
            </w:pPr>
          </w:p>
        </w:tc>
      </w:tr>
      <w:tr>
        <w:trPr>
          <w:trHeight w:val="194"/>
        </w:trPr>
        <w:tc>
          <w:tcPr>
            <w:tcW w:w="4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Contractual servicing fees</w:t>
            </w:r>
          </w:p>
        </w:tc>
        <w:tc>
          <w:tcPr>
            <w:tcW w:w="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968,814</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1,144,540</w:t>
            </w:r>
          </w:p>
        </w:tc>
        <w:tc>
          <w:tcPr>
            <w:tcW w:w="60" w:type="dxa"/>
            <w:vAlign w:val="bottom"/>
            <w:shd w:val="clear" w:color="auto" w:fill="CCEEFF"/>
          </w:tcPr>
          <w:p>
            <w:pPr>
              <w:spacing w:after="0"/>
              <w:rPr>
                <w:sz w:val="16"/>
                <w:szCs w:val="16"/>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Late fees</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77,123</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97,300</w:t>
            </w:r>
          </w:p>
        </w:tc>
      </w:tr>
      <w:tr>
        <w:trPr>
          <w:trHeight w:val="207"/>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1,045,937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1,241,840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unpaid principal balances (“UPB”) of the servicing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80" w:type="dxa"/>
            <w:vAlign w:val="bottom"/>
            <w:gridSpan w:val="4"/>
          </w:tcPr>
          <w:p>
            <w:pPr>
              <w:ind w:left="640"/>
              <w:spacing w:after="0"/>
              <w:rPr>
                <w:sz w:val="20"/>
                <w:szCs w:val="20"/>
                <w:color w:val="auto"/>
              </w:rPr>
            </w:pPr>
            <w:r>
              <w:rPr>
                <w:rFonts w:ascii="Times New Roman" w:cs="Times New Roman" w:eastAsia="Times New Roman" w:hAnsi="Times New Roman"/>
                <w:sz w:val="17"/>
                <w:szCs w:val="17"/>
                <w:color w:val="auto"/>
              </w:rPr>
              <w:t>December 31,</w:t>
            </w:r>
          </w:p>
        </w:tc>
      </w:tr>
      <w:tr>
        <w:trPr>
          <w:trHeight w:val="207"/>
        </w:trPr>
        <w:tc>
          <w:tcPr>
            <w:tcW w:w="2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2024</w:t>
            </w:r>
          </w:p>
        </w:tc>
        <w:tc>
          <w:tcPr>
            <w:tcW w:w="1200" w:type="dxa"/>
            <w:vAlign w:val="bottom"/>
            <w:tcBorders>
              <w:top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8"/>
                <w:szCs w:val="18"/>
                <w:color w:val="auto"/>
              </w:rPr>
            </w:pPr>
          </w:p>
        </w:tc>
      </w:tr>
      <w:tr>
        <w:trPr>
          <w:trHeight w:val="194"/>
        </w:trPr>
        <w:tc>
          <w:tcPr>
            <w:tcW w:w="27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Servicing UPB</w:t>
            </w:r>
          </w:p>
        </w:tc>
        <w:tc>
          <w:tcPr>
            <w:tcW w:w="17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$ 385,134,774</w:t>
            </w: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$ 414,147,436</w:t>
            </w:r>
          </w:p>
        </w:tc>
        <w:tc>
          <w:tcPr>
            <w:tcW w:w="60" w:type="dxa"/>
            <w:vAlign w:val="bottom"/>
            <w:tcBorders>
              <w:top w:val="single" w:sz="8" w:color="CCEEFF"/>
            </w:tcBorders>
            <w:shd w:val="clear" w:color="auto" w:fill="CCEEFF"/>
          </w:tcPr>
          <w:p>
            <w:pPr>
              <w:spacing w:after="0"/>
              <w:rPr>
                <w:sz w:val="16"/>
                <w:szCs w:val="16"/>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key assumptions were used in determining MSR value.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6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Prepayment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7"/>
                <w:szCs w:val="17"/>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Discount</w:t>
            </w:r>
          </w:p>
        </w:tc>
        <w:tc>
          <w:tcPr>
            <w:tcW w:w="4500" w:type="dxa"/>
            <w:vAlign w:val="bottom"/>
          </w:tcPr>
          <w:p>
            <w:pPr>
              <w:spacing w:after="0"/>
              <w:rPr>
                <w:sz w:val="17"/>
                <w:szCs w:val="17"/>
                <w:color w:val="auto"/>
              </w:rPr>
            </w:pPr>
          </w:p>
        </w:tc>
      </w:tr>
      <w:tr>
        <w:trPr>
          <w:trHeight w:val="218"/>
        </w:trPr>
        <w:tc>
          <w:tcPr>
            <w:tcW w:w="32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Speeds</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Life(Years)</w:t>
            </w:r>
          </w:p>
        </w:tc>
        <w:tc>
          <w:tcPr>
            <w:tcW w:w="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Rate</w:t>
            </w:r>
          </w:p>
        </w:tc>
        <w:tc>
          <w:tcPr>
            <w:tcW w:w="4500" w:type="dxa"/>
            <w:vAlign w:val="bottom"/>
          </w:tcPr>
          <w:p>
            <w:pPr>
              <w:spacing w:after="0"/>
              <w:rPr>
                <w:sz w:val="18"/>
                <w:szCs w:val="18"/>
                <w:color w:val="auto"/>
              </w:rPr>
            </w:pPr>
          </w:p>
        </w:tc>
      </w:tr>
      <w:tr>
        <w:trPr>
          <w:trHeight w:val="195"/>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2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4500" w:type="dxa"/>
            <w:vAlign w:val="bottom"/>
          </w:tcPr>
          <w:p>
            <w:pPr>
              <w:spacing w:after="0"/>
              <w:rPr>
                <w:sz w:val="16"/>
                <w:szCs w:val="16"/>
                <w:color w:val="auto"/>
              </w:rPr>
            </w:pPr>
          </w:p>
        </w:tc>
      </w:tr>
      <w:tr>
        <w:trPr>
          <w:trHeight w:val="218"/>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9.70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4500" w:type="dxa"/>
            <w:vAlign w:val="bottom"/>
          </w:tcPr>
          <w:p>
            <w:pPr>
              <w:spacing w:after="0"/>
              <w:rPr>
                <w:sz w:val="18"/>
                <w:szCs w:val="18"/>
                <w:color w:val="auto"/>
              </w:rPr>
            </w:pPr>
          </w:p>
        </w:tc>
      </w:tr>
      <w:tr>
        <w:trPr>
          <w:trHeight w:val="387"/>
        </w:trPr>
        <w:tc>
          <w:tcPr>
            <w:tcW w:w="3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916"/>
              <w:spacing w:after="0"/>
              <w:rPr>
                <w:sz w:val="20"/>
                <w:szCs w:val="20"/>
                <w:color w:val="auto"/>
              </w:rPr>
            </w:pPr>
            <w:r>
              <w:rPr>
                <w:rFonts w:ascii="Times New Roman" w:cs="Times New Roman" w:eastAsia="Times New Roman" w:hAnsi="Times New Roman"/>
                <w:sz w:val="17"/>
                <w:szCs w:val="17"/>
                <w:color w:val="auto"/>
                <w:w w:val="86"/>
              </w:rPr>
              <w:t>110</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Future Policy Benefits and Unpaid Claims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reports future policy benefits and unpaid claims pursuant to the accounting policy discussed in Note 1.</w:t>
      </w:r>
    </w:p>
    <w:p>
      <w:pPr>
        <w:spacing w:after="0" w:line="208" w:lineRule="exact"/>
        <w:rPr>
          <w:sz w:val="20"/>
          <w:szCs w:val="20"/>
          <w:color w:val="auto"/>
        </w:rPr>
      </w:pPr>
    </w:p>
    <w:p>
      <w:pPr>
        <w:ind w:left="6960" w:right="2140" w:hanging="6954"/>
        <w:spacing w:after="0" w:line="277" w:lineRule="auto"/>
        <w:rPr>
          <w:sz w:val="20"/>
          <w:szCs w:val="20"/>
          <w:color w:val="auto"/>
        </w:rPr>
      </w:pPr>
      <w:r>
        <w:rPr>
          <w:rFonts w:ascii="Times New Roman" w:cs="Times New Roman" w:eastAsia="Times New Roman" w:hAnsi="Times New Roman"/>
          <w:sz w:val="17"/>
          <w:szCs w:val="17"/>
          <w:color w:val="auto"/>
        </w:rPr>
        <w:t>The following table provides information regarding future policy benefits and unpaid claims and the related receivable from reinsurers. December 31,</w:t>
      </w: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6"/>
              <w:spacing w:after="0" w:line="189" w:lineRule="exact"/>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6"/>
              <w:spacing w:after="0" w:line="189" w:lineRule="exact"/>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Life</w:t>
            </w: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790,212,538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756,936,902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Annuities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105,815,690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106,285,010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Policyholder account balances</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37,066,043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39,245,123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Accident and health</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543,792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572,689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policyholder funds</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4,482,462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4,411,108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Reported but unpaid claims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2,463,220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3,525,774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Incurred but not reported claims</w:t>
            </w:r>
          </w:p>
        </w:tc>
        <w:tc>
          <w:tcPr>
            <w:tcW w:w="1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4,228,098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future policy benefits and unpaid claims</w:t>
            </w:r>
          </w:p>
        </w:tc>
        <w:tc>
          <w:tcPr>
            <w:tcW w:w="17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944,811,843</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916,038,616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2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Receivable from reinsurers</w:t>
            </w: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Life</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10,285,092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10,478,863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Annuities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3,415,644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4,238,934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Accident and health</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74,762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Reported but unpaid claims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45,595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48,345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Incurred but not reported claims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13,000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receivable from reinsurers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13,831,093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14,857,059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future policy benefits and unpaid claims</w:t>
            </w:r>
          </w:p>
        </w:tc>
        <w:tc>
          <w:tcPr>
            <w:tcW w:w="17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930,980,750</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901,181,557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1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unpaid claims</w:t>
            </w:r>
          </w:p>
        </w:tc>
        <w:tc>
          <w:tcPr>
            <w:tcW w:w="17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6,635,723</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8,526,439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provides a roll forward of the Company’s liability for reported but unpaid claims and incurred but not reported claims, net of the related receivable from reinsurers.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900"/>
              <w:spacing w:after="0"/>
              <w:rPr>
                <w:sz w:val="20"/>
                <w:szCs w:val="20"/>
                <w:color w:val="auto"/>
              </w:rPr>
            </w:pPr>
            <w:r>
              <w:rPr>
                <w:rFonts w:ascii="Times New Roman" w:cs="Times New Roman" w:eastAsia="Times New Roman" w:hAnsi="Times New Roman"/>
                <w:sz w:val="17"/>
                <w:szCs w:val="17"/>
                <w:color w:val="auto"/>
              </w:rPr>
              <w:t>Life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Annuities</w:t>
            </w:r>
          </w:p>
        </w:tc>
        <w:tc>
          <w:tcPr>
            <w:tcW w:w="120" w:type="dxa"/>
            <w:vAlign w:val="bottom"/>
          </w:tcPr>
          <w:p>
            <w:pPr>
              <w:spacing w:after="0"/>
              <w:rPr>
                <w:sz w:val="18"/>
                <w:szCs w:val="18"/>
                <w:color w:val="auto"/>
              </w:rPr>
            </w:pPr>
          </w:p>
        </w:tc>
        <w:tc>
          <w:tcPr>
            <w:tcW w:w="184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w w:val="98"/>
              </w:rPr>
              <w:t>Accident and Health</w:t>
            </w:r>
          </w:p>
        </w:tc>
        <w:tc>
          <w:tcPr>
            <w:tcW w:w="3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Total</w:t>
            </w:r>
          </w:p>
        </w:tc>
      </w:tr>
      <w:tr>
        <w:trPr>
          <w:trHeight w:val="195"/>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12/31/2022</w:t>
            </w:r>
          </w:p>
        </w:tc>
        <w:tc>
          <w:tcPr>
            <w:tcW w:w="13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9,404,263</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649,452</w:t>
            </w: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4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10,070,715</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Incurred</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61,390,517(1)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12,669,463(2)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30,408(3)</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74,090,388</w:t>
            </w:r>
          </w:p>
        </w:tc>
      </w:tr>
      <w:tr>
        <w:trPr>
          <w:trHeight w:val="21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Settled</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(62,665,619)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(12,939,637)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(29,408)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(75,634,664)</w:t>
            </w:r>
          </w:p>
        </w:tc>
      </w:tr>
      <w:tr>
        <w:trPr>
          <w:trHeight w:val="194"/>
        </w:trPr>
        <w:tc>
          <w:tcPr>
            <w:tcW w:w="284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Balance at 12/31/2023</w:t>
            </w:r>
          </w:p>
        </w:tc>
        <w:tc>
          <w:tcPr>
            <w:tcW w:w="13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8,129,161</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379,278</w:t>
            </w: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18,000</w:t>
            </w:r>
          </w:p>
        </w:tc>
        <w:tc>
          <w:tcPr>
            <w:tcW w:w="4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8,526,439</w:t>
            </w:r>
          </w:p>
        </w:tc>
        <w:tc>
          <w:tcPr>
            <w:tcW w:w="100" w:type="dxa"/>
            <w:vAlign w:val="bottom"/>
            <w:tcBorders>
              <w:bottom w:val="single" w:sz="8" w:color="CCEEFF"/>
            </w:tcBorders>
          </w:tcPr>
          <w:p>
            <w:pPr>
              <w:spacing w:after="0"/>
              <w:rPr>
                <w:sz w:val="16"/>
                <w:szCs w:val="16"/>
                <w:color w:val="auto"/>
              </w:rPr>
            </w:pPr>
          </w:p>
        </w:tc>
      </w:tr>
      <w:tr>
        <w:trPr>
          <w:trHeight w:val="194"/>
        </w:trPr>
        <w:tc>
          <w:tcPr>
            <w:tcW w:w="2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Incurred</w:t>
            </w:r>
          </w:p>
        </w:tc>
        <w:tc>
          <w:tcPr>
            <w:tcW w:w="1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58,116,837(1)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12,416,335(2)</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2,767(3)</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70,535,939</w:t>
            </w:r>
          </w:p>
        </w:tc>
        <w:tc>
          <w:tcPr>
            <w:tcW w:w="100" w:type="dxa"/>
            <w:vAlign w:val="bottom"/>
            <w:shd w:val="clear" w:color="auto" w:fill="CCEEFF"/>
          </w:tcPr>
          <w:p>
            <w:pPr>
              <w:spacing w:after="0"/>
              <w:rPr>
                <w:sz w:val="16"/>
                <w:szCs w:val="16"/>
                <w:color w:val="auto"/>
              </w:rPr>
            </w:pPr>
          </w:p>
        </w:tc>
      </w:tr>
      <w:tr>
        <w:trPr>
          <w:trHeight w:val="214"/>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Settled</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(59,882,755)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(12,540,133)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(3,767)</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(72,426,655)</w:t>
            </w:r>
          </w:p>
        </w:tc>
      </w:tr>
      <w:tr>
        <w:trPr>
          <w:trHeight w:val="207"/>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12/31/2024</w:t>
            </w: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6,363,243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255,480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6,635,723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ind w:left="320" w:hanging="263"/>
        <w:spacing w:after="0"/>
        <w:tabs>
          <w:tab w:leader="none" w:pos="3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death benefits on the consolidated statements of earnings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increase in future benefits on the consolidated statements of earnings</w:t>
      </w:r>
    </w:p>
    <w:p>
      <w:pPr>
        <w:spacing w:after="0" w:line="107" w:lineRule="exact"/>
        <w:rPr>
          <w:rFonts w:ascii="Times New Roman" w:cs="Times New Roman" w:eastAsia="Times New Roman" w:hAnsi="Times New Roman"/>
          <w:sz w:val="17"/>
          <w:szCs w:val="17"/>
          <w:color w:val="auto"/>
        </w:rPr>
      </w:pPr>
    </w:p>
    <w:p>
      <w:pPr>
        <w:ind w:left="320" w:hanging="263"/>
        <w:spacing w:after="0"/>
        <w:tabs>
          <w:tab w:leader="none" w:pos="3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surrender and other policy benefits on the consolidated statements of earnings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Revenues from Contracts with Customers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reports revenues from contracts with customers pursuant to ASC No. 606, Revenue from Contracts with Customers.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Contracts with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Information about Performance Obligations and Contract Balances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2024 and 2023, the balances were $20,168,405 and $18,237,246,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three types of future obligations are as follows: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Pre-need Merchandise and Service Revenue</w:t>
      </w:r>
      <w:r>
        <w:rPr>
          <w:rFonts w:ascii="Times New Roman" w:cs="Times New Roman" w:eastAsia="Times New Roman" w:hAnsi="Times New Roman"/>
          <w:sz w:val="17"/>
          <w:szCs w:val="17"/>
          <w:color w:val="auto"/>
        </w:rPr>
        <w:t>: All pre-need merchandise and service revenue is deferred, and the funds are placed in trust until the need arises,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merchandise is received, or the service is performed. The trust is then relieved, and the revenue and commissions are recognized. As of December 31, 2024 and 2023, the balances were $19,511,868 and $17,424,764, respectively.</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At-need Specialty Merchandise Revenue</w:t>
      </w:r>
      <w:r>
        <w:rPr>
          <w:rFonts w:ascii="Times New Roman" w:cs="Times New Roman" w:eastAsia="Times New Roman" w:hAnsi="Times New Roman"/>
          <w:sz w:val="17"/>
          <w:szCs w:val="17"/>
          <w:color w:val="auto"/>
        </w:rPr>
        <w:t>: At-need specialty merchandise revenue consists of customizable merchandise ordered from a manufacturer such as markers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bases. When specialty merchandise is ordered, it can take time to manufacture and deliver the product. Revenue is deferred until the at-need merchandise is received. As of December 31, 2024 and 2023, the balances were $656,537 and $812,482, respectively. Deferred revenue for at-need specialty revenue is not placed in trust.</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Deferred Pre-need Land Revenue</w:t>
      </w:r>
      <w:r>
        <w:rPr>
          <w:rFonts w:ascii="Times New Roman" w:cs="Times New Roman" w:eastAsia="Times New Roman" w:hAnsi="Times New Roman"/>
          <w:sz w:val="17"/>
          <w:szCs w:val="17"/>
          <w:color w:val="auto"/>
        </w:rPr>
        <w:t>: Deferred pre-need revenue and corresponding commissions are deferred until 10% of the funds are received from the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regular monthly payments. As of December 31, 2024 and 2023, the balances were nil and nil, respectively. Deferred pre-need land revenue is not placed in trust.</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Revenues from Contracts with Customers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opening and closing balances of the Company’s receivables, contract assets and contract liabilities are as follows:</w:t>
      </w:r>
    </w:p>
    <w:p>
      <w:pPr>
        <w:spacing w:after="0" w:line="2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Contract Balances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7"/>
                <w:szCs w:val="17"/>
                <w:color w:val="auto"/>
                <w:w w:val="97"/>
              </w:rPr>
              <w:t>Receivables (1)</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center"/>
              <w:ind w:left="16"/>
              <w:spacing w:after="0"/>
              <w:rPr>
                <w:sz w:val="20"/>
                <w:szCs w:val="20"/>
                <w:color w:val="auto"/>
              </w:rPr>
            </w:pPr>
            <w:r>
              <w:rPr>
                <w:rFonts w:ascii="Times New Roman" w:cs="Times New Roman" w:eastAsia="Times New Roman" w:hAnsi="Times New Roman"/>
                <w:sz w:val="17"/>
                <w:szCs w:val="17"/>
                <w:color w:val="auto"/>
                <w:w w:val="99"/>
              </w:rPr>
              <w:t>Contract Asset</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Contract Liability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Opening (1/1/2024)</w:t>
            </w: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6,321,573</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18,237,246</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(12/31/2024)</w:t>
            </w: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7,095,589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20,168,405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Increase/(decrease)</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1,931,159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16"/>
              <w:spacing w:after="0"/>
              <w:rPr>
                <w:sz w:val="20"/>
                <w:szCs w:val="20"/>
                <w:color w:val="auto"/>
              </w:rPr>
            </w:pPr>
            <w:r>
              <w:rPr>
                <w:rFonts w:ascii="Times New Roman" w:cs="Times New Roman" w:eastAsia="Times New Roman" w:hAnsi="Times New Roman"/>
                <w:sz w:val="17"/>
                <w:szCs w:val="17"/>
                <w:color w:val="auto"/>
                <w:w w:val="99"/>
              </w:rPr>
              <w:t>Contract Balances</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w w:val="97"/>
              </w:rPr>
              <w:t>Receivables (1)</w:t>
            </w:r>
          </w:p>
        </w:tc>
        <w:tc>
          <w:tcPr>
            <w:tcW w:w="140" w:type="dxa"/>
            <w:vAlign w:val="bottom"/>
          </w:tcPr>
          <w:p>
            <w:pPr>
              <w:spacing w:after="0"/>
              <w:rPr>
                <w:sz w:val="18"/>
                <w:szCs w:val="18"/>
                <w:color w:val="auto"/>
              </w:rPr>
            </w:pPr>
          </w:p>
        </w:tc>
        <w:tc>
          <w:tcPr>
            <w:tcW w:w="1420" w:type="dxa"/>
            <w:vAlign w:val="bottom"/>
            <w:gridSpan w:val="3"/>
          </w:tcPr>
          <w:p>
            <w:pPr>
              <w:jc w:val="center"/>
              <w:ind w:left="16"/>
              <w:spacing w:after="0"/>
              <w:rPr>
                <w:sz w:val="20"/>
                <w:szCs w:val="20"/>
                <w:color w:val="auto"/>
              </w:rPr>
            </w:pPr>
            <w:r>
              <w:rPr>
                <w:rFonts w:ascii="Times New Roman" w:cs="Times New Roman" w:eastAsia="Times New Roman" w:hAnsi="Times New Roman"/>
                <w:sz w:val="17"/>
                <w:szCs w:val="17"/>
                <w:color w:val="auto"/>
                <w:w w:val="99"/>
              </w:rPr>
              <w:t>Contract Asset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76"/>
              <w:spacing w:after="0"/>
              <w:rPr>
                <w:sz w:val="20"/>
                <w:szCs w:val="20"/>
                <w:color w:val="auto"/>
              </w:rPr>
            </w:pPr>
            <w:r>
              <w:rPr>
                <w:rFonts w:ascii="Times New Roman" w:cs="Times New Roman" w:eastAsia="Times New Roman" w:hAnsi="Times New Roman"/>
                <w:sz w:val="17"/>
                <w:szCs w:val="17"/>
                <w:color w:val="auto"/>
              </w:rPr>
              <w:t>Contract Liability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Opening (1/1/2023)</w:t>
            </w: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5,392,779</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16,226,836</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(12/31/2023)</w:t>
            </w: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6,321,573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18,237,246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Increase/(decrease)</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928,794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2,010,410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(1)Included in Receivables, net on the</w:t>
            </w: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7"/>
        </w:trPr>
        <w:tc>
          <w:tcPr>
            <w:tcW w:w="73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following table disaggregates the opening and closing balances of the Company’s contract balances.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Contract Balances</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7"/>
                <w:szCs w:val="17"/>
                <w:color w:val="auto"/>
              </w:rPr>
              <w:t>Contract Asset</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Contract Liability</w:t>
            </w:r>
          </w:p>
        </w:tc>
        <w:tc>
          <w:tcPr>
            <w:tcW w:w="100" w:type="dxa"/>
            <w:vAlign w:val="bottom"/>
            <w:tcBorders>
              <w:bottom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Pre-need merchandise and services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17,424,764</w:t>
            </w:r>
          </w:p>
        </w:tc>
        <w:tc>
          <w:tcPr>
            <w:tcW w:w="10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At-need specialty merchandise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812,482</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Pre-need land sales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Opening (1/1/2024)</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18,237,246</w:t>
            </w:r>
          </w:p>
        </w:tc>
        <w:tc>
          <w:tcPr>
            <w:tcW w:w="100" w:type="dxa"/>
            <w:vAlign w:val="bottom"/>
            <w:tcBorders>
              <w:bottom w:val="single" w:sz="8" w:color="CCEEFF"/>
            </w:tcBorders>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Pre-need merchandise and services</w:t>
            </w:r>
          </w:p>
        </w:tc>
        <w:tc>
          <w:tcPr>
            <w:tcW w:w="160" w:type="dxa"/>
            <w:vAlign w:val="bottom"/>
          </w:tcPr>
          <w:p>
            <w:pPr>
              <w:spacing w:after="0"/>
              <w:rPr>
                <w:sz w:val="17"/>
                <w:szCs w:val="17"/>
                <w:color w:val="auto"/>
              </w:rPr>
            </w:pPr>
          </w:p>
        </w:tc>
        <w:tc>
          <w:tcPr>
            <w:tcW w:w="136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3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19,511,868</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At-need specialty merchandise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656,537</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Pre-need land sales</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(12/31/2024)</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20,168,405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Contract Balances</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7"/>
                <w:szCs w:val="17"/>
                <w:color w:val="auto"/>
              </w:rPr>
              <w:t>Contract Asset</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Contract Liability</w:t>
            </w:r>
          </w:p>
        </w:tc>
        <w:tc>
          <w:tcPr>
            <w:tcW w:w="100" w:type="dxa"/>
            <w:vAlign w:val="bottom"/>
            <w:tcBorders>
              <w:bottom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Pre-need merchandise and services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15,289,901</w:t>
            </w:r>
          </w:p>
        </w:tc>
        <w:tc>
          <w:tcPr>
            <w:tcW w:w="10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At-need specialty merchandise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936,935</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Pre-need land sales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Opening (1/1/2023)</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16,226,836</w:t>
            </w:r>
          </w:p>
        </w:tc>
        <w:tc>
          <w:tcPr>
            <w:tcW w:w="100" w:type="dxa"/>
            <w:vAlign w:val="bottom"/>
            <w:tcBorders>
              <w:bottom w:val="single" w:sz="8" w:color="CCEEFF"/>
            </w:tcBorders>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Pre-need merchandise and services</w:t>
            </w:r>
          </w:p>
        </w:tc>
        <w:tc>
          <w:tcPr>
            <w:tcW w:w="160" w:type="dxa"/>
            <w:vAlign w:val="bottom"/>
          </w:tcPr>
          <w:p>
            <w:pPr>
              <w:spacing w:after="0"/>
              <w:rPr>
                <w:sz w:val="17"/>
                <w:szCs w:val="17"/>
                <w:color w:val="auto"/>
              </w:rPr>
            </w:pPr>
          </w:p>
        </w:tc>
        <w:tc>
          <w:tcPr>
            <w:tcW w:w="136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3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17,424,764</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At-need specialty merchandise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812,482</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Pre-need land sales</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(12/31/2023)</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18,237,246</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center"/>
              <w:ind w:left="176"/>
              <w:spacing w:after="0"/>
              <w:rPr>
                <w:sz w:val="20"/>
                <w:szCs w:val="20"/>
                <w:color w:val="auto"/>
              </w:rPr>
            </w:pPr>
            <w:r>
              <w:rPr>
                <w:rFonts w:ascii="Times New Roman" w:cs="Times New Roman" w:eastAsia="Times New Roman" w:hAnsi="Times New Roman"/>
                <w:sz w:val="17"/>
                <w:szCs w:val="17"/>
                <w:color w:val="auto"/>
                <w:w w:val="93"/>
              </w:rPr>
              <w:t>113</w:t>
            </w: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Revenues from Contracts with Customers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revenue recognized for 2024 and 2023 that was included in the opening contract liability balance was $5,324,668 and $4,539,540, respectively.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Disaggregation of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disaggregates revenue for the Company’s cemetery and mortuary contracts.</w:t>
      </w:r>
    </w:p>
    <w:p>
      <w:pPr>
        <w:spacing w:after="0" w:line="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Years Ended</w:t>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Borders>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w w:val="96"/>
              </w:rPr>
              <w:t>Major goods/service lines</w:t>
            </w:r>
          </w:p>
        </w:tc>
        <w:tc>
          <w:tcPr>
            <w:tcW w:w="1740" w:type="dxa"/>
            <w:vAlign w:val="bottom"/>
            <w:tcBorders>
              <w:bottom w:val="single" w:sz="8" w:color="CCEEFF"/>
            </w:tcBorders>
            <w:gridSpan w:val="2"/>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At-need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19,989,995</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19,957,735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Pre-need</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9,047,178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7,907,076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29,037,173</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27,864,811</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460" w:type="dxa"/>
            <w:vAlign w:val="bottom"/>
            <w:gridSpan w:val="3"/>
          </w:tcPr>
          <w:p>
            <w:pPr>
              <w:spacing w:after="0" w:line="164" w:lineRule="exact"/>
              <w:rPr>
                <w:sz w:val="20"/>
                <w:szCs w:val="20"/>
                <w:color w:val="auto"/>
              </w:rPr>
            </w:pPr>
            <w:r>
              <w:rPr>
                <w:rFonts w:ascii="Times New Roman" w:cs="Times New Roman" w:eastAsia="Times New Roman" w:hAnsi="Times New Roman"/>
                <w:sz w:val="17"/>
                <w:szCs w:val="17"/>
                <w:color w:val="auto"/>
              </w:rPr>
              <w:t>Timing of Revenue Recognition</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Goods transferred at a point in time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18,147,136</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17,560,899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Services transferred at a point in time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10,890,037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10,303,912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29,037,173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27,864,811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Judgments and Estimates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for when revenue should be recognized.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Practical Expedients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not elected to use any of the practical expedients.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cemetery and mortuary segment defer certain costs associated with obtaining a contract on future obligations.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Pre-need Merchandise and Service Revenue</w:t>
      </w:r>
      <w:r>
        <w:rPr>
          <w:rFonts w:ascii="Times New Roman" w:cs="Times New Roman" w:eastAsia="Times New Roman" w:hAnsi="Times New Roman"/>
          <w:sz w:val="17"/>
          <w:szCs w:val="17"/>
          <w:color w:val="auto"/>
        </w:rPr>
        <w:t>: Pre-need merchandise and service revenues are deferred until the goods or services are delivered. Recognition can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u w:val="single" w:color="auto"/>
          <w:color w:val="auto"/>
        </w:rPr>
        <w:t>At-need Specialty Merchandise Revenue</w:t>
      </w:r>
      <w:r>
        <w:rPr>
          <w:rFonts w:ascii="Times New Roman" w:cs="Times New Roman" w:eastAsia="Times New Roman" w:hAnsi="Times New Roman"/>
          <w:sz w:val="17"/>
          <w:szCs w:val="17"/>
          <w:color w:val="auto"/>
        </w:rPr>
        <w:t>: At-need specialty merchandise is ordered from a third-party manufacturer. Generally, at-need specialty merchandise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ordered and received within 90 days of order. These orders are also short-term in nature and are deferred until the product is received from the manufacturer and the obligation is satisfied.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ind w:left="260" w:hanging="259"/>
        <w:spacing w:after="0"/>
        <w:tabs>
          <w:tab w:leader="none" w:pos="2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Revenues from Contracts with Customers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u w:val="single" w:color="auto"/>
          <w:color w:val="auto"/>
        </w:rPr>
        <w:t>Deferred Pre-need Land Revenue</w:t>
      </w:r>
      <w:r>
        <w:rPr>
          <w:rFonts w:ascii="Times New Roman" w:cs="Times New Roman" w:eastAsia="Times New Roman" w:hAnsi="Times New Roman"/>
          <w:sz w:val="17"/>
          <w:szCs w:val="17"/>
          <w:color w:val="auto"/>
        </w:rPr>
        <w:t>: Revenue is recognized on pre-need land sales when the customer has paid at least 10% toward the land price. In cases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pay less than 10% of the revenue and associated commissions are deferred until such a time when 10% of the contract price is received.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disaggregates contract costs that are included in the deferred policy and pre-need contract acquisition costs on the consolidated balances sheets.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Years Ended</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3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December 31</w:t>
            </w:r>
          </w:p>
        </w:tc>
      </w:tr>
      <w:tr>
        <w:trPr>
          <w:trHeight w:val="207"/>
        </w:trPr>
        <w:tc>
          <w:tcPr>
            <w:tcW w:w="34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93"/>
              </w:rPr>
              <w:t>2023</w:t>
            </w:r>
          </w:p>
        </w:tc>
        <w:tc>
          <w:tcPr>
            <w:tcW w:w="60" w:type="dxa"/>
            <w:vAlign w:val="bottom"/>
            <w:tcBorders>
              <w:bottom w:val="single" w:sz="8" w:color="CCEEFF"/>
            </w:tcBorders>
          </w:tcPr>
          <w:p>
            <w:pPr>
              <w:spacing w:after="0"/>
              <w:rPr>
                <w:sz w:val="18"/>
                <w:szCs w:val="18"/>
                <w:color w:val="auto"/>
              </w:rPr>
            </w:pPr>
          </w:p>
        </w:tc>
      </w:tr>
      <w:tr>
        <w:trPr>
          <w:trHeight w:val="194"/>
        </w:trPr>
        <w:tc>
          <w:tcPr>
            <w:tcW w:w="3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Pre-need merchandise and services</w:t>
            </w: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4,113,793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6"/>
              </w:rPr>
              <w:t>3,951,267</w:t>
            </w:r>
          </w:p>
        </w:tc>
        <w:tc>
          <w:tcPr>
            <w:tcW w:w="60" w:type="dxa"/>
            <w:vAlign w:val="bottom"/>
            <w:shd w:val="clear" w:color="auto" w:fill="CCEEFF"/>
          </w:tcPr>
          <w:p>
            <w:pPr>
              <w:spacing w:after="0"/>
              <w:rPr>
                <w:sz w:val="16"/>
                <w:szCs w:val="16"/>
                <w:color w:val="auto"/>
              </w:rPr>
            </w:pPr>
          </w:p>
        </w:tc>
      </w:tr>
      <w:tr>
        <w:trPr>
          <w:trHeight w:val="202"/>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At-need specialty merchandise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11,268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23,090</w:t>
            </w:r>
          </w:p>
        </w:tc>
      </w:tr>
      <w:tr>
        <w:trPr>
          <w:trHeight w:val="21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Pre-need land sales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r>
      <w:tr>
        <w:trPr>
          <w:trHeight w:val="207"/>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4,125,061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3,974,357</w:t>
            </w:r>
          </w:p>
        </w:tc>
        <w:tc>
          <w:tcPr>
            <w:tcW w:w="60" w:type="dxa"/>
            <w:vAlign w:val="bottom"/>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Leases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 lease is defined as a contract, or part of a contract, that conveys the right to control the use of identified property, plant, or equipment (an identified asset) for a period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the Nature of Leases and Subleases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leases office space and equipment from third 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 that have not Commenced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have any leases that have not commenced that create significant rights or obligations for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Lease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have any related party lease transactions that require disclosure as of December 31,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Leases</w:t>
      </w:r>
      <w:r>
        <w:rPr>
          <w:rFonts w:ascii="Times New Roman" w:cs="Times New Roman" w:eastAsia="Times New Roman" w:hAnsi="Times New Roman"/>
          <w:sz w:val="17"/>
          <w:szCs w:val="17"/>
          <w:color w:val="auto"/>
        </w:rPr>
        <w:t xml:space="preserve"> (Continued)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Short-term Leases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Judgments and Assumptions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 The following table presents the Company’s total lease cost recognized in earnings, amounts capitalized as right-of-use assets and cash flows from lease transactions.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5"/>
          </w:tcPr>
          <w:p>
            <w:pPr>
              <w:jc w:val="right"/>
              <w:ind w:right="960"/>
              <w:spacing w:after="0"/>
              <w:rPr>
                <w:sz w:val="20"/>
                <w:szCs w:val="20"/>
                <w:color w:val="auto"/>
              </w:rPr>
            </w:pPr>
            <w:r>
              <w:rPr>
                <w:rFonts w:ascii="Times New Roman" w:cs="Times New Roman" w:eastAsia="Times New Roman" w:hAnsi="Times New Roman"/>
                <w:sz w:val="17"/>
                <w:szCs w:val="17"/>
                <w:color w:val="auto"/>
              </w:rPr>
              <w:t>Years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Lease Cost</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right-of-use assets (1)</w:t>
            </w:r>
          </w:p>
        </w:tc>
        <w:tc>
          <w:tcPr>
            <w:tcW w:w="12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48,687</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25,573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 (2)</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6,553</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 (3)</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3,102,662</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3,914,954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 (3)(4)</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1,419,524</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1,874,556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Sublease income (3)</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(562,675)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(323,272)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9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4,014,751</w:t>
            </w:r>
          </w:p>
        </w:tc>
        <w:tc>
          <w:tcPr>
            <w:tcW w:w="3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5,493,524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240" w:type="dxa"/>
            <w:vAlign w:val="bottom"/>
            <w:gridSpan w:val="2"/>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3,622,607</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4,007,919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6,553</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46,425</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27,868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obtained in exchange for lease liabilities: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2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1,770,873</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160,348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176,040</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12,332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1.80</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2.66</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7.89%</w:t>
            </w: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5.37%</w:t>
            </w: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17856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(1)Included in Depreciation on property and equipment on the consolidated statements of earnings</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(2)Included in Interest expense on the consolidated statements of earnings</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(3)Included in Rent and rent related expenses on the consolidated statements of earnings</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(4)Includes leases with a term of 12 months or less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color w:val="auto"/>
        </w:rPr>
        <w:t>SECURITY NATIONAL FINANCIAL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Years Ended December 31, 2024 and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Leases</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maturity analysis of the Company’s lease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ind w:right="201"/>
              <w:spacing w:after="0"/>
              <w:rPr>
                <w:sz w:val="20"/>
                <w:szCs w:val="20"/>
                <w:color w:val="auto"/>
              </w:rPr>
            </w:pPr>
            <w:r>
              <w:rPr>
                <w:rFonts w:ascii="Times New Roman" w:cs="Times New Roman" w:eastAsia="Times New Roman" w:hAnsi="Times New Roman"/>
                <w:sz w:val="17"/>
                <w:szCs w:val="17"/>
                <w:color w:val="auto"/>
                <w:w w:val="99"/>
              </w:rPr>
              <w:t>Finance Leases</w:t>
            </w:r>
          </w:p>
        </w:tc>
        <w:tc>
          <w:tcPr>
            <w:tcW w:w="140" w:type="dxa"/>
            <w:vAlign w:val="bottom"/>
          </w:tcPr>
          <w:p>
            <w:pPr>
              <w:spacing w:after="0"/>
              <w:rPr>
                <w:sz w:val="18"/>
                <w:szCs w:val="18"/>
                <w:color w:val="auto"/>
              </w:rPr>
            </w:pPr>
          </w:p>
        </w:tc>
        <w:tc>
          <w:tcPr>
            <w:tcW w:w="1440" w:type="dxa"/>
            <w:vAlign w:val="bottom"/>
            <w:gridSpan w:val="4"/>
          </w:tcPr>
          <w:p>
            <w:pPr>
              <w:jc w:val="right"/>
              <w:ind w:right="101"/>
              <w:spacing w:after="0"/>
              <w:rPr>
                <w:sz w:val="20"/>
                <w:szCs w:val="20"/>
                <w:color w:val="auto"/>
              </w:rPr>
            </w:pPr>
            <w:r>
              <w:rPr>
                <w:rFonts w:ascii="Times New Roman" w:cs="Times New Roman" w:eastAsia="Times New Roman" w:hAnsi="Times New Roman"/>
                <w:sz w:val="17"/>
                <w:szCs w:val="17"/>
                <w:color w:val="auto"/>
              </w:rPr>
              <w:t>Operating Leases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payments due in:</w:t>
            </w:r>
          </w:p>
        </w:tc>
        <w:tc>
          <w:tcPr>
            <w:tcW w:w="22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4"/>
          </w:tcPr>
          <w:p>
            <w:pPr>
              <w:jc w:val="right"/>
              <w:ind w:right="41"/>
              <w:spacing w:after="0"/>
              <w:rPr>
                <w:sz w:val="20"/>
                <w:szCs w:val="20"/>
                <w:color w:val="auto"/>
              </w:rPr>
            </w:pPr>
            <w:r>
              <w:rPr>
                <w:rFonts w:ascii="Times New Roman" w:cs="Times New Roman" w:eastAsia="Times New Roman" w:hAnsi="Times New Roman"/>
                <w:sz w:val="17"/>
                <w:szCs w:val="17"/>
                <w:color w:val="auto"/>
              </w:rPr>
              <w:t>88,504</w:t>
            </w:r>
          </w:p>
        </w:tc>
        <w:tc>
          <w:tcPr>
            <w:tcW w:w="780" w:type="dxa"/>
            <w:vAlign w:val="bottom"/>
            <w:gridSpan w:val="2"/>
          </w:tcPr>
          <w:p>
            <w:pPr>
              <w:jc w:val="right"/>
              <w:ind w:right="476"/>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w w:val="99"/>
              </w:rPr>
              <w:t>2,532,116</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63,751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1,956,436</w:t>
            </w:r>
          </w:p>
        </w:tc>
        <w:tc>
          <w:tcPr>
            <w:tcW w:w="10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4"/>
          </w:tcPr>
          <w:p>
            <w:pPr>
              <w:jc w:val="right"/>
              <w:ind w:right="41"/>
              <w:spacing w:after="0"/>
              <w:rPr>
                <w:sz w:val="20"/>
                <w:szCs w:val="20"/>
                <w:color w:val="auto"/>
              </w:rPr>
            </w:pPr>
            <w:r>
              <w:rPr>
                <w:rFonts w:ascii="Times New Roman" w:cs="Times New Roman" w:eastAsia="Times New Roman" w:hAnsi="Times New Roman"/>
                <w:sz w:val="17"/>
                <w:szCs w:val="17"/>
                <w:color w:val="auto"/>
              </w:rPr>
              <w:t>2,833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643,208</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1,181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304,099</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3"/>
          </w:tcPr>
          <w:p>
            <w:pPr>
              <w:jc w:val="right"/>
              <w:ind w:right="21"/>
              <w:spacing w:after="0"/>
              <w:rPr>
                <w:sz w:val="20"/>
                <w:szCs w:val="20"/>
                <w:color w:val="auto"/>
              </w:rPr>
            </w:pPr>
            <w:r>
              <w:rPr>
                <w:rFonts w:ascii="Times New Roman" w:cs="Times New Roman" w:eastAsia="Times New Roman" w:hAnsi="Times New Roman"/>
                <w:sz w:val="17"/>
                <w:szCs w:val="17"/>
                <w:color w:val="auto"/>
              </w:rPr>
              <w:t>207,649</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72,751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tcBorders>
              <w:bottom w:val="single" w:sz="8" w:color="CCEEFF"/>
            </w:tcBorders>
            <w:gridSpan w:val="3"/>
          </w:tcPr>
          <w:p>
            <w:pPr>
              <w:spacing w:after="0" w:line="194" w:lineRule="exact"/>
              <w:rPr>
                <w:sz w:val="20"/>
                <w:szCs w:val="20"/>
                <w:color w:val="auto"/>
              </w:rPr>
            </w:pPr>
            <w:r>
              <w:rPr>
                <w:rFonts w:ascii="Times New Roman" w:cs="Times New Roman" w:eastAsia="Times New Roman" w:hAnsi="Times New Roman"/>
                <w:sz w:val="17"/>
                <w:szCs w:val="17"/>
                <w:color w:val="auto"/>
              </w:rPr>
              <w:t>Total undiscounted lease payments</w:t>
            </w:r>
          </w:p>
        </w:tc>
        <w:tc>
          <w:tcPr>
            <w:tcW w:w="2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156,269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5,716,259</w:t>
            </w:r>
          </w:p>
        </w:tc>
        <w:tc>
          <w:tcPr>
            <w:tcW w:w="100" w:type="dxa"/>
            <w:vAlign w:val="bottom"/>
            <w:tcBorders>
              <w:bottom w:val="single" w:sz="8" w:color="CCEEFF"/>
            </w:tcBorders>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Less: Discount on cash flows</w:t>
            </w:r>
          </w:p>
        </w:tc>
        <w:tc>
          <w:tcPr>
            <w:tcW w:w="2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(11,102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(430,819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145,167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5,285,440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the Company’s right-of-use assets and lease liabilities.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88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jc w:val="right"/>
              <w:ind w:right="880"/>
              <w:spacing w:after="0"/>
              <w:rPr>
                <w:sz w:val="20"/>
                <w:szCs w:val="20"/>
                <w:color w:val="auto"/>
              </w:rPr>
            </w:pPr>
            <w:r>
              <w:rPr>
                <w:rFonts w:ascii="Times New Roman" w:cs="Times New Roman" w:eastAsia="Times New Roman" w:hAnsi="Times New Roman"/>
                <w:sz w:val="17"/>
                <w:szCs w:val="17"/>
                <w:color w:val="auto"/>
                <w:w w:val="99"/>
              </w:rPr>
              <w:t>Year Ended December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Balance Sheet Location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520" w:type="dxa"/>
            <w:vAlign w:val="bottom"/>
            <w:tcBorders>
              <w:top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Borders>
              <w:top w:val="single" w:sz="8" w:color="CCEEFF"/>
              <w:bottom w:val="single" w:sz="8" w:color="auto"/>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auto"/>
                <w:w w:val="96"/>
              </w:rPr>
              <w:t>Operating Leases</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2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4,837,045</w:t>
            </w:r>
          </w:p>
        </w:tc>
        <w:tc>
          <w:tcPr>
            <w:tcW w:w="700" w:type="dxa"/>
            <w:vAlign w:val="bottom"/>
            <w:gridSpan w:val="2"/>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6,374,336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 and accrued expenses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5,285,440</w:t>
            </w:r>
          </w:p>
        </w:tc>
        <w:tc>
          <w:tcPr>
            <w:tcW w:w="700" w:type="dxa"/>
            <w:vAlign w:val="bottom"/>
            <w:gridSpan w:val="2"/>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6,888,542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2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7"/>
                <w:szCs w:val="17"/>
                <w:color w:val="auto"/>
                <w:w w:val="95"/>
              </w:rPr>
              <w:t>Finance Leases</w:t>
            </w:r>
          </w:p>
        </w:tc>
        <w:tc>
          <w:tcPr>
            <w:tcW w:w="20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2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207,127</w:t>
            </w:r>
          </w:p>
        </w:tc>
        <w:tc>
          <w:tcPr>
            <w:tcW w:w="7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130,367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Accumulated amortization</w:t>
            </w: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56"/>
              <w:spacing w:after="0"/>
              <w:rPr>
                <w:sz w:val="20"/>
                <w:szCs w:val="20"/>
                <w:color w:val="auto"/>
              </w:rPr>
            </w:pPr>
            <w:r>
              <w:rPr>
                <w:rFonts w:ascii="Times New Roman" w:cs="Times New Roman" w:eastAsia="Times New Roman" w:hAnsi="Times New Roman"/>
                <w:sz w:val="17"/>
                <w:szCs w:val="17"/>
                <w:color w:val="auto"/>
              </w:rPr>
              <w:t>(64,971)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(115,565)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 net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142,156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 and other loans payable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145,167</w:t>
            </w:r>
          </w:p>
        </w:tc>
        <w:tc>
          <w:tcPr>
            <w:tcW w:w="7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Company is also a lessor and has operating lease agreements with various tenants that lease its commercial properties. See Note 2 for information about the Company’s real estate held for investment.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supervision and with the participation of the Company’s management, including the Chief Executive Officer and Chief Financial Officer, the Company has evaluated the effectiveness of its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Management’s annual report on internal control over financial reporting.</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The Company’s internal control over financial reporting is a process that is designed to provide reasonable assurance regarding the reliability of financial reporting and the preparation of financial statements for external purposes in accordance with GAAP, and includes those policies and procedures that:</w:t>
      </w:r>
    </w:p>
    <w:p>
      <w:pPr>
        <w:spacing w:after="0" w:line="169" w:lineRule="exact"/>
        <w:rPr>
          <w:sz w:val="20"/>
          <w:szCs w:val="20"/>
          <w:color w:val="auto"/>
        </w:rPr>
      </w:pPr>
    </w:p>
    <w:p>
      <w:pPr>
        <w:ind w:left="600" w:hanging="297"/>
        <w:spacing w:after="0"/>
        <w:tabs>
          <w:tab w:leader="none" w:pos="6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assets of the Company,</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receipts and expenditures are being made only in accordance with authorizations of management and the Company’s Board of Directors, and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Management performed an assessment of the effectiveness of the Company’s internal control over financial reporting as of December 31, 2024 based on the framework in “Internal Control-Integrated Framework (2013)” issued by the Committee of Sponsoring Organizations of the Treadway Commission. The objective of this assessment was to determine whether the Company’s internal control over financial reporting was effective as of December 31, 2024. Based on that assessment management believes that as of December 31, 2024, the Company’s internal control over financial reporting was effective.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annual report on internal control over financial reporting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Changes in internal control over financial reporting.</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was no change in the Company’s internal control over financial reporting that occurred in the fourth quarter 2024 that has materially affected, or is reasonably likely to materially affect, the Company’s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 portion of the Company’s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 During the three months ended December 31, 2024, no directors or officers adopted or terminated a “Rule 10b5-1 trading arrangement” or a “non-Rule 10b5-1 trading arrangement”, as each term is defined in Item 408(a) of Regulation S-K.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PART III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10, 11, 12, 13 and 14.</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required by these items is incorporated by reference to the Company’s definitive proxy statement relating to its 2025 Annual Meeting of Shareholders. The Company currently anticipates that its definitive proxy statement will be filed with the SEC not later than 120 days after December 31, 2024, pursuant to Regulation 14A of the Securities and Exchange Act of 1934, as amended.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PART IV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(a)(1) </w:t>
      </w:r>
      <w:r>
        <w:rPr>
          <w:rFonts w:ascii="Times New Roman" w:cs="Times New Roman" w:eastAsia="Times New Roman" w:hAnsi="Times New Roman"/>
          <w:sz w:val="17"/>
          <w:szCs w:val="17"/>
          <w:u w:val="single" w:color="auto"/>
          <w:color w:val="auto"/>
        </w:rPr>
        <w:t>Financial Statements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“Index to Consolidated Financial Statements” under Item 8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(a)(2) </w:t>
      </w:r>
      <w:r>
        <w:rPr>
          <w:rFonts w:ascii="Times New Roman" w:cs="Times New Roman" w:eastAsia="Times New Roman" w:hAnsi="Times New Roman"/>
          <w:sz w:val="17"/>
          <w:szCs w:val="17"/>
          <w:u w:val="single" w:color="auto"/>
          <w:color w:val="auto"/>
        </w:rPr>
        <w:t>Financial Statement Schedules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schedules to the consolidated financial statements required by Article 7 of Regulation S-X are not required under the related instructions or are inapplicable and therefore have been omitted.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(a)(3) </w:t>
      </w:r>
      <w:r>
        <w:rPr>
          <w:rFonts w:ascii="Times New Roman" w:cs="Times New Roman" w:eastAsia="Times New Roman" w:hAnsi="Times New Roman"/>
          <w:sz w:val="17"/>
          <w:szCs w:val="17"/>
          <w:u w:val="single" w:color="auto"/>
          <w:color w:val="auto"/>
        </w:rPr>
        <w:t>Exhibits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Exhibits are filed herewith pursuant to Rule 601 of Regulation S-K or are incorporated by reference to previous filings.</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352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8"/>
              </w:rPr>
            </w:pPr>
            <w:hyperlink r:id="rId169">
              <w:r>
                <w:rPr>
                  <w:rFonts w:ascii="Times New Roman" w:cs="Times New Roman" w:eastAsia="Times New Roman" w:hAnsi="Times New Roman"/>
                  <w:sz w:val="17"/>
                  <w:szCs w:val="17"/>
                  <w:color w:val="0000EE"/>
                  <w:w w:val="98"/>
                </w:rPr>
                <w:t>Amended and Restated Articles of Incorporation (3)</w:t>
              </w:r>
            </w:hyperlink>
          </w:p>
        </w:tc>
        <w:tc>
          <w:tcPr>
            <w:tcW w:w="2700" w:type="dxa"/>
            <w:vAlign w:val="bottom"/>
            <w:gridSpan w:val="4"/>
          </w:tcPr>
          <w:p>
            <w:pPr>
              <w:spacing w:after="0"/>
              <w:rPr>
                <w:sz w:val="17"/>
                <w:szCs w:val="17"/>
                <w:color w:val="auto"/>
              </w:rPr>
            </w:pPr>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w:t>
            </w:r>
          </w:p>
        </w:tc>
        <w:tc>
          <w:tcPr>
            <w:tcW w:w="6220" w:type="dxa"/>
            <w:vAlign w:val="bottom"/>
            <w:gridSpan w:val="8"/>
          </w:tcPr>
          <w:p>
            <w:pPr>
              <w:spacing w:after="0" w:line="182"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Amended and Restated Bylaws (5)</w:t>
              </w:r>
            </w:hyperlink>
          </w:p>
        </w:tc>
      </w:tr>
      <w:tr>
        <w:trPr>
          <w:trHeight w:val="20"/>
        </w:trPr>
        <w:tc>
          <w:tcPr>
            <w:tcW w:w="8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62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Specimen Class A Stock Certificate (1)</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62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Specimen Class C Stock Certificate (1)</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62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Specimen Preferred Stock Certificate and Certificate of Designation of Preferred Stock (1)</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6220" w:type="dxa"/>
            <w:vAlign w:val="bottom"/>
            <w:gridSpan w:val="8"/>
          </w:tcPr>
          <w:p>
            <w:pPr>
              <w:spacing w:after="0"/>
              <w:rPr>
                <w:sz w:val="20"/>
                <w:szCs w:val="20"/>
                <w:color w:val="auto"/>
              </w:rPr>
            </w:pPr>
            <w:r>
              <w:rPr>
                <w:rFonts w:ascii="Times New Roman" w:cs="Times New Roman" w:eastAsia="Times New Roman" w:hAnsi="Times New Roman"/>
                <w:sz w:val="17"/>
                <w:szCs w:val="17"/>
                <w:color w:val="auto"/>
                <w:w w:val="98"/>
              </w:rPr>
              <w:t>Employee Stock Ownership Plan, as amended and restated (ESOP) and Trust Agreement (1)</w:t>
            </w:r>
          </w:p>
        </w:tc>
      </w:tr>
      <w:tr>
        <w:trPr>
          <w:trHeight w:val="180"/>
        </w:trPr>
        <w:tc>
          <w:tcPr>
            <w:tcW w:w="8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6220" w:type="dxa"/>
            <w:vAlign w:val="bottom"/>
            <w:gridSpan w:val="8"/>
          </w:tcPr>
          <w:p>
            <w:pPr>
              <w:spacing w:after="0" w:line="181"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Amended and Restated 2013 Stock Option and Other Equity Incentive Awards Plan (2)</w:t>
              </w:r>
            </w:hyperlink>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10.3</w:t>
            </w:r>
          </w:p>
        </w:tc>
        <w:tc>
          <w:tcPr>
            <w:tcW w:w="406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7"/>
                <w:szCs w:val="17"/>
                <w:color w:val="0000EE"/>
                <w:w w:val="98"/>
              </w:rPr>
            </w:pPr>
            <w:hyperlink r:id="rId172">
              <w:r>
                <w:rPr>
                  <w:rFonts w:ascii="Times New Roman" w:cs="Times New Roman" w:eastAsia="Times New Roman" w:hAnsi="Times New Roman"/>
                  <w:sz w:val="17"/>
                  <w:szCs w:val="17"/>
                  <w:color w:val="0000EE"/>
                  <w:w w:val="98"/>
                </w:rPr>
                <w:t>Amended and Restated 2014 Director Stock Option Plan (6)</w:t>
              </w:r>
            </w:hyperlink>
          </w:p>
        </w:tc>
        <w:tc>
          <w:tcPr>
            <w:tcW w:w="180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10.4</w:t>
            </w:r>
          </w:p>
        </w:tc>
        <w:tc>
          <w:tcPr>
            <w:tcW w:w="6220" w:type="dxa"/>
            <w:vAlign w:val="bottom"/>
            <w:gridSpan w:val="8"/>
          </w:tcPr>
          <w:p>
            <w:pPr>
              <w:spacing w:after="0" w:line="182" w:lineRule="exact"/>
              <w:rPr>
                <w:sz w:val="20"/>
                <w:szCs w:val="20"/>
                <w:color w:val="auto"/>
              </w:rPr>
            </w:pPr>
            <w:r>
              <w:rPr>
                <w:rFonts w:ascii="Times New Roman" w:cs="Times New Roman" w:eastAsia="Times New Roman" w:hAnsi="Times New Roman"/>
                <w:sz w:val="17"/>
                <w:szCs w:val="17"/>
                <w:color w:val="0000EE"/>
              </w:rPr>
              <w:t>Employment Agreement and Extension with Scott M. Quist</w:t>
            </w:r>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10.5</w:t>
            </w:r>
          </w:p>
        </w:tc>
        <w:tc>
          <w:tcPr>
            <w:tcW w:w="180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7"/>
                <w:szCs w:val="17"/>
                <w:color w:val="0000EE"/>
                <w:w w:val="98"/>
              </w:rPr>
            </w:pPr>
            <w:hyperlink r:id="rId173">
              <w:r>
                <w:rPr>
                  <w:rFonts w:ascii="Times New Roman" w:cs="Times New Roman" w:eastAsia="Times New Roman" w:hAnsi="Times New Roman"/>
                  <w:sz w:val="17"/>
                  <w:szCs w:val="17"/>
                  <w:color w:val="0000EE"/>
                  <w:w w:val="98"/>
                </w:rPr>
                <w:t>Stock Repurchase Plan (4)</w:t>
              </w:r>
            </w:hyperlink>
          </w:p>
        </w:tc>
        <w:tc>
          <w:tcPr>
            <w:tcW w:w="2220" w:type="dxa"/>
            <w:vAlign w:val="bottom"/>
            <w:tcBorders>
              <w:top w:val="single" w:sz="8" w:color="0000EE"/>
            </w:tcBorders>
            <w:gridSpan w:val="4"/>
          </w:tcPr>
          <w:p>
            <w:pPr>
              <w:spacing w:after="0"/>
              <w:rPr>
                <w:sz w:val="15"/>
                <w:szCs w:val="15"/>
                <w:color w:val="auto"/>
              </w:rPr>
            </w:pPr>
          </w:p>
        </w:tc>
        <w:tc>
          <w:tcPr>
            <w:tcW w:w="2200" w:type="dxa"/>
            <w:vAlign w:val="bottom"/>
            <w:gridSpan w:val="3"/>
          </w:tcPr>
          <w:p>
            <w:pPr>
              <w:spacing w:after="0"/>
              <w:rPr>
                <w:sz w:val="15"/>
                <w:szCs w:val="15"/>
                <w:color w:val="auto"/>
              </w:rPr>
            </w:pPr>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10.6</w:t>
            </w:r>
          </w:p>
        </w:tc>
        <w:tc>
          <w:tcPr>
            <w:tcW w:w="2080" w:type="dxa"/>
            <w:vAlign w:val="bottom"/>
            <w:tcBorders>
              <w:bottom w:val="single" w:sz="8" w:color="0000EE"/>
            </w:tcBorders>
            <w:gridSpan w:val="2"/>
          </w:tcPr>
          <w:p>
            <w:pPr>
              <w:spacing w:after="0" w:line="182" w:lineRule="exact"/>
              <w:rPr>
                <w:rFonts w:ascii="Times New Roman" w:cs="Times New Roman" w:eastAsia="Times New Roman" w:hAnsi="Times New Roman"/>
                <w:sz w:val="17"/>
                <w:szCs w:val="17"/>
                <w:color w:val="0000EE"/>
                <w:w w:val="98"/>
              </w:rPr>
            </w:pPr>
            <w:hyperlink r:id="rId174">
              <w:r>
                <w:rPr>
                  <w:rFonts w:ascii="Times New Roman" w:cs="Times New Roman" w:eastAsia="Times New Roman" w:hAnsi="Times New Roman"/>
                  <w:sz w:val="17"/>
                  <w:szCs w:val="17"/>
                  <w:color w:val="0000EE"/>
                  <w:w w:val="98"/>
                </w:rPr>
                <w:t>2022 Equity Incentive Plan (7)</w:t>
              </w:r>
            </w:hyperlink>
          </w:p>
        </w:tc>
        <w:tc>
          <w:tcPr>
            <w:tcW w:w="4140" w:type="dxa"/>
            <w:vAlign w:val="bottom"/>
            <w:gridSpan w:val="6"/>
          </w:tcPr>
          <w:p>
            <w:pPr>
              <w:spacing w:after="0"/>
              <w:rPr>
                <w:sz w:val="15"/>
                <w:szCs w:val="15"/>
                <w:color w:val="auto"/>
              </w:rPr>
            </w:pPr>
          </w:p>
        </w:tc>
      </w:tr>
    </w:tbl>
    <w:p>
      <w:pPr>
        <w:spacing w:after="0" w:line="9" w:lineRule="exact"/>
        <w:rPr>
          <w:sz w:val="20"/>
          <w:szCs w:val="20"/>
          <w:color w:val="auto"/>
        </w:rPr>
      </w:pPr>
    </w:p>
    <w:p>
      <w:pPr>
        <w:ind w:left="1460" w:hanging="854"/>
        <w:spacing w:after="0"/>
        <w:tabs>
          <w:tab w:leader="none" w:pos="1460" w:val="left"/>
        </w:tabs>
        <w:numPr>
          <w:ilvl w:val="0"/>
          <w:numId w:val="107"/>
        </w:numPr>
        <w:rPr>
          <w:rFonts w:ascii="Times New Roman" w:cs="Times New Roman" w:eastAsia="Times New Roman" w:hAnsi="Times New Roman"/>
          <w:sz w:val="17"/>
          <w:szCs w:val="17"/>
          <w:u w:val="single" w:color="auto"/>
          <w:color w:val="0000EE"/>
        </w:rPr>
      </w:pPr>
      <w:hyperlink r:id="rId175">
        <w:r>
          <w:rPr>
            <w:rFonts w:ascii="Times New Roman" w:cs="Times New Roman" w:eastAsia="Times New Roman" w:hAnsi="Times New Roman"/>
            <w:sz w:val="17"/>
            <w:szCs w:val="17"/>
            <w:u w:val="single" w:color="auto"/>
            <w:color w:val="0000EE"/>
          </w:rPr>
          <w:t>Code of Business Conduct and Ethics (5)</w:t>
        </w:r>
      </w:hyperlink>
    </w:p>
    <w:p>
      <w:pPr>
        <w:spacing w:after="0" w:line="22" w:lineRule="exact"/>
        <w:rPr>
          <w:sz w:val="20"/>
          <w:szCs w:val="20"/>
          <w:color w:val="auto"/>
        </w:rPr>
      </w:pPr>
    </w:p>
    <w:p>
      <w:pPr>
        <w:ind w:left="1460" w:hanging="854"/>
        <w:spacing w:after="0"/>
        <w:tabs>
          <w:tab w:leader="none" w:pos="1460" w:val="left"/>
        </w:tabs>
        <w:numPr>
          <w:ilvl w:val="0"/>
          <w:numId w:val="108"/>
        </w:numPr>
        <w:rPr>
          <w:rFonts w:ascii="Times New Roman" w:cs="Times New Roman" w:eastAsia="Times New Roman" w:hAnsi="Times New Roman"/>
          <w:sz w:val="17"/>
          <w:szCs w:val="17"/>
          <w:u w:val="single" w:color="auto"/>
          <w:color w:val="0000EE"/>
        </w:rPr>
      </w:pPr>
      <w:hyperlink r:id="rId176">
        <w:r>
          <w:rPr>
            <w:rFonts w:ascii="Times New Roman" w:cs="Times New Roman" w:eastAsia="Times New Roman" w:hAnsi="Times New Roman"/>
            <w:sz w:val="17"/>
            <w:szCs w:val="17"/>
            <w:u w:val="single" w:color="auto"/>
            <w:color w:val="0000EE"/>
          </w:rPr>
          <w:t>Insider Trading Policy (7)</w:t>
        </w:r>
      </w:hyperlink>
    </w:p>
    <w:p>
      <w:pPr>
        <w:spacing w:after="0" w:line="6" w:lineRule="exact"/>
        <w:rPr>
          <w:rFonts w:ascii="Times New Roman" w:cs="Times New Roman" w:eastAsia="Times New Roman" w:hAnsi="Times New Roman"/>
          <w:sz w:val="17"/>
          <w:szCs w:val="17"/>
          <w:u w:val="single" w:color="auto"/>
          <w:color w:val="0000EE"/>
        </w:rPr>
      </w:pPr>
    </w:p>
    <w:p>
      <w:pPr>
        <w:ind w:left="1460" w:hanging="854"/>
        <w:spacing w:after="0"/>
        <w:tabs>
          <w:tab w:leader="none" w:pos="1460" w:val="left"/>
        </w:tabs>
        <w:numPr>
          <w:ilvl w:val="0"/>
          <w:numId w:val="108"/>
        </w:numPr>
        <w:rPr>
          <w:rFonts w:ascii="Times New Roman" w:cs="Times New Roman" w:eastAsia="Times New Roman" w:hAnsi="Times New Roman"/>
          <w:sz w:val="17"/>
          <w:szCs w:val="17"/>
          <w:u w:val="single" w:color="auto"/>
          <w:color w:val="0000EE"/>
        </w:rPr>
      </w:pPr>
      <w:hyperlink r:id="rId177">
        <w:r>
          <w:rPr>
            <w:rFonts w:ascii="Times New Roman" w:cs="Times New Roman" w:eastAsia="Times New Roman" w:hAnsi="Times New Roman"/>
            <w:sz w:val="17"/>
            <w:szCs w:val="17"/>
            <w:u w:val="single" w:color="auto"/>
            <w:color w:val="0000EE"/>
          </w:rPr>
          <w:t>Clawback Policy (7)</w:t>
        </w:r>
      </w:hyperlink>
    </w:p>
    <w:p>
      <w:pPr>
        <w:spacing w:after="0" w:line="6" w:lineRule="exact"/>
        <w:rPr>
          <w:rFonts w:ascii="Times New Roman" w:cs="Times New Roman" w:eastAsia="Times New Roman" w:hAnsi="Times New Roman"/>
          <w:sz w:val="17"/>
          <w:szCs w:val="17"/>
          <w:u w:val="single" w:color="auto"/>
          <w:color w:val="0000EE"/>
        </w:rPr>
      </w:pPr>
    </w:p>
    <w:p>
      <w:pPr>
        <w:ind w:left="1460" w:hanging="854"/>
        <w:spacing w:after="0"/>
        <w:tabs>
          <w:tab w:leader="none" w:pos="14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Subsidiaries of the Registrant</w:t>
      </w:r>
    </w:p>
    <w:tbl>
      <w:tblPr>
        <w:tblLayout w:type="fixed"/>
        <w:tblInd w:w="600" w:type="dxa"/>
        <w:tblCellMar>
          <w:top w:w="0" w:type="dxa"/>
          <w:left w:w="0" w:type="dxa"/>
          <w:bottom w:w="0" w:type="dxa"/>
          <w:right w:w="0" w:type="dxa"/>
        </w:tblCellMar>
      </w:tblPr>
      <w:tr>
        <w:trPr>
          <w:trHeight w:val="171"/>
        </w:trPr>
        <w:tc>
          <w:tcPr>
            <w:tcW w:w="8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31.1</w:t>
            </w:r>
          </w:p>
        </w:tc>
        <w:tc>
          <w:tcPr>
            <w:tcW w:w="1880" w:type="dxa"/>
            <w:vAlign w:val="bottom"/>
            <w:tcBorders>
              <w:bottom w:val="single" w:sz="8" w:color="0000EE"/>
            </w:tcBorders>
          </w:tcPr>
          <w:p>
            <w:pPr>
              <w:spacing w:after="0" w:line="171" w:lineRule="exact"/>
              <w:rPr>
                <w:sz w:val="20"/>
                <w:szCs w:val="20"/>
                <w:color w:val="auto"/>
              </w:rPr>
            </w:pPr>
            <w:r>
              <w:rPr>
                <w:rFonts w:ascii="Times New Roman" w:cs="Times New Roman" w:eastAsia="Times New Roman" w:hAnsi="Times New Roman"/>
                <w:sz w:val="17"/>
                <w:szCs w:val="17"/>
                <w:color w:val="0000EE"/>
                <w:w w:val="99"/>
              </w:rPr>
              <w:t>Certification pursuant to 18</w:t>
            </w:r>
          </w:p>
        </w:tc>
        <w:tc>
          <w:tcPr>
            <w:tcW w:w="5620" w:type="dxa"/>
            <w:vAlign w:val="bottom"/>
            <w:tcBorders>
              <w:bottom w:val="single" w:sz="8" w:color="0000EE"/>
            </w:tcBorders>
          </w:tcPr>
          <w:p>
            <w:pPr>
              <w:ind w:left="20"/>
              <w:spacing w:after="0" w:line="171" w:lineRule="exact"/>
              <w:rPr>
                <w:sz w:val="20"/>
                <w:szCs w:val="20"/>
                <w:color w:val="auto"/>
              </w:rPr>
            </w:pPr>
            <w:r>
              <w:rPr>
                <w:rFonts w:ascii="Times New Roman" w:cs="Times New Roman" w:eastAsia="Times New Roman" w:hAnsi="Times New Roman"/>
                <w:sz w:val="17"/>
                <w:szCs w:val="17"/>
                <w:color w:val="0000EE"/>
                <w:w w:val="98"/>
              </w:rPr>
              <w:t>U.S.C. Section 1350, as enacted by Section 302 of the Sarbanes-Oxley Act of 2002</w:t>
            </w:r>
          </w:p>
        </w:tc>
        <w:tc>
          <w:tcPr>
            <w:tcW w:w="600" w:type="dxa"/>
            <w:vAlign w:val="bottom"/>
          </w:tcPr>
          <w:p>
            <w:pPr>
              <w:spacing w:after="0"/>
              <w:rPr>
                <w:sz w:val="14"/>
                <w:szCs w:val="14"/>
                <w:color w:val="auto"/>
              </w:rPr>
            </w:pPr>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31.2</w:t>
            </w:r>
          </w:p>
        </w:tc>
        <w:tc>
          <w:tcPr>
            <w:tcW w:w="18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9"/>
              </w:rPr>
              <w:t>Certification pursuant to 18</w:t>
            </w:r>
          </w:p>
        </w:tc>
        <w:tc>
          <w:tcPr>
            <w:tcW w:w="5620" w:type="dxa"/>
            <w:vAlign w:val="bottom"/>
            <w:tcBorders>
              <w:bottom w:val="single" w:sz="8" w:color="0000EE"/>
            </w:tcBorders>
          </w:tcPr>
          <w:p>
            <w:pPr>
              <w:ind w:left="20"/>
              <w:spacing w:after="0" w:line="182" w:lineRule="exact"/>
              <w:rPr>
                <w:sz w:val="20"/>
                <w:szCs w:val="20"/>
                <w:color w:val="auto"/>
              </w:rPr>
            </w:pPr>
            <w:r>
              <w:rPr>
                <w:rFonts w:ascii="Times New Roman" w:cs="Times New Roman" w:eastAsia="Times New Roman" w:hAnsi="Times New Roman"/>
                <w:sz w:val="17"/>
                <w:szCs w:val="17"/>
                <w:color w:val="0000EE"/>
                <w:w w:val="98"/>
              </w:rPr>
              <w:t>U.S.C. Section 1350, as enacted by Section 302 of the Sarbanes-Oxley Act of 2002</w:t>
            </w:r>
          </w:p>
        </w:tc>
        <w:tc>
          <w:tcPr>
            <w:tcW w:w="600" w:type="dxa"/>
            <w:vAlign w:val="bottom"/>
          </w:tcPr>
          <w:p>
            <w:pPr>
              <w:spacing w:after="0"/>
              <w:rPr>
                <w:sz w:val="15"/>
                <w:szCs w:val="15"/>
                <w:color w:val="auto"/>
              </w:rPr>
            </w:pPr>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32.1</w:t>
            </w:r>
          </w:p>
        </w:tc>
        <w:tc>
          <w:tcPr>
            <w:tcW w:w="18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9"/>
              </w:rPr>
              <w:t>Certification pursuant to 18</w:t>
            </w:r>
          </w:p>
        </w:tc>
        <w:tc>
          <w:tcPr>
            <w:tcW w:w="6220" w:type="dxa"/>
            <w:vAlign w:val="bottom"/>
            <w:tcBorders>
              <w:bottom w:val="single" w:sz="8" w:color="0000EE"/>
            </w:tcBorders>
            <w:gridSpan w:val="2"/>
          </w:tcPr>
          <w:p>
            <w:pPr>
              <w:ind w:left="20"/>
              <w:spacing w:after="0" w:line="182" w:lineRule="exact"/>
              <w:rPr>
                <w:sz w:val="20"/>
                <w:szCs w:val="20"/>
                <w:color w:val="auto"/>
              </w:rPr>
            </w:pPr>
            <w:r>
              <w:rPr>
                <w:rFonts w:ascii="Times New Roman" w:cs="Times New Roman" w:eastAsia="Times New Roman" w:hAnsi="Times New Roman"/>
                <w:sz w:val="17"/>
                <w:szCs w:val="17"/>
                <w:color w:val="0000EE"/>
                <w:w w:val="98"/>
              </w:rPr>
              <w:t>U.S.C. Section 1350, as adopted pursuant to Section 906 of the Sarbanes-Oxley Act of 2002</w:t>
            </w:r>
          </w:p>
        </w:tc>
      </w:tr>
      <w:tr>
        <w:trPr>
          <w:trHeight w:val="182"/>
        </w:trPr>
        <w:tc>
          <w:tcPr>
            <w:tcW w:w="8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32.2</w:t>
            </w:r>
          </w:p>
        </w:tc>
        <w:tc>
          <w:tcPr>
            <w:tcW w:w="188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9"/>
              </w:rPr>
              <w:t>Certification pursuant to 18</w:t>
            </w:r>
          </w:p>
        </w:tc>
        <w:tc>
          <w:tcPr>
            <w:tcW w:w="6220" w:type="dxa"/>
            <w:vAlign w:val="bottom"/>
            <w:tcBorders>
              <w:bottom w:val="single" w:sz="8" w:color="0000EE"/>
            </w:tcBorders>
            <w:gridSpan w:val="2"/>
          </w:tcPr>
          <w:p>
            <w:pPr>
              <w:ind w:left="20"/>
              <w:spacing w:after="0" w:line="182" w:lineRule="exact"/>
              <w:rPr>
                <w:sz w:val="20"/>
                <w:szCs w:val="20"/>
                <w:color w:val="auto"/>
              </w:rPr>
            </w:pPr>
            <w:r>
              <w:rPr>
                <w:rFonts w:ascii="Times New Roman" w:cs="Times New Roman" w:eastAsia="Times New Roman" w:hAnsi="Times New Roman"/>
                <w:sz w:val="17"/>
                <w:szCs w:val="17"/>
                <w:color w:val="0000EE"/>
                <w:w w:val="98"/>
              </w:rPr>
              <w:t>U.S.C. Section 1350, as adopted pursuant to Section 906 of the Sarbanes-Oxley Act of 2002</w:t>
            </w:r>
          </w:p>
        </w:tc>
      </w:tr>
      <w:tr>
        <w:trPr>
          <w:trHeight w:val="20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0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Registration Statement on Form S-1, as filed on June 29, 1987</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Report on Form 10-Q, as filed on August 15, 2016</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Report on Form 10-K, as filed on March 31, 2017</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Report on Form 10-Q, as filed on November 13, 2018</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Report on Form 10-Q, as filed on May 15, 2019</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Report on Form 10-Q, as filed on August 14, 2020</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Report on Form 10-K, as filed on March 29, 2024</w:t>
      </w:r>
    </w:p>
    <w:p>
      <w:pPr>
        <w:spacing w:after="0" w:line="188"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2"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color w:val="auto"/>
        </w:rPr>
        <w:t>SIGNATURES</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7"/>
                <w:szCs w:val="17"/>
                <w:color w:val="auto"/>
              </w:rPr>
              <w:t>SECURITY NATIONAL FINANCIAL CORPORATION</w:t>
            </w:r>
          </w:p>
        </w:tc>
      </w:tr>
      <w:tr>
        <w:trPr>
          <w:trHeight w:val="4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Dated: March 31, 2025</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Scott M. Quist</w:t>
            </w:r>
          </w:p>
        </w:tc>
      </w:tr>
      <w:tr>
        <w:trPr>
          <w:trHeight w:val="178"/>
        </w:trPr>
        <w:tc>
          <w:tcPr>
            <w:tcW w:w="36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Scott M. Quist</w:t>
            </w:r>
          </w:p>
        </w:tc>
      </w:tr>
      <w:tr>
        <w:trPr>
          <w:trHeight w:val="218"/>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bl>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7"/>
                <w:szCs w:val="17"/>
                <w:color w:val="auto"/>
              </w:rPr>
              <w:t>SIGNATURE</w:t>
            </w:r>
          </w:p>
        </w:tc>
        <w:tc>
          <w:tcPr>
            <w:tcW w:w="240" w:type="dxa"/>
            <w:vAlign w:val="bottom"/>
          </w:tcPr>
          <w:p>
            <w:pPr>
              <w:spacing w:after="0"/>
              <w:rPr>
                <w:sz w:val="19"/>
                <w:szCs w:val="19"/>
                <w:color w:val="auto"/>
              </w:rPr>
            </w:pPr>
          </w:p>
        </w:tc>
        <w:tc>
          <w:tcPr>
            <w:tcW w:w="39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7"/>
                <w:szCs w:val="17"/>
                <w:color w:val="auto"/>
              </w:rPr>
              <w:t>TITLE</w:t>
            </w:r>
          </w:p>
        </w:tc>
        <w:tc>
          <w:tcPr>
            <w:tcW w:w="220" w:type="dxa"/>
            <w:vAlign w:val="bottom"/>
          </w:tcPr>
          <w:p>
            <w:pPr>
              <w:spacing w:after="0"/>
              <w:rPr>
                <w:sz w:val="19"/>
                <w:szCs w:val="19"/>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2"/>
              </w:rPr>
              <w:t>DATE</w:t>
            </w:r>
          </w:p>
        </w:tc>
      </w:tr>
      <w:tr>
        <w:trPr>
          <w:trHeight w:val="40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Scott M. Quist</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Chairman of the Board, President,</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178"/>
        </w:trPr>
        <w:tc>
          <w:tcPr>
            <w:tcW w:w="39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Scott M. Quist</w:t>
            </w:r>
          </w:p>
        </w:tc>
        <w:tc>
          <w:tcPr>
            <w:tcW w:w="4400" w:type="dxa"/>
            <w:vAlign w:val="bottom"/>
            <w:gridSpan w:val="3"/>
          </w:tcPr>
          <w:p>
            <w:pPr>
              <w:ind w:left="240"/>
              <w:spacing w:after="0" w:line="178" w:lineRule="exact"/>
              <w:rPr>
                <w:sz w:val="20"/>
                <w:szCs w:val="20"/>
                <w:color w:val="auto"/>
              </w:rPr>
            </w:pPr>
            <w:r>
              <w:rPr>
                <w:rFonts w:ascii="Times New Roman" w:cs="Times New Roman" w:eastAsia="Times New Roman" w:hAnsi="Times New Roman"/>
                <w:sz w:val="17"/>
                <w:szCs w:val="17"/>
                <w:color w:val="auto"/>
              </w:rPr>
              <w:t>and Chief Executive Officer</w:t>
            </w:r>
          </w:p>
        </w:tc>
        <w:tc>
          <w:tcPr>
            <w:tcW w:w="2900" w:type="dxa"/>
            <w:vAlign w:val="bottom"/>
          </w:tcPr>
          <w:p>
            <w:pPr>
              <w:spacing w:after="0"/>
              <w:rPr>
                <w:sz w:val="15"/>
                <w:szCs w:val="15"/>
                <w:color w:val="auto"/>
              </w:rPr>
            </w:pPr>
          </w:p>
        </w:tc>
      </w:tr>
      <w:tr>
        <w:trPr>
          <w:trHeight w:val="218"/>
        </w:trPr>
        <w:tc>
          <w:tcPr>
            <w:tcW w:w="3940" w:type="dxa"/>
            <w:vAlign w:val="bottom"/>
          </w:tcPr>
          <w:p>
            <w:pPr>
              <w:spacing w:after="0"/>
              <w:rPr>
                <w:sz w:val="18"/>
                <w:szCs w:val="18"/>
                <w:color w:val="auto"/>
              </w:rPr>
            </w:pP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900" w:type="dxa"/>
            <w:vAlign w:val="bottom"/>
          </w:tcPr>
          <w:p>
            <w:pPr>
              <w:spacing w:after="0"/>
              <w:rPr>
                <w:sz w:val="18"/>
                <w:szCs w:val="18"/>
                <w:color w:val="auto"/>
              </w:rPr>
            </w:pPr>
          </w:p>
        </w:tc>
      </w:tr>
      <w:tr>
        <w:trPr>
          <w:trHeight w:val="40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Garrett S. Sill</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Chief Financial Officer and</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178"/>
        </w:trPr>
        <w:tc>
          <w:tcPr>
            <w:tcW w:w="39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Garrett S. Sill</w:t>
            </w:r>
          </w:p>
        </w:tc>
        <w:tc>
          <w:tcPr>
            <w:tcW w:w="4400" w:type="dxa"/>
            <w:vAlign w:val="bottom"/>
            <w:gridSpan w:val="3"/>
          </w:tcPr>
          <w:p>
            <w:pPr>
              <w:ind w:left="240"/>
              <w:spacing w:after="0" w:line="178" w:lineRule="exact"/>
              <w:rPr>
                <w:sz w:val="20"/>
                <w:szCs w:val="20"/>
                <w:color w:val="auto"/>
              </w:rPr>
            </w:pPr>
            <w:r>
              <w:rPr>
                <w:rFonts w:ascii="Times New Roman" w:cs="Times New Roman" w:eastAsia="Times New Roman" w:hAnsi="Times New Roman"/>
                <w:sz w:val="17"/>
                <w:szCs w:val="17"/>
                <w:color w:val="auto"/>
              </w:rPr>
              <w:t>Treasurer (Principal Financial</w:t>
            </w:r>
          </w:p>
        </w:tc>
        <w:tc>
          <w:tcPr>
            <w:tcW w:w="2900" w:type="dxa"/>
            <w:vAlign w:val="bottom"/>
          </w:tcPr>
          <w:p>
            <w:pPr>
              <w:spacing w:after="0"/>
              <w:rPr>
                <w:sz w:val="15"/>
                <w:szCs w:val="15"/>
                <w:color w:val="auto"/>
              </w:rPr>
            </w:pPr>
          </w:p>
        </w:tc>
      </w:tr>
      <w:tr>
        <w:trPr>
          <w:trHeight w:val="218"/>
        </w:trPr>
        <w:tc>
          <w:tcPr>
            <w:tcW w:w="3940" w:type="dxa"/>
            <w:vAlign w:val="bottom"/>
          </w:tcPr>
          <w:p>
            <w:pPr>
              <w:spacing w:after="0"/>
              <w:rPr>
                <w:sz w:val="18"/>
                <w:szCs w:val="18"/>
                <w:color w:val="auto"/>
              </w:rPr>
            </w:pP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and Accounting Officer)</w:t>
            </w:r>
          </w:p>
        </w:tc>
        <w:tc>
          <w:tcPr>
            <w:tcW w:w="2900" w:type="dxa"/>
            <w:vAlign w:val="bottom"/>
          </w:tcPr>
          <w:p>
            <w:pPr>
              <w:spacing w:after="0"/>
              <w:rPr>
                <w:sz w:val="18"/>
                <w:szCs w:val="18"/>
                <w:color w:val="auto"/>
              </w:rPr>
            </w:pPr>
          </w:p>
        </w:tc>
      </w:tr>
      <w:tr>
        <w:trPr>
          <w:trHeight w:val="40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Jason G. Overbaugh</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Vice President and 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Jason G. Overbaugh</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 Andrew Quist</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Vice President and 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S. Andrew Quist</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Adam G. Quist</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Vice President and 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Adam G. Quist</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John L. Cook</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John L. Cook</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Gilbert A. Fuller</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Gilbert A. Fuller</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Robert G. Hunter</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Robert G. Hunter</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Shital A. Mehta</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Shital A. Mehta</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H. Craig Moody</w:t>
            </w:r>
          </w:p>
        </w:tc>
        <w:tc>
          <w:tcPr>
            <w:tcW w:w="44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Director</w:t>
            </w:r>
          </w:p>
        </w:tc>
        <w:tc>
          <w:tcPr>
            <w:tcW w:w="2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March 31, 2025</w:t>
            </w: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H. Craig Moody</w:t>
            </w: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7"/>
        </w:trPr>
        <w:tc>
          <w:tcPr>
            <w:tcW w:w="39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2"/>
          </w:tcPr>
          <w:p>
            <w:pPr>
              <w:ind w:left="1560"/>
              <w:spacing w:after="0"/>
              <w:rPr>
                <w:sz w:val="20"/>
                <w:szCs w:val="20"/>
                <w:color w:val="auto"/>
              </w:rPr>
            </w:pPr>
            <w:r>
              <w:rPr>
                <w:rFonts w:ascii="Times New Roman" w:cs="Times New Roman" w:eastAsia="Times New Roman" w:hAnsi="Times New Roman"/>
                <w:sz w:val="17"/>
                <w:szCs w:val="17"/>
                <w:color w:val="auto"/>
              </w:rPr>
              <w:t>120</w:t>
            </w: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125" w:name="page126"/>
    <w:bookmarkEnd w:id="125"/>
    <w:p>
      <w:pPr>
        <w:ind w:left="9080"/>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6069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200265" cy="96075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200265" cy="96075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200265" cy="96075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200265" cy="96075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200265" cy="96075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SUBSIDIARIES OF THE REGISTRANT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Life Insurance Segment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National Life Insurance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Reppond Holding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Guaranty 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Kilpatrick Life 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Southern Security Life Insurance Company,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Trans-Western Life 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 National Funding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Land Holdings,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Farmington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434 Holdings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5300 Development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Ascension 5204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Ascension 433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Diamond LLC</w:t>
      </w:r>
    </w:p>
    <w:p>
      <w:pPr>
        <w:spacing w:after="0" w:line="6" w:lineRule="exact"/>
        <w:rPr>
          <w:sz w:val="20"/>
          <w:szCs w:val="20"/>
          <w:color w:val="auto"/>
        </w:rPr>
      </w:pPr>
    </w:p>
    <w:p>
      <w:pPr>
        <w:ind w:right="5400"/>
        <w:spacing w:after="0" w:line="247" w:lineRule="auto"/>
        <w:rPr>
          <w:sz w:val="20"/>
          <w:szCs w:val="20"/>
          <w:color w:val="auto"/>
        </w:rPr>
      </w:pPr>
      <w:r>
        <w:rPr>
          <w:rFonts w:ascii="Times New Roman" w:cs="Times New Roman" w:eastAsia="Times New Roman" w:hAnsi="Times New Roman"/>
          <w:sz w:val="17"/>
          <w:szCs w:val="17"/>
          <w:color w:val="auto"/>
        </w:rPr>
        <w:t>Security National Real Estate Services, Inc. dba Security National Commercial Capital Marketing Source Center, Inc. dba Security National Travel Services SNFC Subsidiary,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American Funeral Financial,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FFC Acquisition Co., LLC dba Funeral Funding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Funeral Financial,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Mortician’s Choice,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&amp; J Financial,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Beta Capital Corp.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Beneficiary Advance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MFF Capital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SNCH Venture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SNW-HAFB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SNH Investments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SNMA Properties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SNMA-AR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SNMA-AR2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SNMA-PF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SNMA-SC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 Venture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SNA-AM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SNA-CM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SNA-DM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SNA-MB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SNA-MV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SNA-RVP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SNA-RVP2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SNA-SE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SNA-SR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SNA-SW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SNA-TM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SNA-TR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SNA-TR2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SNA-WL2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SNHH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Marketing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auto"/>
        </w:rPr>
        <w:t>Mortgage Segment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SecurityNational Mortgage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EverLEND Mortgage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SN-TLV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Sunset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Cemetery/Mortuary Segment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California Memorial Estates, Inc. dba Singing Hills Memorial Park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Holladay Memorial Park,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Holladay Memorial Park Foundation Trust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Cottonwood Mortuary,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Deseret Memorial,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Holladay-Cottonwood Memorial Foundation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Holladay-Cottonwood Memorial Foundation Trust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Memorial Estates,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Memorial Estates Endowment Care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Memorial Estates Trusts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Mapleton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Silver Creek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Memorial Mortuary,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Affordable Funerals and Cremations of America,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Probst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SN-Holbrook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SN-Rivera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SNR-LA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SNR-Taos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SNR-SF Cemetery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SNR-SF Mortuary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SNR-Espanola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Oquirrh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SN Towns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623" w:right="1440" w:bottom="1440" w:gutter="0" w:footer="0" w:header="0"/>
        </w:sectPr>
      </w:pPr>
    </w:p>
    <w:bookmarkStart w:id="133" w:name="page134"/>
    <w:bookmarkEnd w:id="133"/>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REQUIRED BY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Scott M. Quist, certify that:</w:t>
      </w:r>
    </w:p>
    <w:p>
      <w:pPr>
        <w:spacing w:after="0" w:line="208" w:lineRule="exact"/>
        <w:rPr>
          <w:sz w:val="20"/>
          <w:szCs w:val="20"/>
          <w:color w:val="auto"/>
        </w:rPr>
      </w:pPr>
    </w:p>
    <w:p>
      <w:pPr>
        <w:ind w:left="160" w:hanging="159"/>
        <w:spacing w:after="0"/>
        <w:tabs>
          <w:tab w:leader="none" w:pos="1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Security National Financial Corporation;</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7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7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7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55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69" w:lineRule="exact"/>
        <w:rPr>
          <w:rFonts w:ascii="Times New Roman" w:cs="Times New Roman" w:eastAsia="Times New Roman" w:hAnsi="Times New Roman"/>
          <w:sz w:val="17"/>
          <w:szCs w:val="17"/>
          <w:color w:val="auto"/>
        </w:rPr>
      </w:pPr>
    </w:p>
    <w:p>
      <w:pPr>
        <w:jc w:val="both"/>
        <w:ind w:firstLine="303"/>
        <w:spacing w:after="0" w:line="261" w:lineRule="auto"/>
        <w:tabs>
          <w:tab w:leader="none" w:pos="56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firstLine="303"/>
        <w:spacing w:after="0" w:line="274" w:lineRule="auto"/>
        <w:tabs>
          <w:tab w:leader="none" w:pos="545"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551"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17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4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3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Dated: March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Scott M. Quist</w:t>
            </w: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Scott M. Quist</w:t>
            </w:r>
          </w:p>
        </w:tc>
      </w:tr>
      <w:tr>
        <w:trPr>
          <w:trHeight w:val="202"/>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61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34" w:name="page135"/>
    <w:bookmarkEnd w:id="134"/>
    <w:p>
      <w:pPr>
        <w:ind w:left="102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REQUIRED BY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Garrett S. Sill, certify that:</w:t>
      </w:r>
    </w:p>
    <w:p>
      <w:pPr>
        <w:spacing w:after="0" w:line="208" w:lineRule="exact"/>
        <w:rPr>
          <w:sz w:val="20"/>
          <w:szCs w:val="20"/>
          <w:color w:val="auto"/>
        </w:rPr>
      </w:pPr>
    </w:p>
    <w:p>
      <w:pPr>
        <w:ind w:left="160" w:hanging="159"/>
        <w:spacing w:after="0"/>
        <w:tabs>
          <w:tab w:leader="none" w:pos="1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Security National Financial Corporation;</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7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7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firstLine="1"/>
        <w:spacing w:after="0" w:line="274" w:lineRule="auto"/>
        <w:tabs>
          <w:tab w:leader="none" w:pos="17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55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69" w:lineRule="exact"/>
        <w:rPr>
          <w:rFonts w:ascii="Times New Roman" w:cs="Times New Roman" w:eastAsia="Times New Roman" w:hAnsi="Times New Roman"/>
          <w:sz w:val="17"/>
          <w:szCs w:val="17"/>
          <w:color w:val="auto"/>
        </w:rPr>
      </w:pPr>
    </w:p>
    <w:p>
      <w:pPr>
        <w:jc w:val="both"/>
        <w:ind w:firstLine="303"/>
        <w:spacing w:after="0" w:line="261" w:lineRule="auto"/>
        <w:tabs>
          <w:tab w:leader="none" w:pos="56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firstLine="303"/>
        <w:spacing w:after="0" w:line="274" w:lineRule="auto"/>
        <w:tabs>
          <w:tab w:leader="none" w:pos="545"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jc w:val="both"/>
        <w:ind w:firstLine="303"/>
        <w:spacing w:after="0" w:line="261" w:lineRule="auto"/>
        <w:tabs>
          <w:tab w:leader="none" w:pos="55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17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4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firstLine="303"/>
        <w:spacing w:after="0" w:line="274" w:lineRule="auto"/>
        <w:tabs>
          <w:tab w:leader="none" w:pos="53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Dated: March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Garrett S. Sill</w:t>
            </w: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Garrett S. Sill</w:t>
            </w:r>
          </w:p>
        </w:tc>
      </w:tr>
      <w:tr>
        <w:trPr>
          <w:trHeight w:val="202"/>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r>
      <w:tr>
        <w:trPr>
          <w:trHeight w:val="40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35" w:name="page136"/>
    <w:bookmarkEnd w:id="135"/>
    <w:p>
      <w:pPr>
        <w:ind w:left="10200"/>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REQUIRED BY SECTION 906 OF THE SARBANES-OXLEY ACT OF 2002</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Annual Report of Security National Financial Corporation (the “Company”) on Form 10-K for the period ending December 31, 2024, as filed with the Securities and Exchange Commission on the date hereof (the “Report”), I, Scott M. Quist, Chairman of the Board, President and Chief Executive Officer of the Company, certify, pursuant to 18 U.S.C. Section §1350, as adopted pursuant to Section 906 of the Sarbanes-Oxley Act of 2002, that, to the best of my knowledge and belief:</w:t>
      </w:r>
    </w:p>
    <w:p>
      <w:pPr>
        <w:spacing w:after="0" w:line="175" w:lineRule="exact"/>
        <w:rPr>
          <w:sz w:val="20"/>
          <w:szCs w:val="20"/>
          <w:color w:val="auto"/>
        </w:rPr>
      </w:pPr>
    </w:p>
    <w:p>
      <w:pPr>
        <w:ind w:left="1220" w:hanging="614"/>
        <w:spacing w:after="0"/>
        <w:tabs>
          <w:tab w:leader="none" w:pos="12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Dated: March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Scott M. Quist</w:t>
            </w: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Scott M. Quist</w:t>
            </w:r>
          </w:p>
        </w:tc>
      </w:tr>
      <w:tr>
        <w:trPr>
          <w:trHeight w:val="202"/>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tc>
      </w:t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136" w:name="page137"/>
    <w:bookmarkEnd w:id="136"/>
    <w:p>
      <w:pPr>
        <w:ind w:left="1020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REQUIRED BY SECTION 906 OF THE SARBANES-OXLEY ACT OF 2002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Annual Report of Security National Financial Corporation (the “Company”) on Form 10-K for the period ending December 31, 2024, as filed with the Securities and Exchange Commission on the date hereof (the “Report”), I, Garrett S. Sill, Chief Financial Officer and Treasurer of the Company, certify, pursuant to 18 U.S.C. Section §1350, as adopted pursuant to Section 906 of the Sarbanes-Oxley Act of 2002, that, to the best of my knowledge and belief:</w:t>
      </w:r>
    </w:p>
    <w:p>
      <w:pPr>
        <w:spacing w:after="0" w:line="169" w:lineRule="exact"/>
        <w:rPr>
          <w:sz w:val="20"/>
          <w:szCs w:val="20"/>
          <w:color w:val="auto"/>
        </w:rPr>
      </w:pPr>
    </w:p>
    <w:p>
      <w:pPr>
        <w:ind w:left="1220" w:hanging="614"/>
        <w:spacing w:after="0"/>
        <w:tabs>
          <w:tab w:leader="none" w:pos="12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Dated: March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Garrett S. Sill</w:t>
            </w:r>
          </w:p>
        </w:tc>
      </w:tr>
      <w:tr>
        <w:trPr>
          <w:trHeight w:val="178"/>
        </w:trPr>
        <w:tc>
          <w:tcPr>
            <w:tcW w:w="5620" w:type="dxa"/>
            <w:vAlign w:val="bottom"/>
          </w:tcPr>
          <w:p>
            <w:pPr>
              <w:spacing w:after="0"/>
              <w:rPr>
                <w:sz w:val="15"/>
                <w:szCs w:val="15"/>
                <w:color w:val="auto"/>
              </w:rPr>
            </w:pPr>
          </w:p>
        </w:tc>
        <w:tc>
          <w:tcPr>
            <w:tcW w:w="562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Garrett S. Sill</w:t>
            </w:r>
          </w:p>
        </w:tc>
      </w:tr>
      <w:tr>
        <w:trPr>
          <w:trHeight w:val="202"/>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r>
      <w:tr>
        <w:trPr>
          <w:trHeight w:val="40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lowerLetter"/>
      <w:start w:val="5"/>
    </w:lvl>
  </w:abstractNum>
  <w:abstractNum w:abstractNumId="7">
    <w:nsid w:val="D34B6A8"/>
    <w:multiLevelType w:val="hybridMultilevel"/>
    <w:lvl w:ilvl="0">
      <w:lvlJc w:val="left"/>
      <w:lvlText w:val="(%1)"/>
      <w:numFmt w:val="lowerLetter"/>
      <w:start w:val="6"/>
    </w:lvl>
  </w:abstractNum>
  <w:abstractNum w:abstractNumId="8">
    <w:nsid w:val="10233C99"/>
    <w:multiLevelType w:val="hybridMultilevel"/>
    <w:lvl w:ilvl="0">
      <w:lvlJc w:val="left"/>
      <w:lvlText w:val="(%1)"/>
      <w:numFmt w:val="lowerLetter"/>
      <w:start w:val="9"/>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lvl w:ilvl="1">
      <w:lvlJc w:val="left"/>
      <w:lvlText w:val="●"/>
      <w:numFmt w:val="bullet"/>
      <w:start w:val="1"/>
    </w:lvl>
  </w:abstractNum>
  <w:abstractNum w:abstractNumId="11">
    <w:nsid w:val="7E0C57B1"/>
    <w:multiLevelType w:val="hybridMultilevel"/>
    <w:lvl w:ilvl="0">
      <w:lvlJc w:val="left"/>
      <w:lvlText w:val="(%1)"/>
      <w:numFmt w:val="decimal"/>
      <w:start w:val="1"/>
    </w:lvl>
  </w:abstractNum>
  <w:abstractNum w:abstractNumId="12">
    <w:nsid w:val="77AE35EB"/>
    <w:multiLevelType w:val="hybridMultilevel"/>
    <w:lvl w:ilvl="0">
      <w:lvlJc w:val="left"/>
      <w:lvlText w:val="%1)"/>
      <w:numFmt w:val="decimal"/>
      <w:start w:val="1"/>
    </w:lvl>
  </w:abstractNum>
  <w:abstractNum w:abstractNumId="13">
    <w:nsid w:val="579BE4F1"/>
    <w:multiLevelType w:val="hybridMultilevel"/>
    <w:lvl w:ilvl="0">
      <w:lvlJc w:val="left"/>
      <w:lvlText w:val="%1)"/>
      <w:numFmt w:val="decimal"/>
      <w:start w:val="1"/>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2"/>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decimal"/>
      <w:start w:val="2"/>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2"/>
    </w:lvl>
  </w:abstractNum>
  <w:abstractNum w:abstractNumId="33">
    <w:nsid w:val="661E3F1E"/>
    <w:multiLevelType w:val="hybridMultilevel"/>
    <w:lvl w:ilvl="0">
      <w:lvlJc w:val="left"/>
      <w:lvlText w:val="%1)"/>
      <w:numFmt w:val="decimal"/>
      <w:start w:val="2"/>
    </w:lvl>
  </w:abstractNum>
  <w:abstractNum w:abstractNumId="34">
    <w:nsid w:val="5DC79EA8"/>
    <w:multiLevelType w:val="hybridMultilevel"/>
    <w:lvl w:ilvl="0">
      <w:lvlJc w:val="left"/>
      <w:lvlText w:val="%1)"/>
      <w:numFmt w:val="decimal"/>
      <w:start w:val="2"/>
    </w:lvl>
  </w:abstractNum>
  <w:abstractNum w:abstractNumId="35">
    <w:nsid w:val="540A471C"/>
    <w:multiLevelType w:val="hybridMultilevel"/>
    <w:lvl w:ilvl="0">
      <w:lvlJc w:val="left"/>
      <w:lvlText w:val="%1)"/>
      <w:numFmt w:val="decimal"/>
      <w:start w:val="2"/>
    </w:lvl>
  </w:abstractNum>
  <w:abstractNum w:abstractNumId="36">
    <w:nsid w:val="7BD3EE7B"/>
    <w:multiLevelType w:val="hybridMultilevel"/>
    <w:lvl w:ilvl="0">
      <w:lvlJc w:val="left"/>
      <w:lvlText w:val="%1)"/>
      <w:numFmt w:val="decimal"/>
      <w:start w:val="2"/>
    </w:lvl>
  </w:abstractNum>
  <w:abstractNum w:abstractNumId="37">
    <w:nsid w:val="51D9C564"/>
    <w:multiLevelType w:val="hybridMultilevel"/>
    <w:lvl w:ilvl="0">
      <w:lvlJc w:val="left"/>
      <w:lvlText w:val="%1)"/>
      <w:numFmt w:val="decimal"/>
      <w:start w:val="2"/>
    </w:lvl>
  </w:abstractNum>
  <w:abstractNum w:abstractNumId="38">
    <w:nsid w:val="613EFDC5"/>
    <w:multiLevelType w:val="hybridMultilevel"/>
    <w:lvl w:ilvl="0">
      <w:lvlJc w:val="left"/>
      <w:lvlText w:val="(%1)"/>
      <w:numFmt w:val="decimal"/>
      <w:start w:val="1"/>
    </w:lvl>
  </w:abstractNum>
  <w:abstractNum w:abstractNumId="39">
    <w:nsid w:val="BF72B14"/>
    <w:multiLevelType w:val="hybridMultilevel"/>
    <w:lvl w:ilvl="0">
      <w:lvlJc w:val="left"/>
      <w:lvlText w:val="%1)"/>
      <w:numFmt w:val="decimal"/>
      <w:start w:val="2"/>
    </w:lvl>
  </w:abstractNum>
  <w:abstractNum w:abstractNumId="40">
    <w:nsid w:val="11447B73"/>
    <w:multiLevelType w:val="hybridMultilevel"/>
    <w:lvl w:ilvl="0">
      <w:lvlJc w:val="left"/>
      <w:lvlText w:val="%1)"/>
      <w:numFmt w:val="decimal"/>
      <w:start w:val="2"/>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2"/>
    </w:lvl>
  </w:abstractNum>
  <w:abstractNum w:abstractNumId="43">
    <w:nsid w:val="8F2B15E"/>
    <w:multiLevelType w:val="hybridMultilevel"/>
    <w:lvl w:ilvl="0">
      <w:lvlJc w:val="left"/>
      <w:lvlText w:val="%1)"/>
      <w:numFmt w:val="decimal"/>
      <w:start w:val="2"/>
    </w:lvl>
  </w:abstractNum>
  <w:abstractNum w:abstractNumId="44">
    <w:nsid w:val="1A32234B"/>
    <w:multiLevelType w:val="hybridMultilevel"/>
    <w:lvl w:ilvl="0">
      <w:lvlJc w:val="left"/>
      <w:lvlText w:val="(%1)"/>
      <w:numFmt w:val="decimal"/>
      <w:start w:val="1"/>
    </w:lvl>
  </w:abstractNum>
  <w:abstractNum w:abstractNumId="45">
    <w:nsid w:val="3B0FD379"/>
    <w:multiLevelType w:val="hybridMultilevel"/>
    <w:lvl w:ilvl="0">
      <w:lvlJc w:val="left"/>
      <w:lvlText w:val="%1)"/>
      <w:numFmt w:val="decimal"/>
      <w:start w:val="2"/>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1)"/>
      <w:numFmt w:val="decimal"/>
      <w:start w:val="2"/>
    </w:lvl>
  </w:abstractNum>
  <w:abstractNum w:abstractNumId="48">
    <w:nsid w:val="60B6DF70"/>
    <w:multiLevelType w:val="hybridMultilevel"/>
    <w:lvl w:ilvl="0">
      <w:lvlJc w:val="left"/>
      <w:lvlText w:val="%1)"/>
      <w:numFmt w:val="decimal"/>
      <w:start w:val="2"/>
    </w:lvl>
  </w:abstractNum>
  <w:abstractNum w:abstractNumId="49">
    <w:nsid w:val="6A5EE64"/>
    <w:multiLevelType w:val="hybridMultilevel"/>
    <w:lvl w:ilvl="0">
      <w:lvlJc w:val="left"/>
      <w:lvlText w:val="%1)"/>
      <w:numFmt w:val="decimal"/>
      <w:start w:val="2"/>
    </w:lvl>
  </w:abstractNum>
  <w:abstractNum w:abstractNumId="50">
    <w:nsid w:val="14330624"/>
    <w:multiLevelType w:val="hybridMultilevel"/>
    <w:lvl w:ilvl="0">
      <w:lvlJc w:val="left"/>
      <w:lvlText w:val="%1)"/>
      <w:numFmt w:val="decimal"/>
      <w:start w:val="2"/>
    </w:lvl>
  </w:abstractNum>
  <w:abstractNum w:abstractNumId="51">
    <w:nsid w:val="7FFFCA11"/>
    <w:multiLevelType w:val="hybridMultilevel"/>
    <w:lvl w:ilvl="0">
      <w:lvlJc w:val="left"/>
      <w:lvlText w:val="%1)"/>
      <w:numFmt w:val="decimal"/>
      <w:start w:val="3"/>
    </w:lvl>
  </w:abstractNum>
  <w:abstractNum w:abstractNumId="52">
    <w:nsid w:val="1A27709E"/>
    <w:multiLevelType w:val="hybridMultilevel"/>
    <w:lvl w:ilvl="0">
      <w:lvlJc w:val="left"/>
      <w:lvlText w:val="%1)"/>
      <w:numFmt w:val="decimal"/>
      <w:start w:val="3"/>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decimal"/>
      <w:start w:val="5"/>
    </w:lvl>
  </w:abstractNum>
  <w:abstractNum w:abstractNumId="55">
    <w:nsid w:val="7FB7E0AA"/>
    <w:multiLevelType w:val="hybridMultilevel"/>
    <w:lvl w:ilvl="0">
      <w:lvlJc w:val="left"/>
      <w:lvlText w:val="%1)"/>
      <w:numFmt w:val="decimal"/>
      <w:start w:val="5"/>
    </w:lvl>
  </w:abstractNum>
  <w:abstractNum w:abstractNumId="56">
    <w:nsid w:val="6EB5BD4"/>
    <w:multiLevelType w:val="hybridMultilevel"/>
    <w:lvl w:ilvl="0">
      <w:lvlJc w:val="left"/>
      <w:lvlText w:val="%1)"/>
      <w:numFmt w:val="decimal"/>
      <w:start w:val="5"/>
    </w:lvl>
  </w:abstractNum>
  <w:abstractNum w:abstractNumId="57">
    <w:nsid w:val="6F6DD9AC"/>
    <w:multiLevelType w:val="hybridMultilevel"/>
    <w:lvl w:ilvl="0">
      <w:lvlJc w:val="left"/>
      <w:lvlText w:val="%1)"/>
      <w:numFmt w:val="decimal"/>
      <w:start w:val="7"/>
    </w:lvl>
  </w:abstractNum>
  <w:abstractNum w:abstractNumId="58">
    <w:nsid w:val="94211F2"/>
    <w:multiLevelType w:val="hybridMultilevel"/>
    <w:lvl w:ilvl="0">
      <w:lvlJc w:val="left"/>
      <w:lvlText w:val="%1)"/>
      <w:numFmt w:val="decimal"/>
      <w:start w:val="7"/>
    </w:lvl>
  </w:abstractNum>
  <w:abstractNum w:abstractNumId="59">
    <w:nsid w:val="885E1B"/>
    <w:multiLevelType w:val="hybridMultilevel"/>
    <w:lvl w:ilvl="0">
      <w:lvlJc w:val="left"/>
      <w:lvlText w:val="%1)"/>
      <w:numFmt w:val="decimal"/>
      <w:start w:val="8"/>
    </w:lvl>
  </w:abstractNum>
  <w:abstractNum w:abstractNumId="60">
    <w:nsid w:val="76272110"/>
    <w:multiLevelType w:val="hybridMultilevel"/>
    <w:lvl w:ilvl="0">
      <w:lvlJc w:val="left"/>
      <w:lvlText w:val="%1)"/>
      <w:numFmt w:val="decimal"/>
      <w:start w:val="8"/>
    </w:lvl>
  </w:abstractNum>
  <w:abstractNum w:abstractNumId="61">
    <w:nsid w:val="4C04A8AF"/>
    <w:multiLevelType w:val="hybridMultilevel"/>
    <w:lvl w:ilvl="0">
      <w:lvlJc w:val="left"/>
      <w:lvlText w:val="%1)"/>
      <w:numFmt w:val="decimal"/>
      <w:start w:val="8"/>
    </w:lvl>
  </w:abstractNum>
  <w:abstractNum w:abstractNumId="62">
    <w:nsid w:val="1716703B"/>
    <w:multiLevelType w:val="hybridMultilevel"/>
    <w:lvl w:ilvl="0">
      <w:lvlJc w:val="left"/>
      <w:lvlText w:val="%1)"/>
      <w:numFmt w:val="decimal"/>
      <w:start w:val="8"/>
    </w:lvl>
  </w:abstractNum>
  <w:abstractNum w:abstractNumId="63">
    <w:nsid w:val="14E17E33"/>
    <w:multiLevelType w:val="hybridMultilevel"/>
    <w:lvl w:ilvl="0">
      <w:lvlJc w:val="left"/>
      <w:lvlText w:val="(%1)"/>
      <w:numFmt w:val="decimal"/>
      <w:start w:val="1"/>
    </w:lvl>
  </w:abstractNum>
  <w:abstractNum w:abstractNumId="64">
    <w:nsid w:val="3222E7CD"/>
    <w:multiLevelType w:val="hybridMultilevel"/>
    <w:lvl w:ilvl="0">
      <w:lvlJc w:val="left"/>
      <w:lvlText w:val="%1)"/>
      <w:numFmt w:val="decimal"/>
      <w:start w:val="8"/>
    </w:lvl>
  </w:abstractNum>
  <w:abstractNum w:abstractNumId="65">
    <w:nsid w:val="74DE0EE3"/>
    <w:multiLevelType w:val="hybridMultilevel"/>
    <w:lvl w:ilvl="0">
      <w:lvlJc w:val="left"/>
      <w:lvlText w:val="%1)"/>
      <w:numFmt w:val="decimal"/>
      <w:start w:val="8"/>
    </w:lvl>
  </w:abstractNum>
  <w:abstractNum w:abstractNumId="66">
    <w:nsid w:val="68EBC550"/>
    <w:multiLevelType w:val="hybridMultilevel"/>
    <w:lvl w:ilvl="0">
      <w:lvlJc w:val="left"/>
      <w:lvlText w:val="%1)"/>
      <w:numFmt w:val="decimal"/>
      <w:start w:val="10"/>
    </w:lvl>
  </w:abstractNum>
  <w:abstractNum w:abstractNumId="67">
    <w:nsid w:val="2DF6D648"/>
    <w:multiLevelType w:val="hybridMultilevel"/>
    <w:lvl w:ilvl="0">
      <w:lvlJc w:val="left"/>
      <w:lvlText w:val="%1)"/>
      <w:numFmt w:val="decimal"/>
      <w:start w:val="10"/>
    </w:lvl>
  </w:abstractNum>
  <w:abstractNum w:abstractNumId="68">
    <w:nsid w:val="46B7D447"/>
    <w:multiLevelType w:val="hybridMultilevel"/>
    <w:lvl w:ilvl="0">
      <w:lvlJc w:val="left"/>
      <w:lvlText w:val="%1)"/>
      <w:numFmt w:val="decimal"/>
      <w:start w:val="11"/>
    </w:lvl>
  </w:abstractNum>
  <w:abstractNum w:abstractNumId="69">
    <w:nsid w:val="4A2AC315"/>
    <w:multiLevelType w:val="hybridMultilevel"/>
    <w:lvl w:ilvl="0">
      <w:lvlJc w:val="left"/>
      <w:lvlText w:val="%1)"/>
      <w:numFmt w:val="decimal"/>
      <w:start w:val="12"/>
    </w:lvl>
  </w:abstractNum>
  <w:abstractNum w:abstractNumId="70">
    <w:nsid w:val="39EE015C"/>
    <w:multiLevelType w:val="hybridMultilevel"/>
    <w:lvl w:ilvl="0">
      <w:lvlJc w:val="left"/>
      <w:lvlText w:val="%1)"/>
      <w:numFmt w:val="decimal"/>
      <w:start w:val="12"/>
    </w:lvl>
  </w:abstractNum>
  <w:abstractNum w:abstractNumId="71">
    <w:nsid w:val="57FC4FBB"/>
    <w:multiLevelType w:val="hybridMultilevel"/>
    <w:lvl w:ilvl="0">
      <w:lvlJc w:val="left"/>
      <w:lvlText w:val="%1)"/>
      <w:numFmt w:val="decimal"/>
      <w:start w:val="13"/>
    </w:lvl>
  </w:abstractNum>
  <w:abstractNum w:abstractNumId="72">
    <w:nsid w:val="CC1016F"/>
    <w:multiLevelType w:val="hybridMultilevel"/>
    <w:lvl w:ilvl="0">
      <w:lvlJc w:val="left"/>
      <w:lvlText w:val="(%1)"/>
      <w:numFmt w:val="decimal"/>
      <w:start w:val="1"/>
    </w:lvl>
  </w:abstractNum>
  <w:abstractNum w:abstractNumId="73">
    <w:nsid w:val="43F18422"/>
    <w:multiLevelType w:val="hybridMultilevel"/>
    <w:lvl w:ilvl="0">
      <w:lvlJc w:val="left"/>
      <w:lvlText w:val="%1)"/>
      <w:numFmt w:val="decimal"/>
      <w:start w:val="13"/>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1)"/>
      <w:numFmt w:val="decimal"/>
      <w:start w:val="13"/>
    </w:lvl>
  </w:abstractNum>
  <w:abstractNum w:abstractNumId="76">
    <w:nsid w:val="7F01579B"/>
    <w:multiLevelType w:val="hybridMultilevel"/>
    <w:lvl w:ilvl="0">
      <w:lvlJc w:val="left"/>
      <w:lvlText w:val="%1)"/>
      <w:numFmt w:val="decimal"/>
      <w:start w:val="14"/>
    </w:lvl>
  </w:abstractNum>
  <w:abstractNum w:abstractNumId="77">
    <w:nsid w:val="49DA307D"/>
    <w:multiLevelType w:val="hybridMultilevel"/>
    <w:lvl w:ilvl="0">
      <w:lvlJc w:val="left"/>
      <w:lvlText w:val="%1."/>
      <w:numFmt w:val="decimal"/>
      <w:start w:val="14"/>
    </w:lvl>
  </w:abstractNum>
  <w:abstractNum w:abstractNumId="78">
    <w:nsid w:val="7055A5F5"/>
    <w:multiLevelType w:val="hybridMultilevel"/>
    <w:lvl w:ilvl="0">
      <w:lvlJc w:val="left"/>
      <w:lvlText w:val="%1)"/>
      <w:numFmt w:val="decimal"/>
      <w:start w:val="15"/>
    </w:lvl>
  </w:abstractNum>
  <w:abstractNum w:abstractNumId="79">
    <w:nsid w:val="5FB8370B"/>
    <w:multiLevelType w:val="hybridMultilevel"/>
    <w:lvl w:ilvl="0">
      <w:lvlJc w:val="left"/>
      <w:lvlText w:val="(%1)"/>
      <w:numFmt w:val="decimal"/>
      <w:start w:val="1"/>
    </w:lvl>
  </w:abstractNum>
  <w:abstractNum w:abstractNumId="80">
    <w:nsid w:val="50801EE1"/>
    <w:multiLevelType w:val="hybridMultilevel"/>
    <w:lvl w:ilvl="0">
      <w:lvlJc w:val="left"/>
      <w:lvlText w:val="(%1)"/>
      <w:numFmt w:val="decimal"/>
      <w:start w:val="1"/>
    </w:lvl>
  </w:abstractNum>
  <w:abstractNum w:abstractNumId="81">
    <w:nsid w:val="488AC1A"/>
    <w:multiLevelType w:val="hybridMultilevel"/>
    <w:lvl w:ilvl="0">
      <w:lvlJc w:val="left"/>
      <w:lvlText w:val="%1)"/>
      <w:numFmt w:val="decimal"/>
      <w:start w:val="16"/>
    </w:lvl>
  </w:abstractNum>
  <w:abstractNum w:abstractNumId="82">
    <w:nsid w:val="5FB8011C"/>
    <w:multiLevelType w:val="hybridMultilevel"/>
    <w:lvl w:ilvl="0">
      <w:lvlJc w:val="left"/>
      <w:lvlText w:val="%1)"/>
      <w:numFmt w:val="decimal"/>
      <w:start w:val="17"/>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decimal"/>
      <w:start w:val="17"/>
    </w:lvl>
  </w:abstractNum>
  <w:abstractNum w:abstractNumId="85">
    <w:nsid w:val="6FC75AF8"/>
    <w:multiLevelType w:val="hybridMultilevel"/>
    <w:lvl w:ilvl="0">
      <w:lvlJc w:val="left"/>
      <w:lvlText w:val="%1)"/>
      <w:numFmt w:val="decimal"/>
      <w:start w:val="17"/>
    </w:lvl>
  </w:abstractNum>
  <w:abstractNum w:abstractNumId="86">
    <w:nsid w:val="6A5F7029"/>
    <w:multiLevelType w:val="hybridMultilevel"/>
    <w:lvl w:ilvl="0">
      <w:lvlJc w:val="left"/>
      <w:lvlText w:val="(%1)"/>
      <w:numFmt w:val="decimal"/>
      <w:start w:val="1"/>
    </w:lvl>
  </w:abstractNum>
  <w:abstractNum w:abstractNumId="87">
    <w:nsid w:val="7D5E18F8"/>
    <w:multiLevelType w:val="hybridMultilevel"/>
    <w:lvl w:ilvl="0">
      <w:lvlJc w:val="left"/>
      <w:lvlText w:val="%1)"/>
      <w:numFmt w:val="decimal"/>
      <w:start w:val="17"/>
    </w:lvl>
  </w:abstractNum>
  <w:abstractNum w:abstractNumId="88">
    <w:nsid w:val="5F3534A4"/>
    <w:multiLevelType w:val="hybridMultilevel"/>
    <w:lvl w:ilvl="0">
      <w:lvlJc w:val="left"/>
      <w:lvlText w:val="(%1)"/>
      <w:numFmt w:val="decimal"/>
      <w:start w:val="1"/>
    </w:lvl>
  </w:abstractNum>
  <w:abstractNum w:abstractNumId="89">
    <w:nsid w:val="73A1821B"/>
    <w:multiLevelType w:val="hybridMultilevel"/>
    <w:lvl w:ilvl="0">
      <w:lvlJc w:val="left"/>
      <w:lvlText w:val="%1)"/>
      <w:numFmt w:val="decimal"/>
      <w:start w:val="17"/>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decimal"/>
      <w:start w:val="17"/>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decimal"/>
      <w:start w:val="17"/>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decimal"/>
      <w:start w:val="17"/>
    </w:lvl>
  </w:abstractNum>
  <w:abstractNum w:abstractNumId="97">
    <w:nsid w:val="53299938"/>
    <w:multiLevelType w:val="hybridMultilevel"/>
    <w:lvl w:ilvl="0">
      <w:lvlJc w:val="left"/>
      <w:lvlText w:val="%1)"/>
      <w:numFmt w:val="decimal"/>
      <w:start w:val="19"/>
    </w:lvl>
  </w:abstractNum>
  <w:abstractNum w:abstractNumId="98">
    <w:nsid w:val="1FBFE8E0"/>
    <w:multiLevelType w:val="hybridMultilevel"/>
    <w:lvl w:ilvl="0">
      <w:lvlJc w:val="left"/>
      <w:lvlText w:val="%1)"/>
      <w:numFmt w:val="decimal"/>
      <w:start w:val="20"/>
    </w:lvl>
  </w:abstractNum>
  <w:abstractNum w:abstractNumId="99">
    <w:nsid w:val="5092CA79"/>
    <w:multiLevelType w:val="hybridMultilevel"/>
    <w:lvl w:ilvl="0">
      <w:lvlJc w:val="left"/>
      <w:lvlText w:val="%1)"/>
      <w:numFmt w:val="decimal"/>
      <w:start w:val="21"/>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decimal"/>
      <w:start w:val="22"/>
    </w:lvl>
  </w:abstractNum>
  <w:abstractNum w:abstractNumId="102">
    <w:nsid w:val="288F1A34"/>
    <w:multiLevelType w:val="hybridMultilevel"/>
    <w:lvl w:ilvl="0">
      <w:lvlJc w:val="left"/>
      <w:lvlText w:val="%1)"/>
      <w:numFmt w:val="decimal"/>
      <w:start w:val="22"/>
    </w:lvl>
  </w:abstractNum>
  <w:abstractNum w:abstractNumId="103">
    <w:nsid w:val="2A155DBC"/>
    <w:multiLevelType w:val="hybridMultilevel"/>
    <w:lvl w:ilvl="0">
      <w:lvlJc w:val="left"/>
      <w:lvlText w:val="%1)"/>
      <w:numFmt w:val="decimal"/>
      <w:start w:val="22"/>
    </w:lvl>
  </w:abstractNum>
  <w:abstractNum w:abstractNumId="104">
    <w:nsid w:val="1D9F6E5F"/>
    <w:multiLevelType w:val="hybridMultilevel"/>
    <w:lvl w:ilvl="0">
      <w:lvlJc w:val="left"/>
      <w:lvlText w:val="%1)"/>
      <w:numFmt w:val="decimal"/>
      <w:start w:val="22"/>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1"/>
      <w:numFmt w:val="decimal"/>
      <w:start w:val="14"/>
    </w:lvl>
  </w:abstractNum>
  <w:abstractNum w:abstractNumId="107">
    <w:nsid w:val="1CA0C5FA"/>
    <w:multiLevelType w:val="hybridMultilevel"/>
    <w:lvl w:ilvl="0">
      <w:lvlJc w:val="left"/>
      <w:lvlText w:val="%1"/>
      <w:numFmt w:val="decimal"/>
      <w:start w:val="19"/>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69" Type="http://schemas.openxmlformats.org/officeDocument/2006/relationships/hyperlink" Target="https://www.sec.gov/Archives/edgar/data/318673/000109690617000214/exh3_1.pdf" TargetMode="External"/><Relationship Id="rId170" Type="http://schemas.openxmlformats.org/officeDocument/2006/relationships/hyperlink" Target="https://www.sec.gov/Archives/edgar/data/318673/000109690619000199/exh3_2.pdf" TargetMode="External"/><Relationship Id="rId171" Type="http://schemas.openxmlformats.org/officeDocument/2006/relationships/hyperlink" Target="https://www.sec.gov/Archives/edgar/data/318673/000109690616001835/exh10_4.htm" TargetMode="External"/><Relationship Id="rId172" Type="http://schemas.openxmlformats.org/officeDocument/2006/relationships/hyperlink" Target="https://www.sec.gov/Archives/edgar/data/318673/000144586620001192/snfca_ex10z3.htm" TargetMode="External"/><Relationship Id="rId173" Type="http://schemas.openxmlformats.org/officeDocument/2006/relationships/hyperlink" Target="https://www.sec.gov/Archives/edgar/data/318673/000109690618000639/exh10_9.htm" TargetMode="External"/><Relationship Id="rId174" Type="http://schemas.openxmlformats.org/officeDocument/2006/relationships/hyperlink" Target="https://www.sec.gov/Archives/edgar/data/318673/000149315224011903/ex10-6.htm" TargetMode="External"/><Relationship Id="rId175" Type="http://schemas.openxmlformats.org/officeDocument/2006/relationships/hyperlink" Target="https://www.sec.gov/Archives/edgar/data/318673/000109690619000199/exh14.htm" TargetMode="External"/><Relationship Id="rId176" Type="http://schemas.openxmlformats.org/officeDocument/2006/relationships/hyperlink" Target="https://www.sec.gov/Archives/edgar/data/318673/000149315224011903/ex-19.htm" TargetMode="External"/><Relationship Id="rId177" Type="http://schemas.openxmlformats.org/officeDocument/2006/relationships/hyperlink" Target="https://www.sec.gov/Archives/edgar/data/318673/000149315224011903/ex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2025-03-31T08:11:11Z</dcterms:created>
  <dcterms:modified xsi:type="dcterms:W3CDTF">2025-03-31T08:11:11Z</dcterms:modified>
</cp:coreProperties>
</file>