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37" w:lineRule="exact"/>
        <w:rPr>
          <w:sz w:val="24"/>
          <w:szCs w:val="24"/>
          <w:color w:val="auto"/>
        </w:rPr>
      </w:pPr>
    </w:p>
    <w:p>
      <w:pPr>
        <w:ind w:right="2240" w:firstLine="8"/>
        <w:spacing w:after="0" w:line="500" w:lineRule="auto"/>
        <w:tabs>
          <w:tab w:leader="none" w:pos="207"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2025</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right="1860" w:firstLine="8"/>
        <w:spacing w:after="0" w:line="500" w:lineRule="auto"/>
        <w:tabs>
          <w:tab w:leader="none" w:pos="207"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 to _____</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000-09341</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SECURITY NATIONAL FINANCIAL CORPORATION</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720" w:type="dxa"/>
            <w:vAlign w:val="bottom"/>
            <w:tcBorders>
              <w:bottom w:val="single" w:sz="8" w:color="auto"/>
            </w:tcBorders>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UTAH</w:t>
            </w:r>
          </w:p>
        </w:tc>
        <w:tc>
          <w:tcPr>
            <w:tcW w:w="8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2"/>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8"/>
              </w:rPr>
              <w:t>87-0345941</w:t>
            </w:r>
          </w:p>
        </w:tc>
        <w:tc>
          <w:tcPr>
            <w:tcW w:w="2180" w:type="dxa"/>
            <w:vAlign w:val="bottom"/>
            <w:tcBorders>
              <w:bottom w:val="single" w:sz="8" w:color="auto"/>
            </w:tcBorders>
          </w:tcPr>
          <w:p>
            <w:pPr>
              <w:spacing w:after="0"/>
              <w:rPr>
                <w:sz w:val="21"/>
                <w:szCs w:val="21"/>
                <w:color w:val="auto"/>
              </w:rPr>
            </w:pPr>
          </w:p>
        </w:tc>
      </w:tr>
      <w:tr>
        <w:trPr>
          <w:trHeight w:val="198"/>
        </w:trPr>
        <w:tc>
          <w:tcPr>
            <w:tcW w:w="4720" w:type="dxa"/>
            <w:vAlign w:val="bottom"/>
            <w:gridSpan w:val="3"/>
          </w:tcPr>
          <w:p>
            <w:pPr>
              <w:jc w:val="center"/>
              <w:ind w:left="710"/>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80" w:type="dxa"/>
            <w:vAlign w:val="bottom"/>
            <w:gridSpan w:val="3"/>
          </w:tcPr>
          <w:p>
            <w:pPr>
              <w:jc w:val="center"/>
              <w:ind w:right="1020"/>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72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9"/>
        </w:trPr>
        <w:tc>
          <w:tcPr>
            <w:tcW w:w="4720" w:type="dxa"/>
            <w:vAlign w:val="bottom"/>
            <w:tcBorders>
              <w:bottom w:val="single" w:sz="8" w:color="auto"/>
            </w:tcBorders>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433 West Ascension Way, Salt Lake City, Utah</w:t>
            </w:r>
          </w:p>
        </w:tc>
        <w:tc>
          <w:tcPr>
            <w:tcW w:w="8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2"/>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rPr>
              <w:t>84123</w:t>
            </w:r>
          </w:p>
        </w:tc>
        <w:tc>
          <w:tcPr>
            <w:tcW w:w="2180" w:type="dxa"/>
            <w:vAlign w:val="bottom"/>
            <w:tcBorders>
              <w:bottom w:val="single" w:sz="8" w:color="auto"/>
            </w:tcBorders>
          </w:tcPr>
          <w:p>
            <w:pPr>
              <w:spacing w:after="0"/>
              <w:rPr>
                <w:sz w:val="24"/>
                <w:szCs w:val="24"/>
                <w:color w:val="auto"/>
              </w:rPr>
            </w:pPr>
          </w:p>
        </w:tc>
      </w:tr>
      <w:tr>
        <w:trPr>
          <w:trHeight w:val="234"/>
        </w:trPr>
        <w:tc>
          <w:tcPr>
            <w:tcW w:w="472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300" w:type="dxa"/>
            <w:vAlign w:val="bottom"/>
            <w:gridSpan w:val="2"/>
          </w:tcPr>
          <w:p>
            <w:pPr>
              <w:jc w:val="center"/>
              <w:ind w:right="220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373"/>
        </w:trPr>
        <w:tc>
          <w:tcPr>
            <w:tcW w:w="472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(801) 264-1060</w:t>
            </w:r>
          </w:p>
        </w:tc>
      </w:tr>
      <w:tr>
        <w:trPr>
          <w:trHeight w:val="453"/>
        </w:trPr>
        <w:tc>
          <w:tcPr>
            <w:tcW w:w="7940" w:type="dxa"/>
            <w:vAlign w:val="bottom"/>
            <w:gridSpan w:val="8"/>
          </w:tcPr>
          <w:p>
            <w:pPr>
              <w:ind w:left="342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1120" w:type="dxa"/>
            <w:vAlign w:val="bottom"/>
            <w:tcBorders>
              <w:top w:val="single" w:sz="8" w:color="auto"/>
            </w:tcBorders>
          </w:tcPr>
          <w:p>
            <w:pPr>
              <w:spacing w:after="0"/>
              <w:rPr>
                <w:sz w:val="24"/>
                <w:szCs w:val="24"/>
                <w:color w:val="auto"/>
              </w:rPr>
            </w:pPr>
          </w:p>
        </w:tc>
        <w:tc>
          <w:tcPr>
            <w:tcW w:w="2180" w:type="dxa"/>
            <w:vAlign w:val="bottom"/>
          </w:tcPr>
          <w:p>
            <w:pPr>
              <w:spacing w:after="0"/>
              <w:rPr>
                <w:sz w:val="24"/>
                <w:szCs w:val="24"/>
                <w:color w:val="auto"/>
              </w:rPr>
            </w:pPr>
          </w:p>
        </w:tc>
      </w:tr>
      <w:tr>
        <w:trPr>
          <w:trHeight w:val="439"/>
        </w:trPr>
        <w:tc>
          <w:tcPr>
            <w:tcW w:w="4720" w:type="dxa"/>
            <w:vAlign w:val="bottom"/>
            <w:gridSpan w:val="3"/>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040" w:type="dxa"/>
            <w:vAlign w:val="bottom"/>
            <w:gridSpan w:val="4"/>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Trading symbol</w:t>
            </w:r>
          </w:p>
        </w:tc>
        <w:tc>
          <w:tcPr>
            <w:tcW w:w="44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exchange on which registered</w:t>
            </w:r>
          </w:p>
        </w:tc>
      </w:tr>
      <w:tr>
        <w:trPr>
          <w:trHeight w:val="234"/>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Class A Common Stock</w:t>
            </w:r>
          </w:p>
        </w:tc>
        <w:tc>
          <w:tcPr>
            <w:tcW w:w="2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gridSpan w:val="3"/>
          </w:tcPr>
          <w:p>
            <w:pPr>
              <w:jc w:val="center"/>
              <w:ind w:right="440"/>
              <w:spacing w:after="0"/>
              <w:rPr>
                <w:sz w:val="20"/>
                <w:szCs w:val="20"/>
                <w:color w:val="auto"/>
              </w:rPr>
            </w:pPr>
            <w:r>
              <w:rPr>
                <w:rFonts w:ascii="Times New Roman" w:cs="Times New Roman" w:eastAsia="Times New Roman" w:hAnsi="Times New Roman"/>
                <w:sz w:val="18"/>
                <w:szCs w:val="18"/>
                <w:color w:val="auto"/>
                <w:w w:val="99"/>
              </w:rPr>
              <w:t>SNFCA</w:t>
            </w:r>
          </w:p>
        </w:tc>
        <w:tc>
          <w:tcPr>
            <w:tcW w:w="220" w:type="dxa"/>
            <w:vAlign w:val="bottom"/>
          </w:tcPr>
          <w:p>
            <w:pPr>
              <w:spacing w:after="0"/>
              <w:rPr>
                <w:sz w:val="20"/>
                <w:szCs w:val="20"/>
                <w:color w:val="auto"/>
              </w:rPr>
            </w:pPr>
          </w:p>
        </w:tc>
        <w:tc>
          <w:tcPr>
            <w:tcW w:w="448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pacing w:after="0" w:line="229"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184" w:lineRule="exact"/>
        <w:rPr>
          <w:sz w:val="24"/>
          <w:szCs w:val="24"/>
          <w:color w:val="auto"/>
        </w:rPr>
      </w:pPr>
    </w:p>
    <w:p>
      <w:pPr>
        <w:jc w:val="right"/>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66"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Securities Act.</w:t>
      </w:r>
    </w:p>
    <w:p>
      <w:pPr>
        <w:spacing w:after="0" w:line="184" w:lineRule="exact"/>
        <w:rPr>
          <w:sz w:val="24"/>
          <w:szCs w:val="24"/>
          <w:color w:val="auto"/>
        </w:rPr>
      </w:pPr>
    </w:p>
    <w:p>
      <w:pPr>
        <w:ind w:left="103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289"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35" w:lineRule="exact"/>
        <w:rPr>
          <w:sz w:val="24"/>
          <w:szCs w:val="24"/>
          <w:color w:val="auto"/>
        </w:rPr>
      </w:pPr>
    </w:p>
    <w:p>
      <w:pPr>
        <w:ind w:left="103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289" w:lineRule="exact"/>
        <w:rPr>
          <w:sz w:val="24"/>
          <w:szCs w:val="24"/>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and posted pursuant to Rule 405 of Regulation S-T (§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1"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46" w:orient="portrait"/>
          <w:cols w:equalWidth="0" w:num="1">
            <w:col w:w="11240"/>
          </w:cols>
          <w:pgMar w:left="320" w:top="740" w:right="339" w:bottom="0" w:gutter="0" w:footer="0" w:header="0"/>
        </w:sectPr>
      </w:pPr>
    </w:p>
    <w:p>
      <w:pPr>
        <w:spacing w:after="0" w:line="13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46" w:orient="portrait"/>
          <w:cols w:equalWidth="0" w:num="2">
            <w:col w:w="7160" w:space="720"/>
            <w:col w:w="3360"/>
          </w:cols>
          <w:pgMar w:left="320" w:top="740" w:right="339" w:bottom="0" w:gutter="0" w:footer="0" w:header="0"/>
          <w:type w:val="continuous"/>
        </w:sectPr>
      </w:pPr>
    </w:p>
    <w:p>
      <w:pPr>
        <w:spacing w:after="0" w:line="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8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46" w:orient="portrait"/>
          <w:cols w:equalWidth="0" w:num="2">
            <w:col w:w="7160" w:space="720"/>
            <w:col w:w="3360"/>
          </w:cols>
          <w:pgMar w:left="320" w:top="740" w:right="339" w:bottom="0" w:gutter="0" w:footer="0" w:header="0"/>
          <w:type w:val="continuous"/>
        </w:sectPr>
      </w:pPr>
    </w:p>
    <w:p>
      <w:pPr>
        <w:spacing w:after="0" w:line="17" w:lineRule="exact"/>
        <w:rPr>
          <w:sz w:val="24"/>
          <w:szCs w:val="24"/>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ind w:left="11080"/>
        <w:spacing w:after="0" w:line="161" w:lineRule="exact"/>
        <w:rPr>
          <w:sz w:val="20"/>
          <w:szCs w:val="20"/>
          <w:color w:val="auto"/>
        </w:rPr>
      </w:pPr>
      <w:r>
        <w:rPr>
          <w:rFonts w:ascii="MS PGothic" w:cs="MS PGothic" w:eastAsia="MS PGothic" w:hAnsi="MS PGothic"/>
          <w:sz w:val="16"/>
          <w:szCs w:val="16"/>
          <w:color w:val="auto"/>
        </w:rPr>
        <w:t>☐</w:t>
      </w:r>
    </w:p>
    <w:p>
      <w:pPr>
        <w:spacing w:after="0" w:line="259" w:lineRule="exact"/>
        <w:rPr>
          <w:sz w:val="24"/>
          <w:szCs w:val="24"/>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w:t>
      </w:r>
    </w:p>
    <w:p>
      <w:pPr>
        <w:sectPr>
          <w:pgSz w:w="11900" w:h="16846" w:orient="portrait"/>
          <w:cols w:equalWidth="0" w:num="1">
            <w:col w:w="11240"/>
          </w:cols>
          <w:pgMar w:left="320" w:top="740" w:right="3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or issued its audit report.</w:t>
      </w:r>
    </w:p>
    <w:p>
      <w:pPr>
        <w:spacing w:after="0" w:line="22" w:lineRule="exact"/>
        <w:rPr>
          <w:sz w:val="20"/>
          <w:szCs w:val="20"/>
          <w:color w:val="auto"/>
        </w:rPr>
      </w:pPr>
    </w:p>
    <w:p>
      <w:pPr>
        <w:ind w:left="11080"/>
        <w:spacing w:after="0" w:line="161" w:lineRule="exact"/>
        <w:rPr>
          <w:sz w:val="20"/>
          <w:szCs w:val="20"/>
          <w:color w:val="auto"/>
        </w:rPr>
      </w:pPr>
      <w:r>
        <w:rPr>
          <w:rFonts w:ascii="MS PGothic" w:cs="MS PGothic" w:eastAsia="MS PGothic" w:hAnsi="MS PGothic"/>
          <w:sz w:val="16"/>
          <w:szCs w:val="16"/>
          <w:color w:val="auto"/>
        </w:rPr>
        <w:t>☒</w:t>
      </w:r>
    </w:p>
    <w:p>
      <w:pPr>
        <w:spacing w:after="0" w:line="25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If securities are registered pursuant to Section 12(b) of the Act, indicate by check mark whether the financial statements of the registrant included in the filing reflect the correction of an error to previously issued financial statements.</w:t>
      </w:r>
    </w:p>
    <w:p>
      <w:pPr>
        <w:ind w:left="11080"/>
        <w:spacing w:after="0" w:line="161" w:lineRule="exact"/>
        <w:rPr>
          <w:sz w:val="20"/>
          <w:szCs w:val="20"/>
          <w:color w:val="auto"/>
        </w:rPr>
      </w:pPr>
      <w:r>
        <w:rPr>
          <w:rFonts w:ascii="MS PGothic" w:cs="MS PGothic" w:eastAsia="MS PGothic" w:hAnsi="MS PGothic"/>
          <w:sz w:val="16"/>
          <w:szCs w:val="16"/>
          <w:color w:val="auto"/>
        </w:rPr>
        <w:t>☐</w:t>
      </w:r>
    </w:p>
    <w:p>
      <w:pPr>
        <w:spacing w:after="0" w:line="25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p>
    <w:p>
      <w:pPr>
        <w:ind w:left="11080"/>
        <w:spacing w:after="0" w:line="161" w:lineRule="exact"/>
        <w:rPr>
          <w:sz w:val="20"/>
          <w:szCs w:val="20"/>
          <w:color w:val="auto"/>
        </w:rPr>
      </w:pPr>
      <w:r>
        <w:rPr>
          <w:rFonts w:ascii="MS PGothic" w:cs="MS PGothic" w:eastAsia="MS PGothic" w:hAnsi="MS PGothic"/>
          <w:sz w:val="16"/>
          <w:szCs w:val="16"/>
          <w:color w:val="auto"/>
        </w:rPr>
        <w:t>☐</w:t>
      </w:r>
    </w:p>
    <w:p>
      <w:pPr>
        <w:spacing w:after="0" w:line="2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184" w:lineRule="exact"/>
        <w:rPr>
          <w:sz w:val="20"/>
          <w:szCs w:val="20"/>
          <w:color w:val="auto"/>
        </w:rPr>
      </w:pPr>
    </w:p>
    <w:p>
      <w:pPr>
        <w:ind w:left="103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28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June 30, 2025, the aggregate market value of the registrant’s Class A Common Stock held by non-affiliates of the registrant was approximately $85,000,000, based on the $9.85 closing sale price of the Class A Common Stock as reported on The Nasdaq Global Select Market.</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of March 12, 2026, there were outstanding 22,432,763 shares of Class A Common Stock, $2.00 par value per share, and 3,587,237 shares of Class C Common Stock, $2.00 par value per share.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Portions of the following document are incorporated by reference in Part III of this Report: the registrant’s definitive proxy statement relating to its 2026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60" w:type="dxa"/>
            <w:vAlign w:val="bottom"/>
            <w:gridSpan w:val="16"/>
          </w:tcPr>
          <w:p>
            <w:pPr>
              <w:jc w:val="center"/>
              <w:ind w:right="3100"/>
              <w:spacing w:after="0"/>
              <w:rPr>
                <w:sz w:val="20"/>
                <w:szCs w:val="20"/>
                <w:color w:val="auto"/>
              </w:rPr>
            </w:pPr>
            <w:r>
              <w:rPr>
                <w:rFonts w:ascii="Times New Roman" w:cs="Times New Roman" w:eastAsia="Times New Roman" w:hAnsi="Times New Roman"/>
                <w:sz w:val="18"/>
                <w:szCs w:val="18"/>
                <w:b w:val="1"/>
                <w:bCs w:val="1"/>
                <w:color w:val="auto"/>
              </w:rPr>
              <w:t>Security National Financial Corporation</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20" w:type="dxa"/>
            <w:vAlign w:val="bottom"/>
            <w:gridSpan w:val="14"/>
          </w:tcPr>
          <w:p>
            <w:pPr>
              <w:jc w:val="center"/>
              <w:ind w:right="4320"/>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60" w:type="dxa"/>
            <w:vAlign w:val="bottom"/>
            <w:gridSpan w:val="16"/>
          </w:tcPr>
          <w:p>
            <w:pPr>
              <w:jc w:val="center"/>
              <w:ind w:right="3080"/>
              <w:spacing w:after="0"/>
              <w:rPr>
                <w:sz w:val="20"/>
                <w:szCs w:val="20"/>
                <w:color w:val="auto"/>
              </w:rPr>
            </w:pPr>
            <w:r>
              <w:rPr>
                <w:rFonts w:ascii="Times New Roman" w:cs="Times New Roman" w:eastAsia="Times New Roman" w:hAnsi="Times New Roman"/>
                <w:sz w:val="18"/>
                <w:szCs w:val="18"/>
                <w:b w:val="1"/>
                <w:bCs w:val="1"/>
                <w:color w:val="auto"/>
                <w:w w:val="99"/>
              </w:rPr>
              <w:t>For the Fiscal Year Ended December 31, 2025</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20" w:type="dxa"/>
            <w:vAlign w:val="bottom"/>
            <w:gridSpan w:val="15"/>
          </w:tcPr>
          <w:p>
            <w:pPr>
              <w:jc w:val="center"/>
              <w:ind w:right="35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89"/>
        </w:trPr>
        <w:tc>
          <w:tcPr>
            <w:tcW w:w="7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5100" w:type="dxa"/>
            <w:vAlign w:val="bottom"/>
            <w:tcBorders>
              <w:top w:val="single" w:sz="8" w:color="CCEEFF"/>
            </w:tcBorders>
            <w:gridSpan w:val="11"/>
            <w:shd w:val="clear" w:color="auto" w:fill="CCEEFF"/>
          </w:tcPr>
          <w:p>
            <w:pPr>
              <w:jc w:val="center"/>
              <w:ind w:right="4660"/>
              <w:spacing w:after="0" w:line="156" w:lineRule="exact"/>
              <w:rPr>
                <w:sz w:val="20"/>
                <w:szCs w:val="20"/>
                <w:color w:val="auto"/>
              </w:rPr>
            </w:pPr>
            <w:r>
              <w:rPr>
                <w:rFonts w:ascii="Times New Roman" w:cs="Times New Roman" w:eastAsia="Times New Roman" w:hAnsi="Times New Roman"/>
                <w:sz w:val="18"/>
                <w:szCs w:val="18"/>
                <w:color w:val="0000EE"/>
              </w:rPr>
              <w:t>Part I</w:t>
            </w:r>
          </w:p>
        </w:tc>
        <w:tc>
          <w:tcPr>
            <w:tcW w:w="64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76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Business</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76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Unresolved Staff Comments</w:t>
            </w:r>
          </w:p>
        </w:tc>
        <w:tc>
          <w:tcPr>
            <w:tcW w:w="7700" w:type="dxa"/>
            <w:vAlign w:val="bottom"/>
            <w:tcBorders>
              <w:bottom w:val="single" w:sz="8" w:color="CCEEFF"/>
            </w:tcBorders>
            <w:gridSpan w:val="1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1C.</w:t>
            </w:r>
          </w:p>
        </w:tc>
        <w:tc>
          <w:tcPr>
            <w:tcW w:w="976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Cybersecurity</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Properties</w:t>
            </w:r>
          </w:p>
        </w:tc>
        <w:tc>
          <w:tcPr>
            <w:tcW w:w="9020" w:type="dxa"/>
            <w:vAlign w:val="bottom"/>
            <w:tcBorders>
              <w:bottom w:val="single" w:sz="8" w:color="CCEEFF"/>
            </w:tcBorders>
            <w:gridSpan w:val="27"/>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76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76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100" w:type="dxa"/>
            <w:vAlign w:val="bottom"/>
            <w:gridSpan w:val="11"/>
            <w:shd w:val="clear" w:color="auto" w:fill="CCEEFF"/>
          </w:tcPr>
          <w:p>
            <w:pPr>
              <w:jc w:val="center"/>
              <w:ind w:right="4660"/>
              <w:spacing w:after="0" w:line="176" w:lineRule="exact"/>
              <w:rPr>
                <w:sz w:val="20"/>
                <w:szCs w:val="20"/>
                <w:color w:val="auto"/>
              </w:rPr>
            </w:pPr>
            <w:r>
              <w:rPr>
                <w:rFonts w:ascii="Times New Roman" w:cs="Times New Roman" w:eastAsia="Times New Roman" w:hAnsi="Times New Roman"/>
                <w:sz w:val="18"/>
                <w:szCs w:val="18"/>
                <w:color w:val="0000EE"/>
                <w:w w:val="96"/>
              </w:rPr>
              <w:t>Part II</w:t>
            </w:r>
          </w:p>
        </w:tc>
        <w:tc>
          <w:tcPr>
            <w:tcW w:w="6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8080" w:type="dxa"/>
            <w:vAlign w:val="bottom"/>
            <w:tcBorders>
              <w:bottom w:val="single" w:sz="8" w:color="0000EE"/>
            </w:tcBorders>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Market for Registrant’s Common Equity, Related Stockholder Matters and Issuer Purchases of Equity Securities</w:t>
            </w:r>
          </w:p>
        </w:tc>
        <w:tc>
          <w:tcPr>
            <w:tcW w:w="16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76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[Reserved]</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7.</w:t>
            </w:r>
          </w:p>
        </w:tc>
        <w:tc>
          <w:tcPr>
            <w:tcW w:w="976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4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7A.</w:t>
            </w:r>
          </w:p>
        </w:tc>
        <w:tc>
          <w:tcPr>
            <w:tcW w:w="6460" w:type="dxa"/>
            <w:vAlign w:val="bottom"/>
            <w:tcBorders>
              <w:top w:val="single" w:sz="8" w:color="0000EE"/>
            </w:tcBorders>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3300" w:type="dxa"/>
            <w:vAlign w:val="bottom"/>
            <w:tcBorders>
              <w:top w:val="single" w:sz="8" w:color="CCEEFF"/>
            </w:tcBorders>
            <w:gridSpan w:val="4"/>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Financial Statements and Supplementary Data</w:t>
            </w:r>
          </w:p>
        </w:tc>
        <w:tc>
          <w:tcPr>
            <w:tcW w:w="6420" w:type="dxa"/>
            <w:vAlign w:val="bottom"/>
            <w:tcBorders>
              <w:bottom w:val="single" w:sz="8" w:color="CCEEFF"/>
            </w:tcBorders>
            <w:gridSpan w:val="1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9.</w:t>
            </w:r>
          </w:p>
        </w:tc>
        <w:tc>
          <w:tcPr>
            <w:tcW w:w="976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7980" w:type="dxa"/>
            <w:vAlign w:val="bottom"/>
            <w:tcBorders>
              <w:bottom w:val="single" w:sz="8" w:color="CCEEFF"/>
            </w:tcBorders>
            <w:gridSpan w:val="2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9B.</w:t>
            </w:r>
          </w:p>
        </w:tc>
        <w:tc>
          <w:tcPr>
            <w:tcW w:w="976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9C.</w:t>
            </w:r>
          </w:p>
        </w:tc>
        <w:tc>
          <w:tcPr>
            <w:tcW w:w="976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140" w:type="dxa"/>
            <w:vAlign w:val="bottom"/>
            <w:gridSpan w:val="12"/>
            <w:shd w:val="clear" w:color="auto" w:fill="CCEEFF"/>
          </w:tcPr>
          <w:p>
            <w:pPr>
              <w:jc w:val="center"/>
              <w:ind w:right="4620"/>
              <w:spacing w:after="0" w:line="176" w:lineRule="exact"/>
              <w:rPr>
                <w:sz w:val="20"/>
                <w:szCs w:val="20"/>
                <w:color w:val="auto"/>
              </w:rPr>
            </w:pPr>
            <w:r>
              <w:rPr>
                <w:rFonts w:ascii="Times New Roman" w:cs="Times New Roman" w:eastAsia="Times New Roman" w:hAnsi="Times New Roman"/>
                <w:sz w:val="18"/>
                <w:szCs w:val="18"/>
                <w:color w:val="0000EE"/>
              </w:rPr>
              <w:t>Part III</w:t>
            </w:r>
          </w:p>
        </w:tc>
        <w:tc>
          <w:tcPr>
            <w:tcW w:w="6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10.</w:t>
            </w:r>
          </w:p>
        </w:tc>
        <w:tc>
          <w:tcPr>
            <w:tcW w:w="976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4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11.</w:t>
            </w:r>
          </w:p>
        </w:tc>
        <w:tc>
          <w:tcPr>
            <w:tcW w:w="4140" w:type="dxa"/>
            <w:vAlign w:val="bottom"/>
            <w:tcBorders>
              <w:top w:val="single" w:sz="8" w:color="0000EE"/>
            </w:tcBorders>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5620" w:type="dxa"/>
            <w:vAlign w:val="bottom"/>
            <w:tcBorders>
              <w:top w:val="single" w:sz="8" w:color="CCEEFF"/>
            </w:tcBorders>
            <w:gridSpan w:val="14"/>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EE"/>
            </w:tcBorders>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 and Related Stockholder Matters</w:t>
            </w:r>
          </w:p>
        </w:tc>
        <w:tc>
          <w:tcPr>
            <w:tcW w:w="2460" w:type="dxa"/>
            <w:vAlign w:val="bottom"/>
            <w:tcBorders>
              <w:bottom w:val="single" w:sz="8" w:color="CCEEFF"/>
            </w:tcBorders>
            <w:gridSpan w:val="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13.</w:t>
            </w:r>
          </w:p>
        </w:tc>
        <w:tc>
          <w:tcPr>
            <w:tcW w:w="976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14.</w:t>
            </w:r>
          </w:p>
        </w:tc>
        <w:tc>
          <w:tcPr>
            <w:tcW w:w="976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Principal Accounting Fees and Services</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0" w:type="dxa"/>
            <w:vAlign w:val="bottom"/>
            <w:gridSpan w:val="13"/>
            <w:shd w:val="clear" w:color="auto" w:fill="CCEEFF"/>
          </w:tcPr>
          <w:p>
            <w:pPr>
              <w:jc w:val="center"/>
              <w:ind w:right="4360"/>
              <w:spacing w:after="0" w:line="176" w:lineRule="exact"/>
              <w:rPr>
                <w:sz w:val="20"/>
                <w:szCs w:val="20"/>
                <w:color w:val="auto"/>
              </w:rPr>
            </w:pPr>
            <w:r>
              <w:rPr>
                <w:rFonts w:ascii="Times New Roman" w:cs="Times New Roman" w:eastAsia="Times New Roman" w:hAnsi="Times New Roman"/>
                <w:sz w:val="18"/>
                <w:szCs w:val="18"/>
                <w:color w:val="0000EE"/>
                <w:w w:val="98"/>
              </w:rPr>
              <w:t>Part IV</w:t>
            </w:r>
          </w:p>
        </w:tc>
        <w:tc>
          <w:tcPr>
            <w:tcW w:w="6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15.</w:t>
            </w:r>
          </w:p>
        </w:tc>
        <w:tc>
          <w:tcPr>
            <w:tcW w:w="976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 Financial Statement Schedules</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4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16.</w:t>
            </w:r>
          </w:p>
        </w:tc>
        <w:tc>
          <w:tcPr>
            <w:tcW w:w="2900" w:type="dxa"/>
            <w:vAlign w:val="bottom"/>
            <w:tcBorders>
              <w:top w:val="single" w:sz="8" w:color="0000EE"/>
            </w:tcBorders>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Form 10-K Summary</w:t>
            </w:r>
          </w:p>
        </w:tc>
        <w:tc>
          <w:tcPr>
            <w:tcW w:w="6860" w:type="dxa"/>
            <w:vAlign w:val="bottom"/>
            <w:tcBorders>
              <w:top w:val="single" w:sz="8" w:color="CCEEFF"/>
            </w:tcBorders>
            <w:gridSpan w:val="16"/>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135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7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4900" w:type="dxa"/>
            <w:vAlign w:val="bottom"/>
            <w:tcBorders>
              <w:top w:val="single" w:sz="8" w:color="CCEEFF"/>
              <w:bottom w:val="single" w:sz="8" w:color="auto"/>
            </w:tcBorders>
            <w:gridSpan w:val="20"/>
          </w:tcPr>
          <w:p>
            <w:pPr>
              <w:jc w:val="center"/>
              <w:ind w:left="4570"/>
              <w:spacing w:after="0"/>
              <w:rPr>
                <w:sz w:val="20"/>
                <w:szCs w:val="20"/>
                <w:color w:val="auto"/>
              </w:rPr>
            </w:pPr>
            <w:r>
              <w:rPr>
                <w:rFonts w:ascii="Times New Roman" w:cs="Times New Roman" w:eastAsia="Times New Roman" w:hAnsi="Times New Roman"/>
                <w:sz w:val="18"/>
                <w:szCs w:val="18"/>
                <w:color w:val="auto"/>
                <w:w w:val="88"/>
              </w:rPr>
              <w:t>2</w:t>
            </w:r>
          </w:p>
        </w:tc>
        <w:tc>
          <w:tcPr>
            <w:tcW w:w="1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10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82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CCEEFF"/>
              <w:bottom w:val="single" w:sz="8" w:color="auto"/>
            </w:tcBorders>
          </w:tcPr>
          <w:p>
            <w:pPr>
              <w:spacing w:after="0"/>
              <w:rPr>
                <w:sz w:val="24"/>
                <w:szCs w:val="24"/>
                <w:color w:val="auto"/>
              </w:rPr>
            </w:pPr>
          </w:p>
        </w:tc>
        <w:tc>
          <w:tcPr>
            <w:tcW w:w="168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Security National Financial Corporation (the “Company”) operates in three reportable business segments: life insurance, cemetery and mortuary, and mortgages. The life insurance segment is engaged in the business of selling and servicing selected lines of life insurance, annuity products, and accident and health insurance. These products are marketed in 42 states through a commissioned sales force of independent licensed insurance agents who may also sell insurance products of other companies. The cemetery and mortuary segment consists of eleven mortuaries and five cemeteries in the state of Utah, one cemetery in the state of California, and one cemetery and four mortuaries in the state of New Mexico. The Company also engages in pre-need selling of funeral, cemetery, mortuary, and cremation services through its cemetery and mortuary locations. The mortgage segment originates and underwrites or otherwise purchases residential and commercial loans for new construction, existing homes, and other real estate projects. The mortgage segment operates through 85 retail offices in 25 states and is an approved mortgage lender in several other states.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design and structure are that each business segment is related to the other business segments and contributes to the profitability of the other segments. The Company’s cemetery and mortuary segment provides a level of public awareness that assists in the sales and marketing of insurance and pre-need cemetery and funeral products. The Company’s insurance segment invests its assets (including, in part, pre-need funeral products and services) in investments authorized by the respective insurance departments of their states of domicile. The Company also pursues growth through acquisitions. The Company’s mortgage segment provides mortgage loans and other real estate investment opportunities.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was organized as a holding company in 1979 when Security National Life Insurance Company (“Security National Life”) became a wholly owned subsidiary of the Company, and the former stockholders of Security National Life became stockholders of the Company. Security National Life was formed in 1965 and has acquired or purchased significant blocks of business which include Capital Investors Life Insurance Company (1994), Civil Service Employees Life Insurance Company (1995), Southern Security Life Insurance Company (1998), Menlo Life Insurance Company (1999), Acadian Life Insurance Company (2002), Paramount Security Life Insurance Company (2004), Memorial Insurance Company of America (2005 and subsequently sold in 2021 to FOXO Life Insurance Company), Capital Reserve Life Insurance Company (2007), Southern Security Life Insurance Company, Inc. (2008), North America Life Insurance Company (2011, 2015), Trans-Western Life Insurance Company (2012), Mothe Life Insurance Company (2012), DLE Life Insurance Company (2012), American Republic Insurance Company (2015), First Guaranty Insurance Company (2016), Kilpatrick Life Insurance Company (2019), and merger with FOXO Life Insurance Company (2023).</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cemetery and mortuary operations have also grown through the acquisition of other cemetery and mortuary companies. The cemetery and mortuary companies that the Company has acquired are Holladay Memorial Park, Inc. (1991), Cottonwood Mortuary, Inc. (1991), Deseret Memorial, Inc. (1991), Probst Family Funerals and Cremations L.L.C. (2019), Heber Valley Funeral Home, Inc. (2019), Rivera Funerals, Cremations and Memorial Gardens (2021), and Holbrook Mortuary (2021).</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1993, the Company formed SecurityNational Mortgage Company (“SecurityNational Mortgage”) to originate and refinance residential mortgage loans.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20 of the Notes to Consolidated Financial Statements for additional information regarding the business segments of the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Life Insurance</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Products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through Security National Life, First Guaranty Insurance Company (“First Guaranty”), and Kilpatrick Life Insurance Company (“Kilpatrick”), issues and administers selected lines of life insurance and annuities. The Company’s life insurance business includes funeral plans and interest-sensitive life insurance, as well as other traditional life, limited-payment life, accident, and limited health insurance products. The Company places specific marketing emphasis on funeral plans through pre-need planning. The Company’s insurance subsidiaries, Kilpatrick, Southern Security Life Insurance Company, Inc. (“Southern Security”) and Trans-Western Life Insurance Company (“Trans-Western”), do not actively write policies, but service and maintain policies that were issued prior to their acquisition by Security National Life.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funeral plan is a small face value life insurance policy that generally has face coverage of up to $30,000. The Company believes that funeral plans represent a marketing niche that has less competition because most insurance companies do not offer similar coverage. The purpose of the funeral plan policy is to pay the costs and expenses incurred at the time of a person’s death. On a per thousand-dollar cost of insurance basis, these policies can be more expensive to the policyholder than many types of non-burial insurance due to their low face amount, requiring the fixed cost of the policy administration to be distributed over a smaller policy size, and the simplified underwriting practices that result in higher mortality costs.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Markets and Distribution</w:t>
      </w:r>
    </w:p>
    <w:p>
      <w:pPr>
        <w:spacing w:after="0" w:line="227"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The Company is licensed to sell insurance in 42 states. In marketing its life insurance products, the Company seeks to locate, develop and service specific niche markets. The Company’s funeral plan policies are sold primarily to people who range in age from 45 to 85 and have low to moderate income. Most of the Company’s funeral plan premiums come from the states of Arkansas, California, Florida, Georgia, Louisiana, Mississippi, Tennessee, Texas, and Utah.</w:t>
      </w:r>
    </w:p>
    <w:p>
      <w:pPr>
        <w:spacing w:after="0" w:line="15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sells its life insurance products through direct agents, brokers, and independent licensed agents who may also sell insurance products of other companies. The commissions on life insurance products range from approximately 50% to 150% of first year premiums. In those cases where the Company utilizes its direct agents in selling such policies, those agents customarily receive advances against future commissions.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some instances, funeral plan insurance is marketed in conjunction with the Company’s cemetery and mortuary sales force. When it is marketed by that group, the beneficiary is usually the Company’s cemeteries and mortuaries. Thus, death benefits that become payable under the policy are paid to the Company’s cemetery and mortuary subsidiaries to the extent of services performed and products purchased.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marketing funeral plan insurance, the Company also seeks and obtains third-party endorsements from other cemeteries and mortuaries within its marketing areas. Typically, these cemeteries and mortuaries will provide letters of endorsement and may share in mailing and other lead-generating costs since these businesses are usually made the beneficiary of the policy. The following table summarizes the life insurance business for the five years ended December 31, 2025:</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c>
          <w:tcPr>
            <w:tcW w:w="4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Borders>
              <w:bottom w:val="single" w:sz="8" w:color="CCEEFF"/>
            </w:tcBorders>
          </w:tcPr>
          <w:p>
            <w:pPr>
              <w:spacing w:after="0"/>
              <w:rPr>
                <w:sz w:val="20"/>
                <w:szCs w:val="20"/>
                <w:color w:val="auto"/>
              </w:rPr>
            </w:pPr>
          </w:p>
        </w:tc>
      </w:tr>
      <w:tr>
        <w:trPr>
          <w:trHeight w:val="210"/>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Life Insurance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Policy/Certificate Count as of December 31</w:t>
            </w:r>
          </w:p>
        </w:tc>
        <w:tc>
          <w:tcPr>
            <w:tcW w:w="24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629,476</w:t>
            </w:r>
          </w:p>
        </w:tc>
        <w:tc>
          <w:tcPr>
            <w:tcW w:w="2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635,791</w:t>
            </w:r>
          </w:p>
        </w:tc>
        <w:tc>
          <w:tcPr>
            <w:tcW w:w="24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640,970</w:t>
            </w:r>
          </w:p>
        </w:tc>
        <w:tc>
          <w:tcPr>
            <w:tcW w:w="22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646,296</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653,450</w:t>
            </w: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Insurance in force as of December 31 (in thousands)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shd w:val="clear" w:color="auto" w:fill="CCEEFF"/>
              </w:rPr>
              <w:t>3,933,254</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shd w:val="clear" w:color="auto" w:fill="CCEEFF"/>
              </w:rPr>
              <w:t>3,947,671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shd w:val="clear" w:color="auto" w:fill="CCEEFF"/>
              </w:rPr>
              <w:t>3,552,554</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shd w:val="clear" w:color="auto" w:fill="CCEEFF"/>
              </w:rPr>
              <w:t>3,446,836(1)</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3,415,368(1)</w:t>
            </w:r>
          </w:p>
        </w:tc>
      </w:t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Premiums Collected (in thousands)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118,519</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118,151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113,584</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103,304</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99,006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86" w:lineRule="exact"/>
        <w:rPr>
          <w:sz w:val="20"/>
          <w:szCs w:val="20"/>
          <w:color w:val="auto"/>
        </w:rPr>
      </w:pPr>
    </w:p>
    <w:p>
      <w:pPr>
        <w:ind w:left="5580" w:right="2560" w:hanging="5572"/>
        <w:spacing w:after="0" w:line="532" w:lineRule="auto"/>
        <w:tabs>
          <w:tab w:leader="none" w:pos="2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years have been adjusted to include accidental death benefit insurance in force that was inadvertently excluded.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ind w:left="340"/>
        <w:spacing w:after="0"/>
        <w:rPr>
          <w:sz w:val="20"/>
          <w:szCs w:val="20"/>
          <w:color w:val="auto"/>
        </w:rPr>
      </w:pPr>
      <w:r>
        <w:rPr>
          <w:rFonts w:ascii="Times New Roman" w:cs="Times New Roman" w:eastAsia="Times New Roman" w:hAnsi="Times New Roman"/>
          <w:sz w:val="18"/>
          <w:szCs w:val="18"/>
          <w:i w:val="1"/>
          <w:iCs w:val="1"/>
          <w:color w:val="auto"/>
        </w:rPr>
        <w:t>Underwriting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factors considered in evaluating an application for ordinary life insurance coverage can include the applicant’s age, occupation, general health condition, and medical history. Upon receipt of a satisfactory (non-funeral plan insurance) application, which contains pertinent medical questions, the Company issues insurance based upon its medical limits and requirements subject to the following general non-medical limits:</w:t>
      </w:r>
    </w:p>
    <w:p>
      <w:pPr>
        <w:spacing w:after="0" w:line="176"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34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Age Nearest</w:t>
            </w: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Non-Medical</w:t>
            </w:r>
          </w:p>
        </w:tc>
      </w:tr>
      <w:tr>
        <w:trPr>
          <w:trHeight w:val="241"/>
        </w:trPr>
        <w:tc>
          <w:tcPr>
            <w:tcW w:w="34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Birthday</w:t>
            </w: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Limits</w:t>
            </w:r>
          </w:p>
        </w:tc>
      </w:tr>
      <w:tr>
        <w:trPr>
          <w:trHeight w:val="198"/>
        </w:trPr>
        <w:tc>
          <w:tcPr>
            <w:tcW w:w="33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0-50</w:t>
            </w:r>
          </w:p>
        </w:tc>
        <w:tc>
          <w:tcPr>
            <w:tcW w:w="140" w:type="dxa"/>
            <w:vAlign w:val="bottom"/>
          </w:tcPr>
          <w:p>
            <w:pPr>
              <w:spacing w:after="0"/>
              <w:rPr>
                <w:sz w:val="17"/>
                <w:szCs w:val="17"/>
                <w:color w:val="auto"/>
              </w:rPr>
            </w:pPr>
          </w:p>
        </w:tc>
        <w:tc>
          <w:tcPr>
            <w:tcW w:w="33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$100,000</w:t>
            </w:r>
          </w:p>
        </w:tc>
      </w:tr>
      <w:tr>
        <w:trPr>
          <w:trHeight w:val="216"/>
        </w:trPr>
        <w:tc>
          <w:tcPr>
            <w:tcW w:w="34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51-up</w:t>
            </w: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Medical information</w:t>
            </w:r>
          </w:p>
        </w:tc>
      </w:tr>
      <w:tr>
        <w:trPr>
          <w:trHeight w:val="234"/>
        </w:trPr>
        <w:tc>
          <w:tcPr>
            <w:tcW w:w="3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required (APS or exam)</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underwriting life insurance, the Company will sometimes issue policies with higher premium rates for substandard risks.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funeral plan insurance is written on a simplified medical application with underwriting requirements being a completed application, a phone interview of the applicant, and an intelliscript prescription history inquiry. There are several underwriting classes in which an applicant can be placed.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Annuities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Products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annuity business includes single premium deferred annuities, flexible premium deferred annuities, and immediate annuities. A single premium deferred annuity is a contract where the individual remits a sum of money to the Company, which is retained on deposit until such time as the individual may wish to annuitize or surrender the contract for cash. A flexible premium deferred annuity gives the contract holder the right to make premium payments of varying amounts or to make no further premium payments after his initial payment. These single and flexible premium deferred annuities can have initial surrender charges. The surrender charges act as a deterrent to individuals who may wish to prematurely surrender their annuity contracts. An immediate annuity is a contract in which the individual remits a sum of money to the Company in return for the Company’s obligation to pay a series of payments on a periodic basis over a designated period, such as an individual’s life, or for such other period as may be designated.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Annuities have guaranteed interest rates that range from 1% to 6.5% per annum. Rates above the guaranteed interest rate credited are periodically modified by the Company’s Board of Directors at its discretion. For the Company to make a profit on an annuity product, the Company must maintain an interest rate spread between its investment income and the interest rates credited to the annuities. Commissions, issuance expenses, and general and administrative expenses are deducted from this interest rate spread.</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Markets and Distribution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general market for the Company’s annuities is middle to older age individuals. A major source of annuity sales comes from direct agents and are sold in conjunction with other insurance sales. If an individual does not qualify for a funeral plan, the agent will often sell that individual an annuity to fund final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annuity business for the five years ended December 31, 2025:</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Borders>
              <w:bottom w:val="single" w:sz="8" w:color="CCEEFF"/>
            </w:tcBorders>
          </w:tcPr>
          <w:p>
            <w:pPr>
              <w:spacing w:after="0"/>
              <w:rPr>
                <w:sz w:val="20"/>
                <w:szCs w:val="20"/>
                <w:color w:val="auto"/>
              </w:rPr>
            </w:pPr>
          </w:p>
        </w:tc>
        <w:tc>
          <w:tcPr>
            <w:tcW w:w="1140" w:type="dxa"/>
            <w:vAlign w:val="bottom"/>
          </w:tcPr>
          <w:p>
            <w:pPr>
              <w:spacing w:after="0"/>
              <w:rPr>
                <w:sz w:val="20"/>
                <w:szCs w:val="20"/>
                <w:color w:val="auto"/>
              </w:rPr>
            </w:pPr>
          </w:p>
        </w:tc>
      </w:tr>
      <w:tr>
        <w:trPr>
          <w:trHeight w:val="178"/>
        </w:trPr>
        <w:tc>
          <w:tcPr>
            <w:tcW w:w="332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Annuities Policy/Certificate Count as of</w:t>
            </w:r>
          </w:p>
        </w:tc>
        <w:tc>
          <w:tcPr>
            <w:tcW w:w="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tcPr>
          <w:p>
            <w:pPr>
              <w:spacing w:after="0"/>
              <w:rPr>
                <w:sz w:val="15"/>
                <w:szCs w:val="15"/>
                <w:color w:val="auto"/>
              </w:rPr>
            </w:pPr>
          </w:p>
        </w:tc>
      </w:tr>
      <w:tr>
        <w:trPr>
          <w:trHeight w:val="234"/>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w:t>
            </w:r>
          </w:p>
        </w:tc>
        <w:tc>
          <w:tcPr>
            <w:tcW w:w="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23,864</w:t>
            </w:r>
          </w:p>
        </w:tc>
        <w:tc>
          <w:tcPr>
            <w:tcW w:w="2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24,296</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24,924</w:t>
            </w: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24,225</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24,901</w:t>
            </w:r>
          </w:p>
        </w:tc>
        <w:tc>
          <w:tcPr>
            <w:tcW w:w="1140" w:type="dxa"/>
            <w:vAlign w:val="bottom"/>
          </w:tcPr>
          <w:p>
            <w:pPr>
              <w:spacing w:after="0"/>
              <w:rPr>
                <w:sz w:val="20"/>
                <w:szCs w:val="20"/>
                <w:color w:val="auto"/>
              </w:rPr>
            </w:pPr>
          </w:p>
        </w:tc>
      </w:t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Deposits Collected (in thousands)</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10,564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11,740</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10,946</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9,972</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9,719</w:t>
            </w:r>
          </w:p>
        </w:tc>
        <w:tc>
          <w:tcPr>
            <w:tcW w:w="1140" w:type="dxa"/>
            <w:vAlign w:val="bottom"/>
          </w:tcPr>
          <w:p>
            <w:pPr>
              <w:spacing w:after="0"/>
              <w:rPr>
                <w:sz w:val="20"/>
                <w:szCs w:val="20"/>
                <w:color w:val="auto"/>
              </w:rPr>
            </w:pPr>
          </w:p>
        </w:tc>
      </w:tr>
      <w:tr>
        <w:trPr>
          <w:trHeight w:val="414"/>
        </w:trPr>
        <w:tc>
          <w:tcPr>
            <w:tcW w:w="33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Accident and Health</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Products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its various acquisitions, the Company occasionally acquires small blocks of accident and health insurance policies, which it continues to service. The Company offered a low-cost comprehensive diver’s accident insurance policy that provided worldwide coverage for medical expense reimbursement in the event of a diving accident. This product was discontinued in March 2024.</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Markets and Distribution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marketed its diver’s accident insurance policies through the internet.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accident and health insurance business for the five years ended December 31, 2025:</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Borders>
              <w:bottom w:val="single" w:sz="8" w:color="CCEEFF"/>
            </w:tcBorders>
          </w:tcPr>
          <w:p>
            <w:pPr>
              <w:spacing w:after="0"/>
              <w:rPr>
                <w:sz w:val="20"/>
                <w:szCs w:val="20"/>
                <w:color w:val="auto"/>
              </w:rPr>
            </w:pPr>
          </w:p>
        </w:tc>
      </w:tr>
      <w:tr>
        <w:trPr>
          <w:trHeight w:val="178"/>
        </w:trPr>
        <w:tc>
          <w:tcPr>
            <w:tcW w:w="362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Accident and Health Policy/Certificate Count as</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34"/>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December 31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6,886</w:t>
            </w:r>
          </w:p>
        </w:tc>
        <w:tc>
          <w:tcPr>
            <w:tcW w:w="2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7,592</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9,379</w:t>
            </w: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11,132</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12,494</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Premiums Collected (in thousands)</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171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188</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216</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543</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353</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Reinsurance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primary purpose of reinsurance is to enable an insurance company to issue an insurance policy in an amount larger than the risk the insurance company is willing to assume for itself. The insurance company remains obligated for the amounts reinsured (ceded) in the event the reinsurers do not meet their obligations.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currently cedes and assumes certain risks with various authorized unaffiliated reinsurers pursuant to reinsurance treaties, which are generally renewed annually. The premiums paid by the Company are based on several factors, primarily including the age of the insured and the risk ceded to the reinsurer.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the Company’s policy to retain no more than $100,000 of ordinary insurance per life insured, with the excess risk being reinsured. The total policy amount of life insurance reinsured by other companies as of December 31, 2025 and 2024, was $316,251,000 and $325,189,000, which represented approximately 8.0% and 8.2% of the Company’s total life insurance policy amount in force on that date, respectively.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“Management’s Discussion and Analysis of Results of Operations and Financial Condition” and “Notes to Consolidated Financial Statements” for additional disclosure and discussion regarding reinsurance.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investments that support the Company’s life insurance and annuity obligations are determined by the investment committees of the Company’s subsidiaries and ratified by the full boards of directors of the respective subsidiaries. A significant portion of the Company’s investments must meet statutory requirements governing the nature and quality of permitted investments by its insurance subsidiaries. The Company maintains a diversified investment portfolio consisting of common stocks, preferred stocks, municipal bonds, corporate bonds, mortgage loans, real estate, and other securities and investments.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“Management’s Discussion and Analysis of Results of Operations and Financial Condition” and “Notes to Consolidated Financial Statements” for additional disclosure and discussion regarding investments.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Cemetery and Mortuary</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Products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Through its cemetery and mortuary segment, the Company markets a variety of products and services both on a pre-need basis (prior to death) and an at-need basis (at the time of death). The products include plots, interment vaults, mausoleum crypts, markers, caskets, urns, and other death care related products. These services include professional services of funeral directors, opening and closing of graves, use of chapels and viewing rooms, and use of automobiles and clothing. The Company has a mortuary at each of its cemeteries, other than Holladay Memorial Park and Singing Hills Memorial Park, and has ten separate stand-alone mortuary facilities.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Markets and Distribution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pre-need cemetery and mortuary sales are marketed to persons of all ages but are generally purchased by persons 45 years of age and older. The Company is limited in its geographic distribution of these products to areas lying within an approximate 20-mile radius of its mortuaries and cemeteries. The Company’s at-need sales are similarly limited in the geographic area.</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actively seeks to sell its cemetery and funeral products to customers on a pre-need basis. The Company employs cemetery sales representatives on a commission basis to sell these products. Many of these pre-need cemetery and mortuary sales representatives are also licensed insurance salesmen and sell funeral plan insurance. In some instances, the Company’s cemetery and mortuary facilities are the named beneficiaries of the funeral plan policies.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Potential customers are located via telephone sales prospecting, responses to letters mailed by the pre-planning consultants, billboards and other outside advertising, referrals, and door-to-door canvassing. The Company trains its sales representatives and helps generate leads for them.</w:t>
      </w:r>
    </w:p>
    <w:p>
      <w:pPr>
        <w:spacing w:after="0" w:line="158" w:lineRule="exact"/>
        <w:rPr>
          <w:sz w:val="20"/>
          <w:szCs w:val="20"/>
          <w:color w:val="auto"/>
        </w:rPr>
      </w:pPr>
    </w:p>
    <w:p>
      <w:pPr>
        <w:jc w:val="center"/>
        <w:ind w:right="9960"/>
        <w:spacing w:after="0"/>
        <w:rPr>
          <w:sz w:val="20"/>
          <w:szCs w:val="20"/>
          <w:color w:val="auto"/>
        </w:rPr>
      </w:pPr>
      <w:r>
        <w:rPr>
          <w:rFonts w:ascii="Times New Roman" w:cs="Times New Roman" w:eastAsia="Times New Roman" w:hAnsi="Times New Roman"/>
          <w:sz w:val="18"/>
          <w:szCs w:val="18"/>
          <w:b w:val="1"/>
          <w:bCs w:val="1"/>
          <w:color w:val="auto"/>
        </w:rPr>
        <w:t>Mortgage Loans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Products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through SecurityNational Mortgage, is active in the residential real estate market. SecurityNational Mortgage is approved by the U.S. Department of Housing and Urban Development (HUD), the Federal National Mortgage Association (Fannie Mae), and other secondary market investors, to originate a variety of residential mortgage loan products, which are subsequently sold to investors. The Company uses internal and external funding sources to fund mortgage loans.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National Life originates and funds commercial real estate loans, residential construction loans, and land development loans for internal investment.</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Markets and Distribution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residential mortgage lending services are marketed primarily to real estate brokers, builders and directly to consumers. The Company has a strong retail origination presence in the Utah, Florida, Texas, Nevada and Arizona markets and many other states across the country. See “Management’s Discussion and Analysis of Results of Operations and Financial Condition” and “Notes to Consolidated Financial Statements” for additional disclosure and discussion regarding mortgage loans.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Acquisitions and Other Business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 Estate Development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capitalizing on the opportunity to develop commercial and residential assets on its existing and recently acquired properties. The cost to acquire existing for-sale assets currently exceeds the replacement costs, thus creating the opportunity for development and redevelopment of the land that the Company currently owns. The Company has developed, or is in the process of developing, assets that have an initial development cost exceeding $100,000,000, primarily relating to the Center53 Development and multiple single family residential development projects. The Company plans to continue its development endeavors based upon its assessment of the market demand.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Center53 Development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Center53 Development is an office development project comprising nearly 20 acres of land that is currently owned by the Company in the central valley of Salt Lake City. At final completion, the multi-year phased development is expected to create a campus atmosphere and include nearly one million square-feet of office space in five buildings, ranging from four to eleven stories, and will be serviced by three parking structures with approximately 4,000 stalls. In 2015, the Company broke ground and commenced development on the first phase which included a six-story building of nearly 200,000 square feet and a parking garage with 748 parking stalls. The first phase of the project was completed in July 2017 and is currently 93% leased. The second phase of the project began in March 2020 and includes a second six-story building of nearly 221,000 square feet and a parking garage with approximately 870 stalls. The Company began its occupancy of a portion of the building in October 2021 and the remainder of the building is currently 100% leased. The Company plans to initiate future phases of the Center53 Development for additional Class A office space in the central valley of Salt Lake City.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insurance subsidiaries are subject to comprehensive regulations in the jurisdictions in which they do business under statutes and regulations administered by state insurance commissioners. Such regulation relates to, among other things, prior approval of the acquisition of a controlling interest in an insurance company; standards of solvency which must be met and maintained; licensing of insurers and their agents; nature of and limitations on investments; deposits of securities for the benefit of policyholders; approval of policy forms and premium rates; periodic examinations of the affairs of insurance companies; annual and other reports required to be filed on the financial condition of insurers or for other purposes; and requirements regarding aggregate reserves for life policies and annuity contracts, policy claims, unearned premiums, and other matters. The Company’s insurance subsidiaries are subject to this type of regulation in any state in which they conduct relevant business. Such regulations may cause unforeseen costs and operational restrictions, and delay implementation of the Company’s business plans.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life insurance subsidiaries are currently subject to regulations in Utah, Louisiana, Mississippi and Texas under insurance holding company legislation, and other states where applicable. Generally, intercompany transfers of assets and dividend payments from insurance subsidiaries are subject to prior notice of approval from the relevant state insurance department when they are deemed “extraordinary” under relevant state law. The insurance subsidiaries are required, under state insurance laws, to file detailed annual reports with the supervisory agencies in each of the states in which they do business. Their business and accounts are also subject to examination by these agencies every three to five years. The Company’s life insurance subsidiaries completed their last examinations in 2021 and 2022 for the period ending December 31, 2020 and the resulting final examination reports were approved by the insurance departments and are public records. Security National Life, First Guaranty, Kilpatrick, Southern Security, and Trans-Western are currently under examination by the insurance departments for the years 2021-2024.</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Texas Department of Banking also audits pre-need insurance policies that are issued in the state of Texas. Pre-need policies include the life and annuity products sold as the funding mechanism for funeral plans through funeral homes by Security National agents. The Company is required to send the Texas Department of Banking an annual report that summarizes the number of policies in force and the face amount or death benefit for each policy. This annual report is also required to indicate the number of new policies issued for that year, all death claims paid that year, and all premiums received.</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cemetery and mortuary subsidiaries are subject to the Federal Trade Commission’s comprehensive funeral industry rules and to state regulations in the various states where such operations are domiciled. The morticians must be licensed by the respective state in which they provide their services. Similarly, the mortuaries and cemeteries are governed and licensed by state statutes and city ordinances in Utah, California, and New Mexico. The subsidiaries are required to keep annual reports on file including financial information concerning the number of spaces sold and, where applicable, funds provided to the Endowment Care Trust Fund. Licenses are issued annually based on such reports. The cemeteries maintain city or county licenses where they conduct business.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9" w:name="page10"/>
    <w:bookmarkEnd w:id="9"/>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mortgage subsidiaries are subject to the rules and regulations of the U.S. Department of Housing and Urban Development (HUD), and to various state licensing acts and regulations and the Consumer Financial Protection Bureau (CFPB). These regulations, among other things, specify minimum capital requirements; procedures for loan origination and underwriting, licensing of brokers and loan officers and quality review audits and specify the fees that can be charged to borrowers. Each year, the Company is required to have an audit completed for its mortgage subsidiary by an independent registered public accounting firm to verify compliance with the relevant regulations. In addition to the government regulations, the Company must meet loan requirements, and underwriting guidelines of various investors who purchase the loans.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insurance subsidiaries, Security National Life, First Guaranty and Kilpatrick are taxed under the Life Insurance Company Tax Act of 1984. Under the act, life insurance companies are taxed at standard corporate rates on life insurance company taxable income. Life insurance company taxable income is gross income less general business deductions and reserves for future policyholder benefits (with modifications). Under The Tax Cuts and Jobs Act (the “Tax Act”), December 31, 2017 policyholder surplus account balances result in taxable income over a period of eight years.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Security National Life, First Guaranty and Kilpatrick calculate their life insurance taxable income after establishing a provision representing a portion of the costs of acquisition of such life insurance business. The effect of the provision is that a certain percentage of the Company’s premium income is characterized as deferred expenses and recognized over a five or ten-year period. The Tax Act changed this recognition period for amounts deferred after December 31, 2017 to a five or fifteen-year period.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non-life insurance company subsidiaries are taxed in general under the regular corporate tax provisions. The Company’s subsidiaries Southern Security and Trans-Western are regulated as life insurance companies but do not meet the Internal Revenue Code definition of a life insurance company, so they are taxed as insurance companies other than life insurance companies.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life insurance industry is highly competitive. There are approximately 700 legal reserve life insurance companies in business in the United States. These insurance companies differentiate themselves through marketing techniques, product features, pricing, and customer service. The Company’s insurance subsidiaries compete with many insurance companies, many of which have greater financial resources, longer business histories, and more diversified lines of insurance products than the Company. In addition, such companies generally have larger sales forces. Further, the Company competes with mutual insurance companies which may have a competitive advantage because all profits accrue to policyholders. Because the Company is smaller by industry standards and lacks broad diversification of risk, it may be more vulnerable to losses than larger, better-established companies. The Company believes that its policies and rates for the markets it serves are generally competitive.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cemetery and mortuary industry are highly competitive. In the Utah, California, and New Mexico markets where the Company competes, there are several cemeteries and mortuaries which have longer business histories, more established positions in the community, and stronger financial positions than the Company. In addition, some of the cemeteries with which the Company must compete for sales are owned by municipalities and, as a result, can offer lower prices than can the Company. The Company bears the cost of a pre-need sales program that is not incurred by those competitors which do not have a pre-need sales force. The Company believes that its products and prices are generally competitive with those in the industry.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mortgage industry is highly competitive with many mortgage companies and banks in the same geographic area in which the Company is operating.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mortgage industry in general is sensitive to changes in interest rates and the refinancing market is particularly vulnerable to changes in interest rates.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business is generally not subject to seasonal fluctuations.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employed 1,035 full-time and 208 part-time employees. Of the full-time employees, 652 were employed by the mortgage segment, 386 by the life insurance segment, and 205 by the cemetery and mortuary segment. The Company requires monthly acknowledgement of its anti-discrimination and anti-harassment policies and communicates to its employees how to report concerns that relate to their employment experience.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Benefits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eligible employees may elect coverage under the Company’s group health (including health savings and flexible spending), retirement, supplemental life and voluntary benefit programs. As of December 31, 2025, 677 employees had elected to participate in the Company’s group health insurance plans.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sponsors a 401(k) retirement plan for each business segment. These retirement plans qualify under section 401(k) of the Internal Revenue Code and, if approved by the Company’s Board of Directors, the Company makes a matching contribution in Company stock based on the employee’s contribution amount.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provides other time off benefits such as paid sick time and paid vacation time. The Company provides discounts on certain services provided by the Company to its employees. Additionally, the Company offers an employee assistance program that provides 24/7 counseling services for employees who may be facing challenges outside of the workplace.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internet address is www.securitynational.com. The Company’s investor relations website is www.investor.securitynational.com and the Company promptly makes available on this website, free of charge, the reports that it files or furnishes with the Securities and Exchange Commission.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the Company is not required to provide information typically disclosed under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As a smaller reporting company, the Company is not required to provide information typically disclosed under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maintains a strong information security program and systems (“Cybersecurity System”) to guard against unauthorized access, malicious software, corruption of data, disruption of its networks and systems and unauthorized release of confidential information. The Company’s Cybersecurity System is comprised of multiple layers of controls to reduce the risk of cybersecurity incidents.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Management and Strategy</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Cybersecurity System includes administrative, technical, and physical safeguards and is designed to provide an appropriate level of protection to maintain the confidentiality, integrity and availability of the Company’s and its customers’ information. This includes protecting against known and evolving threats to the security of the Company’s systems and information, and against unauthorized access, compromise, or loss of data. The Cybersecurity System is managed centrally, so the same security controls, policies and procedures are implemented across the organization. The Company maintains cybersecurity policies including an Acceptable Use Policy that all system users sign to acknowledge that they understand their security responsibilities. All system users receive security awareness training which includes phishing attack simulation testing.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 w:name="page12"/>
    <w:bookmarkEnd w:id="11"/>
    <w:p>
      <w:pPr>
        <w:jc w:val="both"/>
        <w:spacing w:after="0" w:line="256" w:lineRule="auto"/>
        <w:rPr>
          <w:sz w:val="20"/>
          <w:szCs w:val="20"/>
          <w:color w:val="auto"/>
        </w:rPr>
      </w:pPr>
      <w:r>
        <w:rPr>
          <w:rFonts w:ascii="Times New Roman" w:cs="Times New Roman" w:eastAsia="Times New Roman" w:hAnsi="Times New Roman"/>
          <w:sz w:val="18"/>
          <w:szCs w:val="18"/>
          <w:color w:val="auto"/>
        </w:rPr>
        <w:t>A key element of the Company’s Cybersecurity System is to mature the program to align with the Center for Internet Security (CIS) Critical Security Controls security framework. CIS controls are designed based on real-world data about cyber-attacks, to ensure that the measures are effective against current threats. The framework provides a prioritized set of actions, which enables the Company to focus its efforts on the most effective defensive measures first. This prioritization helps in optimizing the use of resources for maximum impact on security. This strategy provides a structured and effective approach to cybersecurity, helping the Company to protect its assets, comply with regulations, manage risks, and improve its overall security posture.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maintains cyber insurance coverage that may, subject to policy terms, conditions, and limitations, cover certain aspects of cybersecurity risks; however, such insurance coverage may be unavailable or insufficient to cover all losses or all types of claims that may arise in the continually evolving area of cyber risk.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Governance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established controls and procedures to escalate enterprise-level issues, including cybersecurity matters, to the appropriate management levels within its organization and to its Board of Directors, or members or committees thereof, as appropriate. The Company’s Board of Directors has oversight for enterprise risk management, including its approach to managing cybersecurity risk, and has delegated oversight responsibility of information security risks to its Audit Committee. Matters determined to present potential material impacts to the Company’s financial results, operations, and/or reputation are reported by management to the Company’s Board of Directors or its Audit Committee, as appropriate, in accordance with its escalation framework.</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the Company has established procedures to ensure that management personnel are informed in a timely manner of known cybersecurity risks and incidents that may materially impact the Company’s operations and that timely public disclosure is made as appropriate. The Company’s Cybersecurity System is led by the Chief Information Officer (“CIO”) in collaboration with a third-party virtual Chief Information Security Officer (“vCISO”) and other third-party cybersecurity service providers which in turn assist in monitoring the Company’s exposure from significant information technology suppliers, significant software as service providers and major vendors with access to the Company’s information technology systems. The Company’s CIO has 10+ years of cybersecurity industry experience. Further, team members who support the Company’s cybersecurity program have relevant educational and industry experience through various roles involving information technology, security, auditing, compliance, systems, and programming, as well as cybersecurity certifications such as a Certified Information Systems Security Professional (CISSP) and Certified Information Security Manager (CISM). During the last three years, the Company has not experienced a material security breach and, as a result, the Company has not incurred any material expenses from such a breach. Furthermore, during such time, the Company has not been penalized or paid any amount under any information security breach settlement.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2. Properties</w:t>
            </w: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32"/>
        </w:trPr>
        <w:tc>
          <w:tcPr>
            <w:tcW w:w="96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The tables below set forth the location of the Company’s office facilities and certain other information relating to these properties.</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14"/>
        </w:trPr>
        <w:tc>
          <w:tcPr>
            <w:tcW w:w="4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Approximate</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4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Owned /</w:t>
            </w: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Square</w:t>
            </w:r>
          </w:p>
        </w:tc>
        <w:tc>
          <w:tcPr>
            <w:tcW w:w="120" w:type="dxa"/>
            <w:vAlign w:val="bottom"/>
          </w:tcPr>
          <w:p>
            <w:pPr>
              <w:spacing w:after="0"/>
              <w:rPr>
                <w:sz w:val="18"/>
                <w:szCs w:val="18"/>
                <w:color w:val="auto"/>
              </w:rPr>
            </w:pPr>
          </w:p>
        </w:tc>
        <w:tc>
          <w:tcPr>
            <w:tcW w:w="120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Lease</w:t>
            </w:r>
          </w:p>
        </w:tc>
        <w:tc>
          <w:tcPr>
            <w:tcW w:w="900" w:type="dxa"/>
            <w:vAlign w:val="bottom"/>
          </w:tcPr>
          <w:p>
            <w:pPr>
              <w:spacing w:after="0"/>
              <w:rPr>
                <w:sz w:val="18"/>
                <w:szCs w:val="18"/>
                <w:color w:val="auto"/>
              </w:rPr>
            </w:pPr>
          </w:p>
        </w:tc>
      </w:tr>
      <w:tr>
        <w:trPr>
          <w:trHeight w:val="234"/>
        </w:trPr>
        <w:tc>
          <w:tcPr>
            <w:tcW w:w="400" w:type="dxa"/>
            <w:vAlign w:val="bottom"/>
          </w:tcPr>
          <w:p>
            <w:pPr>
              <w:spacing w:after="0"/>
              <w:rPr>
                <w:sz w:val="20"/>
                <w:szCs w:val="20"/>
                <w:color w:val="auto"/>
              </w:rPr>
            </w:pPr>
          </w:p>
        </w:tc>
        <w:tc>
          <w:tcPr>
            <w:tcW w:w="20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Street</w:t>
            </w:r>
          </w:p>
        </w:tc>
        <w:tc>
          <w:tcPr>
            <w:tcW w:w="17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City</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220" w:type="dxa"/>
            <w:vAlign w:val="bottom"/>
          </w:tcPr>
          <w:p>
            <w:pPr>
              <w:spacing w:after="0"/>
              <w:rPr>
                <w:sz w:val="20"/>
                <w:szCs w:val="20"/>
                <w:color w:val="auto"/>
              </w:rPr>
            </w:pPr>
          </w:p>
        </w:tc>
        <w:tc>
          <w:tcPr>
            <w:tcW w:w="1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Function</w:t>
            </w:r>
          </w:p>
        </w:tc>
        <w:tc>
          <w:tcPr>
            <w:tcW w:w="220" w:type="dxa"/>
            <w:vAlign w:val="bottom"/>
          </w:tcPr>
          <w:p>
            <w:pPr>
              <w:spacing w:after="0"/>
              <w:rPr>
                <w:sz w:val="20"/>
                <w:szCs w:val="20"/>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Leased</w:t>
            </w: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Footage</w:t>
            </w:r>
          </w:p>
        </w:tc>
        <w:tc>
          <w:tcPr>
            <w:tcW w:w="120" w:type="dxa"/>
            <w:vAlign w:val="bottom"/>
          </w:tcPr>
          <w:p>
            <w:pPr>
              <w:spacing w:after="0"/>
              <w:rPr>
                <w:sz w:val="20"/>
                <w:szCs w:val="20"/>
                <w:color w:val="auto"/>
              </w:rPr>
            </w:pPr>
          </w:p>
        </w:tc>
        <w:tc>
          <w:tcPr>
            <w:tcW w:w="12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Amount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Expiration</w:t>
            </w:r>
          </w:p>
        </w:tc>
      </w:tr>
      <w:tr>
        <w:trPr>
          <w:trHeight w:val="191"/>
        </w:trPr>
        <w:tc>
          <w:tcPr>
            <w:tcW w:w="2220" w:type="dxa"/>
            <w:vAlign w:val="bottom"/>
            <w:tcBorders>
              <w:top w:val="single" w:sz="8" w:color="auto"/>
            </w:tcBorders>
            <w:gridSpan w:val="2"/>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433 W. Ascension Way</w:t>
            </w:r>
          </w:p>
        </w:tc>
        <w:tc>
          <w:tcPr>
            <w:tcW w:w="22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Salt Lake City</w:t>
            </w:r>
          </w:p>
        </w:tc>
        <w:tc>
          <w:tcPr>
            <w:tcW w:w="2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UT</w:t>
            </w:r>
          </w:p>
        </w:tc>
        <w:tc>
          <w:tcPr>
            <w:tcW w:w="22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Corporate</w:t>
            </w:r>
          </w:p>
        </w:tc>
        <w:tc>
          <w:tcPr>
            <w:tcW w:w="2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Owned</w:t>
            </w:r>
          </w:p>
        </w:tc>
        <w:tc>
          <w:tcPr>
            <w:tcW w:w="22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221,000</w:t>
            </w:r>
          </w:p>
        </w:tc>
        <w:tc>
          <w:tcPr>
            <w:tcW w:w="3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N/A</w:t>
            </w:r>
          </w:p>
        </w:tc>
        <w:tc>
          <w:tcPr>
            <w:tcW w:w="3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N/A</w:t>
            </w:r>
          </w:p>
        </w:tc>
      </w:tr>
      <w:tr>
        <w:trPr>
          <w:trHeight w:val="216"/>
        </w:trPr>
        <w:tc>
          <w:tcPr>
            <w:tcW w:w="4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Headquarters,</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4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Insurance</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4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Operations,</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4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Cemetery and</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4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8"/>
              </w:rPr>
              <w:t>Mortuary Operations,</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4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Mortgage Operations</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4"/>
        </w:trPr>
        <w:tc>
          <w:tcPr>
            <w:tcW w:w="40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and Sales</w:t>
            </w: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1818</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Marshall Street</w:t>
            </w: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Shreveport</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LA</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Insurance Operations</w:t>
            </w: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Owned</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12,274</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N/A</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198"/>
        </w:trPr>
        <w:tc>
          <w:tcPr>
            <w:tcW w:w="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1080</w:t>
            </w:r>
          </w:p>
        </w:tc>
        <w:tc>
          <w:tcPr>
            <w:tcW w:w="204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River Oaks Drive Suite</w:t>
            </w: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4"/>
        </w:trPr>
        <w:tc>
          <w:tcPr>
            <w:tcW w:w="2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#B204</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Flowood</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MS</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Insurance Sales</w:t>
            </w:r>
          </w:p>
        </w:tc>
        <w:tc>
          <w:tcPr>
            <w:tcW w:w="11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2,685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3,994</w:t>
            </w:r>
          </w:p>
        </w:tc>
        <w:tc>
          <w:tcPr>
            <w:tcW w:w="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8"/>
              </w:rPr>
              <w:t>/ mo</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8/31/2028</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9440</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Viscount Blvd. Suite 230</w:t>
            </w: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 Paso</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TX</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Insurance Sales</w:t>
            </w: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2,270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w:t>
            </w: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8"/>
              </w:rPr>
              <w:t>/ mo</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11/30/2028</w:t>
            </w:r>
          </w:p>
        </w:tc>
      </w:tr>
      <w:tr>
        <w:trPr>
          <w:trHeight w:val="216"/>
        </w:trPr>
        <w:tc>
          <w:tcPr>
            <w:tcW w:w="2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79 E. Main Street</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Midway</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UT</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8"/>
              </w:rPr>
              <w:t>Funeral Service Sales</w:t>
            </w:r>
          </w:p>
        </w:tc>
        <w:tc>
          <w:tcPr>
            <w:tcW w:w="11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4,476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6,774</w:t>
            </w:r>
          </w:p>
        </w:tc>
        <w:tc>
          <w:tcPr>
            <w:tcW w:w="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8"/>
              </w:rPr>
              <w:t>/ mo</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12/31/2030</w:t>
            </w:r>
          </w:p>
        </w:tc>
      </w:tr>
      <w:tr>
        <w:trPr>
          <w:trHeight w:val="198"/>
        </w:trPr>
        <w:tc>
          <w:tcPr>
            <w:tcW w:w="4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8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Fast Funding</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4"/>
        </w:trPr>
        <w:tc>
          <w:tcPr>
            <w:tcW w:w="2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200 Market Way</w:t>
            </w: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Rainbow City</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AL</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Operations</w:t>
            </w: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20,140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10,490</w:t>
            </w: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8"/>
              </w:rPr>
              <w:t>/ mo</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1/31/2030</w:t>
            </w:r>
          </w:p>
        </w:tc>
      </w:tr>
      <w:tr>
        <w:trPr>
          <w:trHeight w:val="198"/>
        </w:trPr>
        <w:tc>
          <w:tcPr>
            <w:tcW w:w="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3612</w:t>
            </w:r>
          </w:p>
        </w:tc>
        <w:tc>
          <w:tcPr>
            <w:tcW w:w="204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W. Southern Hills Blvd.</w:t>
            </w: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4"/>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w:t>
            </w:r>
          </w:p>
        </w:tc>
        <w:tc>
          <w:tcPr>
            <w:tcW w:w="1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Rogers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11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1,560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8"/>
              </w:rPr>
              <w:t>/ mo</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8/31/2028</w:t>
            </w:r>
          </w:p>
        </w:tc>
      </w:tr>
      <w:tr>
        <w:trPr>
          <w:trHeight w:val="198"/>
        </w:trPr>
        <w:tc>
          <w:tcPr>
            <w:tcW w:w="4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00" w:type="dxa"/>
            <w:vAlign w:val="bottom"/>
            <w:gridSpan w:val="3"/>
          </w:tcPr>
          <w:p>
            <w:pPr>
              <w:ind w:left="220"/>
              <w:spacing w:after="0" w:line="198" w:lineRule="exact"/>
              <w:rPr>
                <w:sz w:val="20"/>
                <w:szCs w:val="20"/>
                <w:color w:val="auto"/>
              </w:rPr>
            </w:pPr>
            <w:r>
              <w:rPr>
                <w:rFonts w:ascii="Times New Roman" w:cs="Times New Roman" w:eastAsia="Times New Roman" w:hAnsi="Times New Roman"/>
                <w:sz w:val="18"/>
                <w:szCs w:val="18"/>
                <w:color w:val="auto"/>
              </w:rPr>
              <w:t>Sub-</w:t>
            </w: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5100</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 99th Ave., #101</w:t>
            </w: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Phoenix</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AZ</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3,940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3,575</w:t>
            </w: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8"/>
              </w:rPr>
              <w:t>/ mo</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1951</w:t>
            </w:r>
          </w:p>
        </w:tc>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 Camelback Rd. #200</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Phoenix</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AZ</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11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2,446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4,281</w:t>
            </w:r>
          </w:p>
        </w:tc>
        <w:tc>
          <w:tcPr>
            <w:tcW w:w="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8"/>
              </w:rPr>
              <w:t>/ mo</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1/31/2026</w:t>
            </w:r>
          </w:p>
        </w:tc>
      </w:tr>
      <w:tr>
        <w:trPr>
          <w:trHeight w:val="198"/>
        </w:trPr>
        <w:tc>
          <w:tcPr>
            <w:tcW w:w="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1360</w:t>
            </w:r>
          </w:p>
        </w:tc>
        <w:tc>
          <w:tcPr>
            <w:tcW w:w="204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N. Bullard Ave., #I-207</w:t>
            </w: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4"/>
        </w:trPr>
        <w:tc>
          <w:tcPr>
            <w:tcW w:w="2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&amp; J-208</w:t>
            </w: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Goodyear</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AZ</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3,718</w:t>
            </w: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8"/>
              </w:rPr>
              <w:t>/ mo</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8/31/2026</w:t>
            </w: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1630</w:t>
            </w:r>
          </w:p>
        </w:tc>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 Stapley Dr. #206</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Mesa</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AZ</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11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5,197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9,095</w:t>
            </w:r>
          </w:p>
        </w:tc>
        <w:tc>
          <w:tcPr>
            <w:tcW w:w="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8"/>
              </w:rPr>
              <w:t>/ mo</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4/30/2026</w:t>
            </w:r>
          </w:p>
        </w:tc>
      </w:tr>
      <w:tr>
        <w:trPr>
          <w:trHeight w:val="198"/>
        </w:trPr>
        <w:tc>
          <w:tcPr>
            <w:tcW w:w="4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2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705 E. Coronado Rd.</w:t>
            </w: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Phoenix</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AZ</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1,287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4,950</w:t>
            </w: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8"/>
              </w:rPr>
              <w:t>/ mo</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198"/>
        </w:trPr>
        <w:tc>
          <w:tcPr>
            <w:tcW w:w="4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2301</w:t>
            </w:r>
          </w:p>
        </w:tc>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 Stearman Dr. #3</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Chandler</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AZ</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11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8"/>
              </w:rPr>
              <w:t>/ mo</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216"/>
        </w:trPr>
        <w:tc>
          <w:tcPr>
            <w:tcW w:w="2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15150 W. Park Place #2041</w:t>
            </w: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Goodyear</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AZ</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8"/>
              </w:rPr>
              <w:t>/ mo</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10/31/2026</w:t>
            </w:r>
          </w:p>
        </w:tc>
      </w:tr>
      <w:tr>
        <w:trPr>
          <w:trHeight w:val="198"/>
        </w:trPr>
        <w:tc>
          <w:tcPr>
            <w:tcW w:w="4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2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40977 Oak Dr.</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Forest Falls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11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 mo</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198"/>
        </w:trPr>
        <w:tc>
          <w:tcPr>
            <w:tcW w:w="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2934</w:t>
            </w:r>
          </w:p>
        </w:tc>
        <w:tc>
          <w:tcPr>
            <w:tcW w:w="204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E. Garvey Ave. South,</w:t>
            </w: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#250</w:t>
            </w:r>
          </w:p>
        </w:tc>
        <w:tc>
          <w:tcPr>
            <w:tcW w:w="1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 Covina</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CA</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8"/>
              </w:rPr>
              <w:t>/ mo</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198"/>
        </w:trPr>
        <w:tc>
          <w:tcPr>
            <w:tcW w:w="4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7398</w:t>
            </w:r>
          </w:p>
        </w:tc>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Fox Trail #B</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Yucca Valley</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11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8"/>
              </w:rPr>
              <w:t>/ mo</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216"/>
        </w:trPr>
        <w:tc>
          <w:tcPr>
            <w:tcW w:w="2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155 S. Highway 101 #7</w:t>
            </w: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Solana Beach</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CA</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7,879</w:t>
            </w: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8"/>
              </w:rPr>
              <w:t>/ mo</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8/22/2026</w:t>
            </w:r>
          </w:p>
        </w:tc>
      </w:tr>
      <w:tr>
        <w:trPr>
          <w:trHeight w:val="198"/>
        </w:trPr>
        <w:tc>
          <w:tcPr>
            <w:tcW w:w="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2455</w:t>
            </w:r>
          </w:p>
        </w:tc>
        <w:tc>
          <w:tcPr>
            <w:tcW w:w="204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Bennett Valley Rd.</w:t>
            </w: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4"/>
        </w:trPr>
        <w:tc>
          <w:tcPr>
            <w:tcW w:w="2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#C107</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Santa Rosa</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11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849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8"/>
              </w:rPr>
              <w:t>/ mo</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7/31/2026</w:t>
            </w:r>
          </w:p>
        </w:tc>
      </w:tr>
      <w:tr>
        <w:trPr>
          <w:trHeight w:val="198"/>
        </w:trPr>
        <w:tc>
          <w:tcPr>
            <w:tcW w:w="4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2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27 Main St., #C104B</w:t>
            </w: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Edwards</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CO</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680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8"/>
              </w:rPr>
              <w:t>/ mo</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198"/>
        </w:trPr>
        <w:tc>
          <w:tcPr>
            <w:tcW w:w="4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5982</w:t>
            </w:r>
          </w:p>
        </w:tc>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 Zenos Ct</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Aurora</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11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 mo</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5475</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Tech Center Drive #215</w:t>
            </w: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Colorado Springs</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CO</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790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8"/>
              </w:rPr>
              <w:t>/ mo</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12/31/2027</w:t>
            </w: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7800</w:t>
            </w:r>
          </w:p>
        </w:tc>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 Union Ave. #930</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Denver</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11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2,062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 mo</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3/31/2027</w:t>
            </w:r>
          </w:p>
        </w:tc>
      </w:tr>
      <w:tr>
        <w:trPr>
          <w:trHeight w:val="216"/>
        </w:trPr>
        <w:tc>
          <w:tcPr>
            <w:tcW w:w="2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447 Naubuc Ave. #110</w:t>
            </w: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Glastonbury</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CT</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1,420</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8"/>
              </w:rPr>
              <w:t>/ mo</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3/31/2027</w:t>
            </w:r>
          </w:p>
        </w:tc>
      </w:tr>
      <w:tr>
        <w:trPr>
          <w:trHeight w:val="198"/>
        </w:trPr>
        <w:tc>
          <w:tcPr>
            <w:tcW w:w="4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2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84 Broad Street 2nd Floor, #6</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Milford</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CT</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11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8"/>
              </w:rPr>
              <w:t>/ mo</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8191</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College Parkway, #201</w:t>
            </w: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Fort Myers</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FL</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4,676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5,112</w:t>
            </w: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8"/>
              </w:rPr>
              <w:t>/ mo</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7/31/2026</w:t>
            </w: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2350</w:t>
            </w:r>
          </w:p>
        </w:tc>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Fruitville Rd. #101</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Sarasota</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FL</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11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2,455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5,587</w:t>
            </w:r>
          </w:p>
        </w:tc>
        <w:tc>
          <w:tcPr>
            <w:tcW w:w="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8"/>
              </w:rPr>
              <w:t>/ mo</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3/14/2026</w:t>
            </w:r>
          </w:p>
        </w:tc>
      </w:tr>
      <w:tr>
        <w:trPr>
          <w:trHeight w:val="198"/>
        </w:trPr>
        <w:tc>
          <w:tcPr>
            <w:tcW w:w="4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2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10293 61st Ct N</w:t>
            </w: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Pinellas Park</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FL</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 / mo</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216"/>
        </w:trPr>
        <w:tc>
          <w:tcPr>
            <w:tcW w:w="2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250 International Pkwy #118</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Lake Mary</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FL</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11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3,068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w:t>
            </w:r>
          </w:p>
        </w:tc>
        <w:tc>
          <w:tcPr>
            <w:tcW w:w="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8"/>
              </w:rPr>
              <w:t>/ mo</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3/31/2027</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5666</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Seminole Blvd. #128</w:t>
            </w: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Seminole</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FL</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816.40</w:t>
            </w: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8"/>
              </w:rPr>
              <w:t>/ mo</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6/30/2026</w:t>
            </w: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2326</w:t>
            </w:r>
          </w:p>
        </w:tc>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 Prado Blvd. #18C</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Cape Coral</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FL</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11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8"/>
              </w:rPr>
              <w:t>/ mo</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4/30/2026</w:t>
            </w:r>
          </w:p>
        </w:tc>
      </w:tr>
      <w:tr>
        <w:trPr>
          <w:trHeight w:val="198"/>
        </w:trPr>
        <w:tc>
          <w:tcPr>
            <w:tcW w:w="244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132 W. International</w:t>
            </w: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4"/>
        </w:trPr>
        <w:tc>
          <w:tcPr>
            <w:tcW w:w="2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Speedway Blvd. #15</w:t>
            </w: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Daytona Beach</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FL</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8"/>
              </w:rPr>
              <w:t>/ mo</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3/31/2026</w:t>
            </w:r>
          </w:p>
        </w:tc>
      </w:tr>
      <w:tr>
        <w:trPr>
          <w:trHeight w:val="198"/>
        </w:trPr>
        <w:tc>
          <w:tcPr>
            <w:tcW w:w="4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1800</w:t>
            </w:r>
          </w:p>
        </w:tc>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Phoenix Blvd. #128-25</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Atlanta</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11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8"/>
              </w:rPr>
              <w:t>/ mo</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198"/>
        </w:trPr>
        <w:tc>
          <w:tcPr>
            <w:tcW w:w="4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3344</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Peachtree Rd. NE #17</w:t>
            </w: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Atlanta</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GA</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8"/>
              </w:rPr>
              <w:t>/ mo</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198"/>
        </w:trPr>
        <w:tc>
          <w:tcPr>
            <w:tcW w:w="4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3344</w:t>
            </w:r>
          </w:p>
        </w:tc>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Peachtree Rd. NE #18</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Atlanta</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11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8"/>
              </w:rPr>
              <w:t>/ mo</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4370</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Kukui Grove St. #201</w:t>
            </w: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Lihue</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HI</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864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8"/>
              </w:rPr>
              <w:t>/ mo</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2/29/2028</w:t>
            </w:r>
          </w:p>
        </w:tc>
      </w:tr>
      <w:tr>
        <w:trPr>
          <w:trHeight w:val="216"/>
        </w:trPr>
        <w:tc>
          <w:tcPr>
            <w:tcW w:w="2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677 Ala Moana Blvd. #609</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Honolulu</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HI</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11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716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2,399 / mo</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1/31/2026</w:t>
            </w:r>
          </w:p>
        </w:tc>
      </w:tr>
      <w:tr>
        <w:trPr>
          <w:trHeight w:val="198"/>
        </w:trPr>
        <w:tc>
          <w:tcPr>
            <w:tcW w:w="4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ind w:right="320"/>
              <w:spacing w:after="0" w:line="198" w:lineRule="exact"/>
              <w:rPr>
                <w:sz w:val="20"/>
                <w:szCs w:val="20"/>
                <w:color w:val="auto"/>
              </w:rPr>
            </w:pPr>
            <w:r>
              <w:rPr>
                <w:rFonts w:ascii="Times New Roman" w:cs="Times New Roman" w:eastAsia="Times New Roman" w:hAnsi="Times New Roman"/>
                <w:sz w:val="18"/>
                <w:szCs w:val="18"/>
                <w:color w:val="auto"/>
              </w:rPr>
              <w:t>1523.56 /</w:t>
            </w:r>
          </w:p>
        </w:tc>
        <w:tc>
          <w:tcPr>
            <w:tcW w:w="9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1955</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Main Street #301</w:t>
            </w: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Wailuku</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HI</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mo</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1350</w:t>
            </w:r>
          </w:p>
        </w:tc>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Lake Street #6</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Roselle</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IL</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11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749.17</w:t>
            </w:r>
          </w:p>
        </w:tc>
        <w:tc>
          <w:tcPr>
            <w:tcW w:w="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8"/>
              </w:rPr>
              <w:t>/ mo</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11/30/2026</w:t>
            </w:r>
          </w:p>
        </w:tc>
      </w:tr>
      <w:tr>
        <w:trPr>
          <w:trHeight w:val="23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1350</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Lake Street #7</w:t>
            </w: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Roselle</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IL</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749.17</w:t>
            </w: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8"/>
              </w:rPr>
              <w:t>/ mo</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11/30/2026</w:t>
            </w:r>
          </w:p>
        </w:tc>
      </w:tr>
    </w:tbl>
    <w:p>
      <w:pPr>
        <w:spacing w:after="0" w:line="20" w:lineRule="exact"/>
        <w:rPr>
          <w:sz w:val="20"/>
          <w:szCs w:val="20"/>
          <w:color w:val="auto"/>
        </w:rPr>
      </w:pPr>
    </w:p>
    <w:p>
      <w:pPr>
        <w:sectPr>
          <w:pgSz w:w="11900" w:h="16923" w:orient="portrait"/>
          <w:cols w:equalWidth="0" w:num="1">
            <w:col w:w="11240"/>
          </w:cols>
          <w:pgMar w:left="320" w:top="684" w:right="339" w:bottom="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6"/>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450</w:t>
            </w:r>
          </w:p>
        </w:tc>
        <w:tc>
          <w:tcPr>
            <w:tcW w:w="2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 96th Street #5008</w:t>
            </w:r>
          </w:p>
        </w:tc>
        <w:tc>
          <w:tcPr>
            <w:tcW w:w="1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Indianapolis</w:t>
            </w:r>
          </w:p>
        </w:tc>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w:t>
            </w:r>
          </w:p>
        </w:tc>
        <w:tc>
          <w:tcPr>
            <w:tcW w:w="17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Mortgage Sales</w:t>
            </w:r>
          </w:p>
        </w:tc>
        <w:tc>
          <w:tcPr>
            <w:tcW w:w="1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Leased</w:t>
            </w: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5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8"/>
              </w:rPr>
              <w:t>/ mo</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7/31/2026</w:t>
            </w: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450</w:t>
            </w:r>
          </w:p>
        </w:tc>
        <w:tc>
          <w:tcPr>
            <w:tcW w:w="2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 96th Street #5009</w:t>
            </w:r>
          </w:p>
        </w:tc>
        <w:tc>
          <w:tcPr>
            <w:tcW w:w="1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Indianapolis</w:t>
            </w:r>
          </w:p>
        </w:tc>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w:t>
            </w:r>
          </w:p>
        </w:tc>
        <w:tc>
          <w:tcPr>
            <w:tcW w:w="1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Mortgage Sales</w:t>
            </w:r>
          </w:p>
        </w:tc>
        <w:tc>
          <w:tcPr>
            <w:tcW w:w="1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Leased</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5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8"/>
              </w:rPr>
              <w:t>/ mo</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7/31/2026</w:t>
            </w:r>
          </w:p>
        </w:tc>
      </w:tr>
      <w:tr>
        <w:trPr>
          <w:trHeight w:val="198"/>
        </w:trPr>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2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81 Boulder Drive,</w:t>
            </w:r>
          </w:p>
        </w:tc>
        <w:tc>
          <w:tcPr>
            <w:tcW w:w="1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Elizabethtown</w:t>
            </w:r>
          </w:p>
        </w:tc>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KY</w:t>
            </w:r>
          </w:p>
        </w:tc>
        <w:tc>
          <w:tcPr>
            <w:tcW w:w="17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Mortgage Sales</w:t>
            </w:r>
          </w:p>
        </w:tc>
        <w:tc>
          <w:tcPr>
            <w:tcW w:w="1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Leased</w:t>
            </w: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 / mo</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198"/>
        </w:trPr>
        <w:tc>
          <w:tcPr>
            <w:tcW w:w="23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9300 SHELBYVILLE RD</w:t>
            </w:r>
          </w:p>
        </w:tc>
        <w:tc>
          <w:tcPr>
            <w:tcW w:w="1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4"/>
        </w:trPr>
        <w:tc>
          <w:tcPr>
            <w:tcW w:w="2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#1205</w:t>
            </w:r>
          </w:p>
        </w:tc>
        <w:tc>
          <w:tcPr>
            <w:tcW w:w="1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Louisville</w:t>
            </w:r>
          </w:p>
        </w:tc>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KY</w:t>
            </w:r>
          </w:p>
        </w:tc>
        <w:tc>
          <w:tcPr>
            <w:tcW w:w="1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Mortgage Sales</w:t>
            </w:r>
          </w:p>
        </w:tc>
        <w:tc>
          <w:tcPr>
            <w:tcW w:w="1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Leased</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2,453</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5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8"/>
              </w:rPr>
              <w:t>/ mo</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4/30/2026</w:t>
            </w:r>
          </w:p>
        </w:tc>
      </w:tr>
      <w:tr>
        <w:trPr>
          <w:trHeight w:val="216"/>
        </w:trPr>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8684</w:t>
            </w:r>
          </w:p>
        </w:tc>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Veterans Hwy. #101</w:t>
            </w:r>
          </w:p>
        </w:tc>
        <w:tc>
          <w:tcPr>
            <w:tcW w:w="1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Millersville</w:t>
            </w:r>
          </w:p>
        </w:tc>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MD</w:t>
            </w:r>
          </w:p>
        </w:tc>
        <w:tc>
          <w:tcPr>
            <w:tcW w:w="17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Mortgage Sales</w:t>
            </w:r>
          </w:p>
        </w:tc>
        <w:tc>
          <w:tcPr>
            <w:tcW w:w="1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Leased</w:t>
            </w: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4,018</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7,349</w:t>
            </w:r>
          </w:p>
        </w:tc>
        <w:tc>
          <w:tcPr>
            <w:tcW w:w="5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8"/>
              </w:rPr>
              <w:t>/ mo</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7/31/2026</w:t>
            </w:r>
          </w:p>
        </w:tc>
      </w:tr>
      <w:tr>
        <w:trPr>
          <w:trHeight w:val="198"/>
        </w:trPr>
        <w:tc>
          <w:tcPr>
            <w:tcW w:w="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960</w:t>
            </w:r>
          </w:p>
        </w:tc>
        <w:tc>
          <w:tcPr>
            <w:tcW w:w="202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S. 24th Street West Suite</w:t>
            </w:r>
          </w:p>
        </w:tc>
        <w:tc>
          <w:tcPr>
            <w:tcW w:w="1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Billings</w:t>
            </w:r>
          </w:p>
        </w:tc>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MT</w:t>
            </w:r>
          </w:p>
        </w:tc>
        <w:tc>
          <w:tcPr>
            <w:tcW w:w="1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Mortgage Sales</w:t>
            </w:r>
          </w:p>
        </w:tc>
        <w:tc>
          <w:tcPr>
            <w:tcW w:w="1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Leased</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5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8"/>
              </w:rPr>
              <w:t>/ mo</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216"/>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534</w:t>
            </w:r>
          </w:p>
        </w:tc>
        <w:tc>
          <w:tcPr>
            <w:tcW w:w="2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 Higgins Ave.</w:t>
            </w:r>
          </w:p>
        </w:tc>
        <w:tc>
          <w:tcPr>
            <w:tcW w:w="1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Missoula</w:t>
            </w:r>
          </w:p>
        </w:tc>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MT</w:t>
            </w:r>
          </w:p>
        </w:tc>
        <w:tc>
          <w:tcPr>
            <w:tcW w:w="17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Mortgage Sales</w:t>
            </w:r>
          </w:p>
        </w:tc>
        <w:tc>
          <w:tcPr>
            <w:tcW w:w="1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Leased</w:t>
            </w: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5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8"/>
              </w:rPr>
              <w:t>/ mo</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6/28/2026</w:t>
            </w:r>
          </w:p>
        </w:tc>
      </w:tr>
      <w:tr>
        <w:trPr>
          <w:trHeight w:val="216"/>
        </w:trPr>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1980</w:t>
            </w:r>
          </w:p>
        </w:tc>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Festival Plaza Dr. #850</w:t>
            </w:r>
          </w:p>
        </w:tc>
        <w:tc>
          <w:tcPr>
            <w:tcW w:w="1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Las Vegas</w:t>
            </w:r>
          </w:p>
        </w:tc>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NV</w:t>
            </w:r>
          </w:p>
        </w:tc>
        <w:tc>
          <w:tcPr>
            <w:tcW w:w="1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Mortgage Sales</w:t>
            </w:r>
          </w:p>
        </w:tc>
        <w:tc>
          <w:tcPr>
            <w:tcW w:w="1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Leased</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12,866</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49,277</w:t>
            </w:r>
          </w:p>
        </w:tc>
        <w:tc>
          <w:tcPr>
            <w:tcW w:w="5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8"/>
              </w:rPr>
              <w:t>/ mo</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3/31/2027</w:t>
            </w:r>
          </w:p>
        </w:tc>
      </w:tr>
      <w:tr>
        <w:trPr>
          <w:trHeight w:val="198"/>
        </w:trPr>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840</w:t>
            </w:r>
          </w:p>
        </w:tc>
        <w:tc>
          <w:tcPr>
            <w:tcW w:w="2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Pinnacle Ct. #3B</w:t>
            </w:r>
          </w:p>
        </w:tc>
        <w:tc>
          <w:tcPr>
            <w:tcW w:w="1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Mesquite</w:t>
            </w:r>
          </w:p>
        </w:tc>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NV</w:t>
            </w:r>
          </w:p>
        </w:tc>
        <w:tc>
          <w:tcPr>
            <w:tcW w:w="17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Mortgage Sales</w:t>
            </w:r>
          </w:p>
        </w:tc>
        <w:tc>
          <w:tcPr>
            <w:tcW w:w="1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Leased</w:t>
            </w: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5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8"/>
              </w:rPr>
              <w:t>/ mo</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216"/>
        </w:trPr>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2635</w:t>
            </w:r>
          </w:p>
        </w:tc>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 Rose Pkwy #D100</w:t>
            </w:r>
          </w:p>
        </w:tc>
        <w:tc>
          <w:tcPr>
            <w:tcW w:w="1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Henderson</w:t>
            </w:r>
          </w:p>
        </w:tc>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NV</w:t>
            </w:r>
          </w:p>
        </w:tc>
        <w:tc>
          <w:tcPr>
            <w:tcW w:w="1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Mortgage Sales</w:t>
            </w:r>
          </w:p>
        </w:tc>
        <w:tc>
          <w:tcPr>
            <w:tcW w:w="1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Leased</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5,788</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13,775</w:t>
            </w:r>
          </w:p>
        </w:tc>
        <w:tc>
          <w:tcPr>
            <w:tcW w:w="5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8"/>
              </w:rPr>
              <w:t>/ mo</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11/30/2030</w:t>
            </w:r>
          </w:p>
        </w:tc>
      </w:tr>
      <w:tr>
        <w:trPr>
          <w:trHeight w:val="198"/>
        </w:trPr>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2546</w:t>
            </w:r>
          </w:p>
        </w:tc>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Findlater</w:t>
            </w:r>
          </w:p>
        </w:tc>
        <w:tc>
          <w:tcPr>
            <w:tcW w:w="1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Henderson</w:t>
            </w:r>
          </w:p>
        </w:tc>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NV</w:t>
            </w:r>
          </w:p>
        </w:tc>
        <w:tc>
          <w:tcPr>
            <w:tcW w:w="17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Mortgage Sales</w:t>
            </w:r>
          </w:p>
        </w:tc>
        <w:tc>
          <w:tcPr>
            <w:tcW w:w="1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Leased</w:t>
            </w: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 / mo</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198"/>
        </w:trPr>
        <w:tc>
          <w:tcPr>
            <w:tcW w:w="23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1180 N. Town Center Dr.</w:t>
            </w:r>
          </w:p>
        </w:tc>
        <w:tc>
          <w:tcPr>
            <w:tcW w:w="1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4"/>
        </w:trPr>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#265</w:t>
            </w:r>
          </w:p>
        </w:tc>
        <w:tc>
          <w:tcPr>
            <w:tcW w:w="1920" w:type="dxa"/>
            <w:vAlign w:val="bottom"/>
          </w:tcPr>
          <w:p>
            <w:pPr>
              <w:spacing w:after="0"/>
              <w:rPr>
                <w:sz w:val="20"/>
                <w:szCs w:val="20"/>
                <w:color w:val="auto"/>
              </w:rPr>
            </w:pPr>
          </w:p>
        </w:tc>
        <w:tc>
          <w:tcPr>
            <w:tcW w:w="1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Las Vegas</w:t>
            </w:r>
          </w:p>
        </w:tc>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NV</w:t>
            </w:r>
          </w:p>
        </w:tc>
        <w:tc>
          <w:tcPr>
            <w:tcW w:w="1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Mortgage Sales</w:t>
            </w:r>
          </w:p>
        </w:tc>
        <w:tc>
          <w:tcPr>
            <w:tcW w:w="1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Leased</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2,638</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7,888</w:t>
            </w:r>
          </w:p>
        </w:tc>
        <w:tc>
          <w:tcPr>
            <w:tcW w:w="5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8"/>
              </w:rPr>
              <w:t>/ mo</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9/30/2027</w:t>
            </w:r>
          </w:p>
        </w:tc>
      </w:tr>
      <w:tr>
        <w:trPr>
          <w:trHeight w:val="198"/>
        </w:trPr>
        <w:tc>
          <w:tcPr>
            <w:tcW w:w="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650</w:t>
            </w:r>
          </w:p>
        </w:tc>
        <w:tc>
          <w:tcPr>
            <w:tcW w:w="202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S. Green Valley Pkway</w:t>
            </w:r>
          </w:p>
        </w:tc>
        <w:tc>
          <w:tcPr>
            <w:tcW w:w="15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#130</w:t>
            </w:r>
          </w:p>
        </w:tc>
        <w:tc>
          <w:tcPr>
            <w:tcW w:w="1920" w:type="dxa"/>
            <w:vAlign w:val="bottom"/>
            <w:shd w:val="clear" w:color="auto" w:fill="CCEEFF"/>
          </w:tcPr>
          <w:p>
            <w:pPr>
              <w:spacing w:after="0"/>
              <w:rPr>
                <w:sz w:val="20"/>
                <w:szCs w:val="20"/>
                <w:color w:val="auto"/>
              </w:rPr>
            </w:pPr>
          </w:p>
        </w:tc>
        <w:tc>
          <w:tcPr>
            <w:tcW w:w="1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Henderson</w:t>
            </w:r>
          </w:p>
        </w:tc>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NV</w:t>
            </w:r>
          </w:p>
        </w:tc>
        <w:tc>
          <w:tcPr>
            <w:tcW w:w="17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Mortgage Sales</w:t>
            </w:r>
          </w:p>
        </w:tc>
        <w:tc>
          <w:tcPr>
            <w:tcW w:w="1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Leased</w:t>
            </w: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215</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5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8"/>
              </w:rPr>
              <w:t>/ mo</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198"/>
        </w:trPr>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c>
          <w:tcPr>
            <w:tcW w:w="2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Juniper 3rd Floor #A05</w:t>
            </w:r>
          </w:p>
        </w:tc>
        <w:tc>
          <w:tcPr>
            <w:tcW w:w="1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Philadelphia</w:t>
            </w:r>
          </w:p>
        </w:tc>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w:t>
            </w:r>
          </w:p>
        </w:tc>
        <w:tc>
          <w:tcPr>
            <w:tcW w:w="1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Mortgage Sales</w:t>
            </w:r>
          </w:p>
        </w:tc>
        <w:tc>
          <w:tcPr>
            <w:tcW w:w="1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Leased</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5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8"/>
              </w:rPr>
              <w:t>/ mo</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198"/>
        </w:trPr>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670</w:t>
            </w:r>
          </w:p>
        </w:tc>
        <w:tc>
          <w:tcPr>
            <w:tcW w:w="2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Meridian Way #146</w:t>
            </w:r>
          </w:p>
        </w:tc>
        <w:tc>
          <w:tcPr>
            <w:tcW w:w="1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Westerville</w:t>
            </w:r>
          </w:p>
        </w:tc>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OH</w:t>
            </w:r>
          </w:p>
        </w:tc>
        <w:tc>
          <w:tcPr>
            <w:tcW w:w="17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Mortgage Sales</w:t>
            </w:r>
          </w:p>
        </w:tc>
        <w:tc>
          <w:tcPr>
            <w:tcW w:w="1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Leased</w:t>
            </w: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5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8"/>
              </w:rPr>
              <w:t>/ mo</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198"/>
        </w:trPr>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1000</w:t>
            </w:r>
          </w:p>
        </w:tc>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 Wilshire Blvd. #220</w:t>
            </w:r>
          </w:p>
        </w:tc>
        <w:tc>
          <w:tcPr>
            <w:tcW w:w="1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Oklahoma City</w:t>
            </w:r>
          </w:p>
        </w:tc>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OK</w:t>
            </w:r>
          </w:p>
        </w:tc>
        <w:tc>
          <w:tcPr>
            <w:tcW w:w="1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Mortgage Sales</w:t>
            </w:r>
          </w:p>
        </w:tc>
        <w:tc>
          <w:tcPr>
            <w:tcW w:w="1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Leased</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5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8"/>
              </w:rPr>
              <w:t>/ mo</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216"/>
        </w:trPr>
        <w:tc>
          <w:tcPr>
            <w:tcW w:w="2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3115 NE Sandy Blvd #227</w:t>
            </w:r>
          </w:p>
        </w:tc>
        <w:tc>
          <w:tcPr>
            <w:tcW w:w="1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Portland</w:t>
            </w:r>
          </w:p>
        </w:tc>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OR</w:t>
            </w:r>
          </w:p>
        </w:tc>
        <w:tc>
          <w:tcPr>
            <w:tcW w:w="17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Mortgage Sales</w:t>
            </w:r>
          </w:p>
        </w:tc>
        <w:tc>
          <w:tcPr>
            <w:tcW w:w="1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Leased</w:t>
            </w: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580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5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8"/>
              </w:rPr>
              <w:t>/ mo</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9/30/2027</w:t>
            </w:r>
          </w:p>
        </w:tc>
      </w:tr>
      <w:tr>
        <w:trPr>
          <w:trHeight w:val="432"/>
        </w:trPr>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12</w:t>
            </w:r>
          </w:p>
        </w:tc>
        <w:tc>
          <w:tcPr>
            <w:tcW w:w="1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0" w:right="3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2. Properties (Continued)</w:t>
            </w: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14"/>
        </w:trPr>
        <w:tc>
          <w:tcPr>
            <w:tcW w:w="4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Approximate</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4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Owned /</w:t>
            </w: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Square</w:t>
            </w:r>
          </w:p>
        </w:tc>
        <w:tc>
          <w:tcPr>
            <w:tcW w:w="120" w:type="dxa"/>
            <w:vAlign w:val="bottom"/>
          </w:tcPr>
          <w:p>
            <w:pPr>
              <w:spacing w:after="0"/>
              <w:rPr>
                <w:sz w:val="18"/>
                <w:szCs w:val="18"/>
                <w:color w:val="auto"/>
              </w:rPr>
            </w:pPr>
          </w:p>
        </w:tc>
        <w:tc>
          <w:tcPr>
            <w:tcW w:w="120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Lease</w:t>
            </w:r>
          </w:p>
        </w:tc>
        <w:tc>
          <w:tcPr>
            <w:tcW w:w="900" w:type="dxa"/>
            <w:vAlign w:val="bottom"/>
          </w:tcPr>
          <w:p>
            <w:pPr>
              <w:spacing w:after="0"/>
              <w:rPr>
                <w:sz w:val="18"/>
                <w:szCs w:val="18"/>
                <w:color w:val="auto"/>
              </w:rPr>
            </w:pPr>
          </w:p>
        </w:tc>
      </w:tr>
      <w:tr>
        <w:trPr>
          <w:trHeight w:val="234"/>
        </w:trPr>
        <w:tc>
          <w:tcPr>
            <w:tcW w:w="400" w:type="dxa"/>
            <w:vAlign w:val="bottom"/>
          </w:tcPr>
          <w:p>
            <w:pPr>
              <w:spacing w:after="0"/>
              <w:rPr>
                <w:sz w:val="20"/>
                <w:szCs w:val="20"/>
                <w:color w:val="auto"/>
              </w:rPr>
            </w:pPr>
          </w:p>
        </w:tc>
        <w:tc>
          <w:tcPr>
            <w:tcW w:w="20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Street</w:t>
            </w:r>
          </w:p>
        </w:tc>
        <w:tc>
          <w:tcPr>
            <w:tcW w:w="17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City</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220" w:type="dxa"/>
            <w:vAlign w:val="bottom"/>
          </w:tcPr>
          <w:p>
            <w:pPr>
              <w:spacing w:after="0"/>
              <w:rPr>
                <w:sz w:val="20"/>
                <w:szCs w:val="20"/>
                <w:color w:val="auto"/>
              </w:rPr>
            </w:pPr>
          </w:p>
        </w:tc>
        <w:tc>
          <w:tcPr>
            <w:tcW w:w="1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Function</w:t>
            </w:r>
          </w:p>
        </w:tc>
        <w:tc>
          <w:tcPr>
            <w:tcW w:w="220" w:type="dxa"/>
            <w:vAlign w:val="bottom"/>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Footage</w:t>
            </w:r>
          </w:p>
        </w:tc>
        <w:tc>
          <w:tcPr>
            <w:tcW w:w="120" w:type="dxa"/>
            <w:vAlign w:val="bottom"/>
          </w:tcPr>
          <w:p>
            <w:pPr>
              <w:spacing w:after="0"/>
              <w:rPr>
                <w:sz w:val="20"/>
                <w:szCs w:val="20"/>
                <w:color w:val="auto"/>
              </w:rPr>
            </w:pPr>
          </w:p>
        </w:tc>
        <w:tc>
          <w:tcPr>
            <w:tcW w:w="12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Amount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Expiration</w:t>
            </w:r>
          </w:p>
        </w:tc>
      </w:tr>
      <w:tr>
        <w:trPr>
          <w:trHeight w:val="191"/>
        </w:trPr>
        <w:tc>
          <w:tcPr>
            <w:tcW w:w="400" w:type="dxa"/>
            <w:vAlign w:val="bottom"/>
            <w:tcBorders>
              <w:top w:val="single" w:sz="8" w:color="auto"/>
            </w:tcBorders>
            <w:shd w:val="clear" w:color="auto" w:fill="CCEEFF"/>
          </w:tcPr>
          <w:p>
            <w:pPr>
              <w:spacing w:after="0"/>
              <w:rPr>
                <w:sz w:val="16"/>
                <w:szCs w:val="16"/>
                <w:color w:val="auto"/>
              </w:rPr>
            </w:pPr>
          </w:p>
        </w:tc>
        <w:tc>
          <w:tcPr>
            <w:tcW w:w="18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3970</w:t>
            </w:r>
          </w:p>
        </w:tc>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Post Rd. #2PH</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Warwick</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11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391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8"/>
              </w:rPr>
              <w:t>/ mo</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198"/>
        </w:trPr>
        <w:tc>
          <w:tcPr>
            <w:tcW w:w="4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3292</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Winbrook Dr.</w:t>
            </w: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Memphis</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TN</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8"/>
              </w:rPr>
              <w:t>/ mo</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198"/>
        </w:trPr>
        <w:tc>
          <w:tcPr>
            <w:tcW w:w="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1213</w:t>
            </w:r>
          </w:p>
        </w:tc>
        <w:tc>
          <w:tcPr>
            <w:tcW w:w="204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East Alton Gloor Blvd.</w:t>
            </w: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4"/>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w:t>
            </w:r>
          </w:p>
        </w:tc>
        <w:tc>
          <w:tcPr>
            <w:tcW w:w="1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Brownsville</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TX</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11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8"/>
              </w:rPr>
              <w:t>/ mo</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2/28/2026</w:t>
            </w:r>
          </w:p>
        </w:tc>
      </w:tr>
      <w:tr>
        <w:trPr>
          <w:trHeight w:val="198"/>
        </w:trPr>
        <w:tc>
          <w:tcPr>
            <w:tcW w:w="4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2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722 Kiowa Dr. West</w:t>
            </w: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Lake Kiowa</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TX</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 / mo</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198"/>
        </w:trPr>
        <w:tc>
          <w:tcPr>
            <w:tcW w:w="4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2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30417 Fifth Street #B</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Fulshear</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TX</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11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8"/>
              </w:rPr>
              <w:t>/ mo</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198"/>
        </w:trPr>
        <w:tc>
          <w:tcPr>
            <w:tcW w:w="4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4908</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North Midkiff Rd.</w:t>
            </w: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Midland</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TX</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1,550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8"/>
              </w:rPr>
              <w:t>/ mo</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198"/>
        </w:trPr>
        <w:tc>
          <w:tcPr>
            <w:tcW w:w="4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2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462 Mid Cities Blvd.</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Hurst</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TX</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11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1,640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8"/>
              </w:rPr>
              <w:t>/ mo</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198"/>
        </w:trPr>
        <w:tc>
          <w:tcPr>
            <w:tcW w:w="4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1600</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Lee Travino #A-1</w:t>
            </w: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 Paso</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TX</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1,535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8"/>
              </w:rPr>
              <w:t>/ mo</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198"/>
        </w:trPr>
        <w:tc>
          <w:tcPr>
            <w:tcW w:w="244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10000 Central Expressway</w:t>
            </w: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4"/>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#428</w:t>
            </w:r>
          </w:p>
        </w:tc>
        <w:tc>
          <w:tcPr>
            <w:tcW w:w="1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Dallas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TX</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11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8"/>
              </w:rPr>
              <w:t>/ mo</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12/31/2026</w:t>
            </w:r>
          </w:p>
        </w:tc>
      </w:tr>
      <w:tr>
        <w:trPr>
          <w:trHeight w:val="198"/>
        </w:trPr>
        <w:tc>
          <w:tcPr>
            <w:tcW w:w="4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5757</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Flewellen Oaks Ln #104</w:t>
            </w: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Fulshear</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TX</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8"/>
              </w:rPr>
              <w:t>/ mo</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2100</w:t>
            </w:r>
          </w:p>
        </w:tc>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Kramer Ln #900</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Austin</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TX</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11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5,634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10,719</w:t>
            </w:r>
          </w:p>
        </w:tc>
        <w:tc>
          <w:tcPr>
            <w:tcW w:w="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8"/>
              </w:rPr>
              <w:t>/ mo</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7/31/2029</w:t>
            </w:r>
          </w:p>
        </w:tc>
      </w:tr>
      <w:tr>
        <w:trPr>
          <w:trHeight w:val="198"/>
        </w:trPr>
        <w:tc>
          <w:tcPr>
            <w:tcW w:w="4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2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10024 County Rd. 1016</w:t>
            </w: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Burleson</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TX</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 / mo</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2001</w:t>
            </w:r>
          </w:p>
        </w:tc>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Timberloch Pl #500-31</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Woodlands</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TX</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11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8"/>
              </w:rPr>
              <w:t>/ mo</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3/1/2026</w:t>
            </w:r>
          </w:p>
        </w:tc>
      </w:tr>
      <w:tr>
        <w:trPr>
          <w:trHeight w:val="198"/>
        </w:trPr>
        <w:tc>
          <w:tcPr>
            <w:tcW w:w="4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1526</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Katy Gap Rd #802</w:t>
            </w: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Katy</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TX</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1,237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8"/>
              </w:rPr>
              <w:t>/ mo</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198"/>
        </w:trPr>
        <w:tc>
          <w:tcPr>
            <w:tcW w:w="244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14090 SW Freeway STE 300</w:t>
            </w: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#374</w:t>
            </w:r>
          </w:p>
        </w:tc>
        <w:tc>
          <w:tcPr>
            <w:tcW w:w="1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Sugarland</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TX</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11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8"/>
              </w:rPr>
              <w:t>/ mo</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198"/>
        </w:trPr>
        <w:tc>
          <w:tcPr>
            <w:tcW w:w="244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800 Town &amp; Country Blvd</w:t>
            </w: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2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STE 500 #369</w:t>
            </w: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Houston</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TX</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8"/>
              </w:rPr>
              <w:t>/ mo</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198"/>
        </w:trPr>
        <w:tc>
          <w:tcPr>
            <w:tcW w:w="244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800 Town &amp; Country Blvd</w:t>
            </w: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2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STE 500 #370</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Houston</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TX</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11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8"/>
              </w:rPr>
              <w:t>/ mo</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198"/>
        </w:trPr>
        <w:tc>
          <w:tcPr>
            <w:tcW w:w="4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2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25329 Budde Rd #1001</w:t>
            </w: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Spring</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TX</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8"/>
              </w:rPr>
              <w:t>/ mo</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198"/>
        </w:trPr>
        <w:tc>
          <w:tcPr>
            <w:tcW w:w="4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2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402 E. Edgewood DR STE A</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Friendswood</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TX</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11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8"/>
              </w:rPr>
              <w:t>/ mo</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198"/>
        </w:trPr>
        <w:tc>
          <w:tcPr>
            <w:tcW w:w="4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2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23302 W. Fernhurst Dr. #300</w:t>
            </w: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Katy</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TX</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 / mo</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216"/>
        </w:trPr>
        <w:tc>
          <w:tcPr>
            <w:tcW w:w="2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126 W. Sego Lily Dr. #130</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Sandy</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UT</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11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2,794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7,251</w:t>
            </w:r>
          </w:p>
        </w:tc>
        <w:tc>
          <w:tcPr>
            <w:tcW w:w="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8"/>
              </w:rPr>
              <w:t>/ mo</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1/31/2027</w:t>
            </w:r>
          </w:p>
        </w:tc>
      </w:tr>
      <w:tr>
        <w:trPr>
          <w:trHeight w:val="216"/>
        </w:trPr>
        <w:tc>
          <w:tcPr>
            <w:tcW w:w="2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497 S. Main #E</w:t>
            </w: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Ephraim</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UT</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1,884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8"/>
              </w:rPr>
              <w:t>/ mo</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5/31/2027</w:t>
            </w: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1350</w:t>
            </w:r>
          </w:p>
        </w:tc>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 300 S. 3rd Floor</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Lehi</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UT</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11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15,446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40,726</w:t>
            </w:r>
          </w:p>
        </w:tc>
        <w:tc>
          <w:tcPr>
            <w:tcW w:w="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8"/>
              </w:rPr>
              <w:t>/ mo</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12/22/2026</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2455</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 Parleys Way #150</w:t>
            </w: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Salt Lake City</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UT</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5,256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2,917</w:t>
            </w: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8"/>
              </w:rPr>
              <w:t>/ mo</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7/31/2030</w:t>
            </w:r>
          </w:p>
        </w:tc>
      </w:tr>
      <w:tr>
        <w:trPr>
          <w:trHeight w:val="198"/>
        </w:trPr>
        <w:tc>
          <w:tcPr>
            <w:tcW w:w="4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2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998 N. 1200 W. #104</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Orem</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UT</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11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2,162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5,992</w:t>
            </w:r>
          </w:p>
        </w:tc>
        <w:tc>
          <w:tcPr>
            <w:tcW w:w="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8"/>
              </w:rPr>
              <w:t>/ mo</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216"/>
        </w:trPr>
        <w:tc>
          <w:tcPr>
            <w:tcW w:w="2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162 N. 400 E #C205</w:t>
            </w: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 George</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UT</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1,177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8"/>
              </w:rPr>
              <w:t>/ mo</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4/30/2026</w:t>
            </w:r>
          </w:p>
        </w:tc>
      </w:tr>
      <w:tr>
        <w:trPr>
          <w:trHeight w:val="198"/>
        </w:trPr>
        <w:tc>
          <w:tcPr>
            <w:tcW w:w="4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2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500 E. Village Blvd. #108</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Stansbury Park</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UT</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11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8"/>
              </w:rPr>
              <w:t>/ mo</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198"/>
        </w:trPr>
        <w:tc>
          <w:tcPr>
            <w:tcW w:w="4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2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15650 NE Fourth Blvd. #101</w:t>
            </w: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Vancouver</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WA</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8"/>
              </w:rPr>
              <w:t>/ mo</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198"/>
        </w:trPr>
        <w:tc>
          <w:tcPr>
            <w:tcW w:w="244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402 E. Main Street #130-</w:t>
            </w: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4"/>
        </w:trPr>
        <w:tc>
          <w:tcPr>
            <w:tcW w:w="2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#140-#150</w:t>
            </w:r>
          </w:p>
        </w:tc>
        <w:tc>
          <w:tcPr>
            <w:tcW w:w="22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Vancouver</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11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w:t>
            </w:r>
          </w:p>
        </w:tc>
        <w:tc>
          <w:tcPr>
            <w:tcW w:w="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8"/>
              </w:rPr>
              <w:t>/ mo</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9/30/2026</w:t>
            </w:r>
          </w:p>
        </w:tc>
      </w:tr>
      <w:tr>
        <w:trPr>
          <w:trHeight w:val="198"/>
        </w:trPr>
        <w:tc>
          <w:tcPr>
            <w:tcW w:w="4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1508</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24th Ave. #23</w:t>
            </w: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Kenosha</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WI</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 / mo</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198"/>
        </w:trPr>
        <w:tc>
          <w:tcPr>
            <w:tcW w:w="4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2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27903 99th Street</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Trevor</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11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 mo</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198"/>
        </w:trPr>
        <w:tc>
          <w:tcPr>
            <w:tcW w:w="4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2527</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Business Dr.</w:t>
            </w: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Sheboygan</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WI</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980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8"/>
              </w:rPr>
              <w:t>/ mo</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198"/>
        </w:trPr>
        <w:tc>
          <w:tcPr>
            <w:tcW w:w="4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month to</w:t>
            </w:r>
          </w:p>
        </w:tc>
      </w:tr>
      <w:tr>
        <w:trPr>
          <w:trHeight w:val="234"/>
        </w:trPr>
        <w:tc>
          <w:tcPr>
            <w:tcW w:w="2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15430 Neuberry Ct.</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Brookfield</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w:t>
            </w:r>
          </w:p>
        </w:tc>
        <w:tc>
          <w:tcPr>
            <w:tcW w:w="1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11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 mo</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month</w:t>
            </w:r>
          </w:p>
        </w:tc>
      </w:tr>
      <w:tr>
        <w:trPr>
          <w:trHeight w:val="234"/>
        </w:trPr>
        <w:tc>
          <w:tcPr>
            <w:tcW w:w="2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80 East 1st Ave.</w:t>
            </w: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Afton</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WY</w:t>
            </w: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Mortgage Sales</w:t>
            </w: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Leased</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8"/>
              </w:rPr>
              <w:t>/ mo</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2/28/2026</w:t>
            </w: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believes the office facilities it occupies are in good operating condition and adequate for current operations. The Company may enter into additional leases, modify existing leases or extend current leases based on its assessments of current market demand for its services. Those leases are expected to be month to month where possible.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245"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Item 2. Properties (Continued)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location and acreage of the seven Company owned cemeteries, each of which includes one or more mausoleums. The acreage represents estimates of acres that are based upon survey reports, title reports, appraisal reports, or the Company’s inspection of the cemeteries. The Company estimates that there are approximately 1,200 spaces per developed acre.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5"/>
          </w:tcPr>
          <w:p>
            <w:pPr>
              <w:jc w:val="center"/>
              <w:ind w:right="690"/>
              <w:spacing w:after="0"/>
              <w:rPr>
                <w:sz w:val="20"/>
                <w:szCs w:val="20"/>
                <w:color w:val="auto"/>
              </w:rPr>
            </w:pPr>
            <w:r>
              <w:rPr>
                <w:rFonts w:ascii="Times New Roman" w:cs="Times New Roman" w:eastAsia="Times New Roman" w:hAnsi="Times New Roman"/>
                <w:sz w:val="18"/>
                <w:szCs w:val="18"/>
                <w:color w:val="auto"/>
              </w:rPr>
              <w:t>Net Saleable Acreage</w:t>
            </w:r>
          </w:p>
        </w:tc>
      </w:tr>
      <w:tr>
        <w:trPr>
          <w:trHeight w:val="191"/>
        </w:trPr>
        <w:tc>
          <w:tcPr>
            <w:tcW w:w="2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jc w:val="center"/>
              <w:ind w:right="200"/>
              <w:spacing w:after="0" w:line="191" w:lineRule="exact"/>
              <w:rPr>
                <w:sz w:val="20"/>
                <w:szCs w:val="20"/>
                <w:color w:val="auto"/>
              </w:rPr>
            </w:pPr>
            <w:r>
              <w:rPr>
                <w:rFonts w:ascii="Times New Roman" w:cs="Times New Roman" w:eastAsia="Times New Roman" w:hAnsi="Times New Roman"/>
                <w:sz w:val="18"/>
                <w:szCs w:val="18"/>
                <w:color w:val="auto"/>
                <w:w w:val="98"/>
              </w:rPr>
              <w:t>Acres Sold</w:t>
            </w:r>
          </w:p>
        </w:tc>
        <w:tc>
          <w:tcPr>
            <w:tcW w:w="900" w:type="dxa"/>
            <w:vAlign w:val="bottom"/>
          </w:tcPr>
          <w:p>
            <w:pPr>
              <w:spacing w:after="0"/>
              <w:rPr>
                <w:sz w:val="16"/>
                <w:szCs w:val="16"/>
                <w:color w:val="auto"/>
              </w:rPr>
            </w:pPr>
          </w:p>
        </w:tc>
      </w:tr>
      <w:tr>
        <w:trPr>
          <w:trHeight w:val="216"/>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3"/>
              </w:rPr>
              <w:t>as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Total</w:t>
            </w:r>
          </w:p>
        </w:tc>
      </w:tr>
      <w:tr>
        <w:trPr>
          <w:trHeight w:val="216"/>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Date</w:t>
            </w: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Developed</w:t>
            </w:r>
          </w:p>
        </w:tc>
        <w:tc>
          <w:tcPr>
            <w:tcW w:w="7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4"/>
              </w:rPr>
              <w:t>Total</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Cemetery</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Available</w:t>
            </w:r>
          </w:p>
        </w:tc>
      </w:tr>
      <w:tr>
        <w:trPr>
          <w:trHeight w:val="234"/>
        </w:trPr>
        <w:tc>
          <w:tcPr>
            <w:tcW w:w="25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Name of Cemetery</w:t>
            </w:r>
          </w:p>
        </w:tc>
        <w:tc>
          <w:tcPr>
            <w:tcW w:w="33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Location</w:t>
            </w: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Acquired</w:t>
            </w: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Acreage</w:t>
            </w:r>
          </w:p>
        </w:tc>
        <w:tc>
          <w:tcPr>
            <w:tcW w:w="7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Acreage</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Spaces (1)</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Acreage</w:t>
            </w:r>
          </w:p>
        </w:tc>
      </w:tr>
      <w:tr>
        <w:trPr>
          <w:trHeight w:val="191"/>
        </w:trPr>
        <w:tc>
          <w:tcPr>
            <w:tcW w:w="226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Memorial Estates, Inc.</w:t>
            </w:r>
          </w:p>
        </w:tc>
        <w:tc>
          <w:tcPr>
            <w:tcW w:w="240" w:type="dxa"/>
            <w:vAlign w:val="bottom"/>
            <w:tcBorders>
              <w:top w:val="single" w:sz="8" w:color="CCEEFF"/>
            </w:tcBorders>
            <w:shd w:val="clear" w:color="auto" w:fill="CCEEFF"/>
          </w:tcPr>
          <w:p>
            <w:pPr>
              <w:spacing w:after="0"/>
              <w:rPr>
                <w:sz w:val="16"/>
                <w:szCs w:val="16"/>
                <w:color w:val="auto"/>
              </w:rPr>
            </w:pPr>
          </w:p>
        </w:tc>
        <w:tc>
          <w:tcPr>
            <w:tcW w:w="314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1640 East Lakeview Drive</w:t>
            </w:r>
          </w:p>
        </w:tc>
        <w:tc>
          <w:tcPr>
            <w:tcW w:w="2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r>
      <w:tr>
        <w:trPr>
          <w:trHeight w:val="234"/>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Lakeview Cemetery</w:t>
            </w: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Bountiful, Utah</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1973</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39</w:t>
            </w:r>
          </w:p>
        </w:tc>
        <w:tc>
          <w:tcPr>
            <w:tcW w:w="1240" w:type="dxa"/>
            <w:vAlign w:val="bottom"/>
            <w:gridSpan w:val="3"/>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r>
      <w:tr>
        <w:trPr>
          <w:trHeight w:val="216"/>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98"/>
        </w:trPr>
        <w:tc>
          <w:tcPr>
            <w:tcW w:w="25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Memorial Estates, Inc.</w:t>
            </w:r>
          </w:p>
        </w:tc>
        <w:tc>
          <w:tcPr>
            <w:tcW w:w="33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3115 East 7800 South</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4"/>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Mountain View Cemetery</w:t>
            </w: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Salt Lake City, Utah</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1973</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54</w:t>
            </w:r>
          </w:p>
        </w:tc>
        <w:tc>
          <w:tcPr>
            <w:tcW w:w="1240" w:type="dxa"/>
            <w:vAlign w:val="bottom"/>
            <w:gridSpan w:val="3"/>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20</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r>
      <w:tr>
        <w:trPr>
          <w:trHeight w:val="216"/>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98"/>
        </w:trPr>
        <w:tc>
          <w:tcPr>
            <w:tcW w:w="25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Memorial Estates, Inc.</w:t>
            </w:r>
          </w:p>
        </w:tc>
        <w:tc>
          <w:tcPr>
            <w:tcW w:w="33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6500 South Redwood Road</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4"/>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Redwood Cemetery</w:t>
            </w: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West Jordan, Utah</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1973</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74</w:t>
            </w:r>
          </w:p>
        </w:tc>
        <w:tc>
          <w:tcPr>
            <w:tcW w:w="1240" w:type="dxa"/>
            <w:vAlign w:val="bottom"/>
            <w:gridSpan w:val="3"/>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35</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r>
      <w:tr>
        <w:trPr>
          <w:trHeight w:val="216"/>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98"/>
        </w:trPr>
        <w:tc>
          <w:tcPr>
            <w:tcW w:w="25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Deseret Memorial Inc.</w:t>
            </w:r>
          </w:p>
        </w:tc>
        <w:tc>
          <w:tcPr>
            <w:tcW w:w="33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10055 South State Street</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4"/>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Lake Hills Cemetery</w:t>
            </w: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Sandy, Utah</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1991</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28</w:t>
            </w:r>
          </w:p>
        </w:tc>
        <w:tc>
          <w:tcPr>
            <w:tcW w:w="1240" w:type="dxa"/>
            <w:vAlign w:val="bottom"/>
            <w:gridSpan w:val="3"/>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98"/>
        </w:trPr>
        <w:tc>
          <w:tcPr>
            <w:tcW w:w="25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Holladay Memorial Park, Inc.</w:t>
            </w:r>
          </w:p>
        </w:tc>
        <w:tc>
          <w:tcPr>
            <w:tcW w:w="33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4900 South Memory Lane</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4"/>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Holladay Memorial Park</w:t>
            </w: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Holladay, Utah</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1991</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16</w:t>
            </w:r>
          </w:p>
        </w:tc>
        <w:tc>
          <w:tcPr>
            <w:tcW w:w="1240" w:type="dxa"/>
            <w:vAlign w:val="bottom"/>
            <w:gridSpan w:val="3"/>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98"/>
        </w:trPr>
        <w:tc>
          <w:tcPr>
            <w:tcW w:w="25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California Memorial Estates,</w:t>
            </w:r>
          </w:p>
        </w:tc>
        <w:tc>
          <w:tcPr>
            <w:tcW w:w="3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6"/>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w:t>
            </w: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2800 Dehesa Road</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4"/>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Singing Hills Memorial Park</w:t>
            </w: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 Cajon, California</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1995</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97</w:t>
            </w:r>
          </w:p>
        </w:tc>
        <w:tc>
          <w:tcPr>
            <w:tcW w:w="1240" w:type="dxa"/>
            <w:vAlign w:val="bottom"/>
            <w:gridSpan w:val="3"/>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91 (2)</w:t>
            </w:r>
          </w:p>
        </w:tc>
      </w:tr>
      <w:tr>
        <w:trPr>
          <w:trHeight w:val="216"/>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98"/>
        </w:trPr>
        <w:tc>
          <w:tcPr>
            <w:tcW w:w="25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SNR-SF Cemetery LLC Santa</w:t>
            </w:r>
          </w:p>
        </w:tc>
        <w:tc>
          <w:tcPr>
            <w:tcW w:w="33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417 Rodeo Rd</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4"/>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 Memorial Gardens</w:t>
            </w: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Santa Fe, New Mexico</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 (3)</w:t>
            </w: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88"/>
              </w:rPr>
              <w:t>5</w:t>
            </w:r>
          </w:p>
        </w:tc>
        <w:tc>
          <w:tcPr>
            <w:tcW w:w="1240" w:type="dxa"/>
            <w:vAlign w:val="bottom"/>
            <w:gridSpan w:val="3"/>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both reserved and occupied spaces.</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 open easement with a total acreage of approximately 62 acres.</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five main columbariums that can hold approximately 6,000 inurnments.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Item 2. Properties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location, square footage and the number of viewing rooms and chapels of the twelve Company owned mortuaries: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Date</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Viewing</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Square</w:t>
            </w:r>
          </w:p>
        </w:tc>
      </w:tr>
      <w:tr>
        <w:trPr>
          <w:trHeight w:val="234"/>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of Mortuary</w:t>
            </w: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Location</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Acquired</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Room(s)</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Chapel(s)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Footage</w:t>
            </w:r>
          </w:p>
        </w:tc>
      </w:tr>
      <w:tr>
        <w:trPr>
          <w:trHeight w:val="191"/>
        </w:trPr>
        <w:tc>
          <w:tcPr>
            <w:tcW w:w="226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Memorial Mortuary, Inc.</w:t>
            </w:r>
          </w:p>
        </w:tc>
        <w:tc>
          <w:tcPr>
            <w:tcW w:w="240" w:type="dxa"/>
            <w:vAlign w:val="bottom"/>
            <w:tcBorders>
              <w:top w:val="single" w:sz="8" w:color="CCEEFF"/>
            </w:tcBorders>
            <w:shd w:val="clear" w:color="auto" w:fill="CCEEFF"/>
          </w:tcPr>
          <w:p>
            <w:pPr>
              <w:spacing w:after="0"/>
              <w:rPr>
                <w:sz w:val="16"/>
                <w:szCs w:val="16"/>
                <w:color w:val="auto"/>
              </w:rPr>
            </w:pPr>
          </w:p>
        </w:tc>
        <w:tc>
          <w:tcPr>
            <w:tcW w:w="33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r>
      <w:tr>
        <w:trPr>
          <w:trHeight w:val="234"/>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Memorial Mortuary</w:t>
            </w: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5850 South 900 East, Murray, Utah</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1973</w:t>
            </w: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20,000</w:t>
            </w:r>
          </w:p>
        </w:tc>
      </w:tr>
      <w:tr>
        <w:trPr>
          <w:trHeight w:val="216"/>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8"/>
        </w:trPr>
        <w:tc>
          <w:tcPr>
            <w:tcW w:w="25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Affordable Funerals and</w:t>
            </w:r>
          </w:p>
        </w:tc>
        <w:tc>
          <w:tcPr>
            <w:tcW w:w="36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157 East Riverside Dr., No. 3A, St. George,</w:t>
            </w: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34"/>
        </w:trPr>
        <w:tc>
          <w:tcPr>
            <w:tcW w:w="2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Cremations, St. George</w:t>
            </w: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Utah</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2,360</w:t>
            </w:r>
          </w:p>
        </w:tc>
      </w:tr>
      <w:tr>
        <w:trPr>
          <w:trHeight w:val="216"/>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8"/>
        </w:trPr>
        <w:tc>
          <w:tcPr>
            <w:tcW w:w="25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Memorial Estates, Inc.</w:t>
            </w:r>
          </w:p>
        </w:tc>
        <w:tc>
          <w:tcPr>
            <w:tcW w:w="3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34"/>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Redwood Mortuary (1)</w:t>
            </w: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6500 South Redwood Rd., West Jordan, Utah</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1973</w:t>
            </w: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10,000</w:t>
            </w:r>
          </w:p>
        </w:tc>
      </w:tr>
      <w:tr>
        <w:trPr>
          <w:trHeight w:val="216"/>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8"/>
        </w:trPr>
        <w:tc>
          <w:tcPr>
            <w:tcW w:w="25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Memorial Estates, Inc.</w:t>
            </w:r>
          </w:p>
        </w:tc>
        <w:tc>
          <w:tcPr>
            <w:tcW w:w="3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34"/>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Mountain View Mortuary (1)</w:t>
            </w: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3115 East 7800 South, Salt Lake City, Utah</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1973</w:t>
            </w: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16,000</w:t>
            </w:r>
          </w:p>
        </w:tc>
      </w:tr>
      <w:tr>
        <w:trPr>
          <w:trHeight w:val="216"/>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8"/>
        </w:trPr>
        <w:tc>
          <w:tcPr>
            <w:tcW w:w="25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Memorial Estates, Inc.</w:t>
            </w:r>
          </w:p>
        </w:tc>
        <w:tc>
          <w:tcPr>
            <w:tcW w:w="3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34"/>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Lakeview Mortuary (1)</w:t>
            </w: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1640 East Lakeview Dr., Bountiful, Utah</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1973</w:t>
            </w: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5,500</w:t>
            </w:r>
          </w:p>
        </w:tc>
      </w:tr>
      <w:tr>
        <w:trPr>
          <w:trHeight w:val="216"/>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8"/>
        </w:trPr>
        <w:tc>
          <w:tcPr>
            <w:tcW w:w="25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Deseret Memorial Inc.</w:t>
            </w:r>
          </w:p>
        </w:tc>
        <w:tc>
          <w:tcPr>
            <w:tcW w:w="3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34"/>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Lakehills Mortuary (1)</w:t>
            </w: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10055 South State St., Sandy, Utah</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1991</w:t>
            </w: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18,000</w:t>
            </w:r>
          </w:p>
        </w:tc>
      </w:tr>
      <w:tr>
        <w:trPr>
          <w:trHeight w:val="216"/>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8"/>
        </w:trPr>
        <w:tc>
          <w:tcPr>
            <w:tcW w:w="25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Cottonwood Mortuary, Inc.</w:t>
            </w:r>
          </w:p>
        </w:tc>
        <w:tc>
          <w:tcPr>
            <w:tcW w:w="3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34"/>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Cottonwood Mortuary</w:t>
            </w: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4670 South Highland Dr., Holladay, Utah</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1991</w:t>
            </w: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14,500</w:t>
            </w:r>
          </w:p>
        </w:tc>
      </w:tr>
      <w:tr>
        <w:trPr>
          <w:trHeight w:val="216"/>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8"/>
        </w:trPr>
        <w:tc>
          <w:tcPr>
            <w:tcW w:w="25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SN Probst LLC</w:t>
            </w:r>
          </w:p>
        </w:tc>
        <w:tc>
          <w:tcPr>
            <w:tcW w:w="3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34"/>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Heber Valley Funeral Home</w:t>
            </w: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288 North Main St., Heber City, Utah</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5,900</w:t>
            </w:r>
          </w:p>
        </w:tc>
      </w:tr>
      <w:tr>
        <w:trPr>
          <w:trHeight w:val="216"/>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8"/>
        </w:trPr>
        <w:tc>
          <w:tcPr>
            <w:tcW w:w="25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SN Holbrook LLC</w:t>
            </w:r>
          </w:p>
        </w:tc>
        <w:tc>
          <w:tcPr>
            <w:tcW w:w="3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34"/>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Milcreek Funeral Home</w:t>
            </w: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3251 S 2300 E, Millcreek, Utah</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6,300</w:t>
            </w:r>
          </w:p>
        </w:tc>
      </w:tr>
      <w:tr>
        <w:trPr>
          <w:trHeight w:val="216"/>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8"/>
        </w:trPr>
        <w:tc>
          <w:tcPr>
            <w:tcW w:w="25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SNR-SF Mortuary LLC</w:t>
            </w:r>
          </w:p>
        </w:tc>
        <w:tc>
          <w:tcPr>
            <w:tcW w:w="3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6"/>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Rivera Family Funeral Home</w:t>
            </w:r>
          </w:p>
        </w:tc>
        <w:tc>
          <w:tcPr>
            <w:tcW w:w="3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4"/>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Santa Fe (1)</w:t>
            </w: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417 Rodeo RD, Santa Fe, New Mexico</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7,700</w:t>
            </w:r>
          </w:p>
        </w:tc>
      </w:tr>
      <w:tr>
        <w:trPr>
          <w:trHeight w:val="216"/>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8"/>
        </w:trPr>
        <w:tc>
          <w:tcPr>
            <w:tcW w:w="25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SNR-Espanola LLC</w:t>
            </w:r>
          </w:p>
        </w:tc>
        <w:tc>
          <w:tcPr>
            <w:tcW w:w="3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6"/>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Rivera Family Funeral Home</w:t>
            </w:r>
          </w:p>
        </w:tc>
        <w:tc>
          <w:tcPr>
            <w:tcW w:w="3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4"/>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Española</w:t>
            </w: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305 Calle Salazar, Española, New Mexico</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10,400</w:t>
            </w:r>
          </w:p>
        </w:tc>
      </w:tr>
      <w:tr>
        <w:trPr>
          <w:trHeight w:val="216"/>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8"/>
        </w:trPr>
        <w:tc>
          <w:tcPr>
            <w:tcW w:w="25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SNR-Taos LLC</w:t>
            </w:r>
          </w:p>
        </w:tc>
        <w:tc>
          <w:tcPr>
            <w:tcW w:w="3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6"/>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Rivera Family Funeral Home</w:t>
            </w:r>
          </w:p>
        </w:tc>
        <w:tc>
          <w:tcPr>
            <w:tcW w:w="3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4"/>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Taos</w:t>
            </w: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818 Paseo Del Pueblo Sur, Taos, New Mexico</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9,600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jc w:val="right"/>
        <w:ind w:left="5540" w:right="5520" w:hanging="5532"/>
        <w:spacing w:after="0" w:line="409" w:lineRule="auto"/>
        <w:tabs>
          <w:tab w:leader="none" w:pos="26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funeral homes also provide burial niches at their respective locations.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is not a party to any material legal proceedings outside the ordinary course of business or to any other legal proceedings, which if adversely determined, would be expected to have a material adverse effect on its financial condition or results of operation.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the Registrant’s Common Stock, Related Stockholder Matters, and Issuer Purchases of Equity Securities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Class A Common Stock trades on The Nasdaq Global Select Market under the symbol “SNFCA.” As of March 12, 2026, the closing stock price of the Class A Common Stock was $8.67 per share. As of March 12, 2026, there were 1,521 registered stockholders of record of the Company’s Class A Common Stock and 43 registered stockholders of record of the Company’s Class C Common Stock. Because many of the Company’s shares of Class A Common Stock are held by brokers and other institutions on behalf of the stockholders, the Company is unable to estimate the total number of stockholders represented by these record holders.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were the high and low market closing stock prices for the Class A Common Stock by quarter as reported by NASDAQ since January 1, 2024:</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Price Range (1)</w:t>
            </w:r>
          </w:p>
        </w:tc>
      </w:tr>
      <w:tr>
        <w:trPr>
          <w:trHeight w:val="223"/>
        </w:trPr>
        <w:tc>
          <w:tcPr>
            <w:tcW w:w="4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High</w:t>
            </w: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Low</w:t>
            </w:r>
          </w:p>
        </w:tc>
        <w:tc>
          <w:tcPr>
            <w:tcW w:w="40" w:type="dxa"/>
            <w:vAlign w:val="bottom"/>
          </w:tcPr>
          <w:p>
            <w:pPr>
              <w:spacing w:after="0"/>
              <w:rPr>
                <w:sz w:val="19"/>
                <w:szCs w:val="19"/>
                <w:color w:val="auto"/>
              </w:rPr>
            </w:pPr>
          </w:p>
        </w:tc>
      </w:tr>
      <w:tr>
        <w:trPr>
          <w:trHeight w:val="223"/>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Period (Calendar Year)</w:t>
            </w:r>
          </w:p>
        </w:tc>
        <w:tc>
          <w:tcPr>
            <w:tcW w:w="14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CCEEFF"/>
            </w:tcBorders>
          </w:tcPr>
          <w:p>
            <w:pPr>
              <w:spacing w:after="0"/>
              <w:rPr>
                <w:sz w:val="19"/>
                <w:szCs w:val="19"/>
                <w:color w:val="auto"/>
              </w:rPr>
            </w:pPr>
          </w:p>
        </w:tc>
        <w:tc>
          <w:tcPr>
            <w:tcW w:w="920" w:type="dxa"/>
            <w:vAlign w:val="bottom"/>
            <w:tcBorders>
              <w:top w:val="single" w:sz="8" w:color="auto"/>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CCEEFF"/>
            </w:tcBorders>
          </w:tcPr>
          <w:p>
            <w:pPr>
              <w:spacing w:after="0"/>
              <w:rPr>
                <w:sz w:val="19"/>
                <w:szCs w:val="19"/>
                <w:color w:val="auto"/>
              </w:rPr>
            </w:pPr>
          </w:p>
        </w:tc>
        <w:tc>
          <w:tcPr>
            <w:tcW w:w="920" w:type="dxa"/>
            <w:vAlign w:val="bottom"/>
            <w:tcBorders>
              <w:top w:val="single" w:sz="8" w:color="auto"/>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r>
      <w:tr>
        <w:trPr>
          <w:trHeight w:val="210"/>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First Quarter</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8.20</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6.91</w:t>
            </w:r>
          </w:p>
        </w:tc>
      </w:tr>
      <w:tr>
        <w:trPr>
          <w:trHeight w:val="21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Second Quarter</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7.62</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5.90</w:t>
            </w:r>
          </w:p>
        </w:tc>
      </w:tr>
      <w:tr>
        <w:trPr>
          <w:trHeight w:val="216"/>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Third Quarter</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8.76</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Fourth Quarter</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12.78</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8.69</w:t>
            </w:r>
          </w:p>
        </w:tc>
      </w:tr>
      <w:tr>
        <w:trPr>
          <w:trHeight w:val="216"/>
        </w:trPr>
        <w:tc>
          <w:tcPr>
            <w:tcW w:w="4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First Quarter</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12.82</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10.77</w:t>
            </w:r>
          </w:p>
        </w:tc>
      </w:tr>
      <w:tr>
        <w:trPr>
          <w:trHeight w:val="21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Second Quarter</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10.81</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8.53</w:t>
            </w:r>
          </w:p>
        </w:tc>
      </w:tr>
      <w:tr>
        <w:trPr>
          <w:trHeight w:val="216"/>
        </w:trPr>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Third Quarter</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9.91</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8.35</w:t>
            </w:r>
          </w:p>
        </w:tc>
      </w:tr>
      <w:tr>
        <w:trPr>
          <w:trHeight w:val="216"/>
        </w:trPr>
        <w:tc>
          <w:tcPr>
            <w:tcW w:w="4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Fourth Quarter</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9.44</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7.76</w:t>
            </w:r>
          </w:p>
        </w:tc>
      </w:tr>
      <w:tr>
        <w:trPr>
          <w:trHeight w:val="216"/>
        </w:trPr>
        <w:tc>
          <w:tcPr>
            <w:tcW w:w="4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 (through March 12, 2026)</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9.36</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Stock prices have been adjusted retroactively for the effect of annual stock dividends.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Class C Common Stock is not registered or traded on a national exchange. See Note 18 of the Notes to Consolidated Financial Statements.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never paid a cash dividend on its Class A or Class C Common Stock. The Company currently anticipates that all its earnings will be retained for use in the operation and expansion of its business and does not intend to pay any cash dividends on its Class A or Class C Common Stock in the foreseeable future. Any future determination as to cash dividends will depend upon the earnings and financial position of the Company and such other factors as its Board of Directors may deem appropriate. The Company paid a 5% stock dividend on Class A and Class C Common Stock each year from 1990 through 2019, a 7.5% stock dividend for the year 2020, and a 5.0% stock dividend for the years 2021 through 2025.</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 w:name="page19"/>
    <w:bookmarkEnd w:id="18"/>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did not have any share repurchases during the three-month period ended December 31, 2025. The Company did not have a 10b5-1 share repurchase plan in effect during the three-month period ended December 31, 2025. On February 16, 2026, the Company executed a 10b5-1 agreement with a broker to repurchase shares of the Company’s Class A Common Stock. Under the terms of the agreement, the broker is permitted to repurchase up to $1,000,000 of the Company’s Class A Common Stock. Purchases may commence on March 16, 2026. The agreement is subject to the daily time, price, and volume conditions of Rule 10b-18. The agreement expires on December 31, 2026.</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ind w:right="1300"/>
        <w:spacing w:after="0"/>
        <w:rPr>
          <w:sz w:val="20"/>
          <w:szCs w:val="20"/>
          <w:color w:val="auto"/>
        </w:rPr>
      </w:pPr>
      <w:r>
        <w:rPr>
          <w:rFonts w:ascii="Times New Roman" w:cs="Times New Roman" w:eastAsia="Times New Roman" w:hAnsi="Times New Roman"/>
          <w:sz w:val="18"/>
          <w:szCs w:val="18"/>
          <w:color w:val="auto"/>
        </w:rPr>
        <w:t>Period</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10/1/2025-10/31/2025</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11/1/2025-11/30/2025</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12/1/2025-12/31/2025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(c) Total Number of</w:t>
            </w:r>
          </w:p>
        </w:tc>
        <w:tc>
          <w:tcPr>
            <w:tcW w:w="14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(d) Maximum</w:t>
            </w:r>
          </w:p>
        </w:tc>
      </w:tr>
      <w:tr>
        <w:trPr>
          <w:trHeight w:val="216"/>
        </w:trPr>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Class A Shares</w:t>
            </w:r>
          </w:p>
        </w:tc>
        <w:tc>
          <w:tcPr>
            <w:tcW w:w="14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8"/>
              </w:rPr>
              <w:t>Number of Class A</w:t>
            </w:r>
          </w:p>
        </w:tc>
      </w:tr>
      <w:tr>
        <w:trPr>
          <w:trHeight w:val="216"/>
        </w:trPr>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Purchased as Part</w:t>
            </w:r>
          </w:p>
        </w:tc>
        <w:tc>
          <w:tcPr>
            <w:tcW w:w="14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Shares that May</w:t>
            </w:r>
          </w:p>
        </w:tc>
      </w:tr>
      <w:tr>
        <w:trPr>
          <w:trHeight w:val="216"/>
        </w:trPr>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(a) Total Number of</w:t>
            </w:r>
          </w:p>
        </w:tc>
        <w:tc>
          <w:tcPr>
            <w:tcW w:w="100" w:type="dxa"/>
            <w:vAlign w:val="bottom"/>
          </w:tcPr>
          <w:p>
            <w:pPr>
              <w:spacing w:after="0"/>
              <w:rPr>
                <w:sz w:val="18"/>
                <w:szCs w:val="18"/>
                <w:color w:val="auto"/>
              </w:rPr>
            </w:pPr>
          </w:p>
        </w:tc>
        <w:tc>
          <w:tcPr>
            <w:tcW w:w="17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8"/>
              </w:rPr>
              <w:t>(b) Average Price</w:t>
            </w: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of Publicly</w:t>
            </w:r>
          </w:p>
        </w:tc>
        <w:tc>
          <w:tcPr>
            <w:tcW w:w="14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7"/>
              </w:rPr>
              <w:t>Yet Be Purchased</w:t>
            </w:r>
          </w:p>
        </w:tc>
      </w:tr>
      <w:tr>
        <w:trPr>
          <w:trHeight w:val="216"/>
        </w:trPr>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Class A Shares</w:t>
            </w:r>
          </w:p>
        </w:tc>
        <w:tc>
          <w:tcPr>
            <w:tcW w:w="100" w:type="dxa"/>
            <w:vAlign w:val="bottom"/>
          </w:tcPr>
          <w:p>
            <w:pPr>
              <w:spacing w:after="0"/>
              <w:rPr>
                <w:sz w:val="18"/>
                <w:szCs w:val="18"/>
                <w:color w:val="auto"/>
              </w:rPr>
            </w:pPr>
          </w:p>
        </w:tc>
        <w:tc>
          <w:tcPr>
            <w:tcW w:w="17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Paid per Class A</w:t>
            </w: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Announced Plan or</w:t>
            </w:r>
          </w:p>
        </w:tc>
        <w:tc>
          <w:tcPr>
            <w:tcW w:w="14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8"/>
              </w:rPr>
              <w:t>Under the Plan or</w:t>
            </w:r>
          </w:p>
        </w:tc>
      </w:tr>
      <w:tr>
        <w:trPr>
          <w:trHeight w:val="234"/>
        </w:trPr>
        <w:tc>
          <w:tcPr>
            <w:tcW w:w="18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Purchased</w:t>
            </w:r>
          </w:p>
        </w:tc>
        <w:tc>
          <w:tcPr>
            <w:tcW w:w="100" w:type="dxa"/>
            <w:vAlign w:val="bottom"/>
          </w:tcPr>
          <w:p>
            <w:pPr>
              <w:spacing w:after="0"/>
              <w:rPr>
                <w:sz w:val="20"/>
                <w:szCs w:val="20"/>
                <w:color w:val="auto"/>
              </w:rPr>
            </w:pPr>
          </w:p>
        </w:tc>
        <w:tc>
          <w:tcPr>
            <w:tcW w:w="17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Share</w:t>
            </w:r>
          </w:p>
        </w:tc>
        <w:tc>
          <w:tcPr>
            <w:tcW w:w="17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Program</w:t>
            </w:r>
          </w:p>
        </w:tc>
        <w:tc>
          <w:tcPr>
            <w:tcW w:w="14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Program</w:t>
            </w:r>
          </w:p>
        </w:tc>
      </w:tr>
      <w:tr>
        <w:trPr>
          <w:trHeight w:val="191"/>
        </w:trPr>
        <w:tc>
          <w:tcPr>
            <w:tcW w:w="14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6"/>
                <w:szCs w:val="16"/>
                <w:color w:val="auto"/>
              </w:rPr>
            </w:pPr>
          </w:p>
        </w:tc>
        <w:tc>
          <w:tcPr>
            <w:tcW w:w="1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6"/>
                <w:szCs w:val="16"/>
                <w:color w:val="auto"/>
              </w:rPr>
            </w:pPr>
          </w:p>
        </w:tc>
        <w:tc>
          <w:tcPr>
            <w:tcW w:w="14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6"/>
                <w:szCs w:val="16"/>
                <w:color w:val="auto"/>
              </w:rPr>
            </w:pPr>
          </w:p>
        </w:tc>
        <w:tc>
          <w:tcPr>
            <w:tcW w:w="14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94,565</w:t>
            </w:r>
          </w:p>
        </w:tc>
        <w:tc>
          <w:tcPr>
            <w:tcW w:w="20" w:type="dxa"/>
            <w:vAlign w:val="bottom"/>
          </w:tcPr>
          <w:p>
            <w:pPr>
              <w:spacing w:after="0"/>
              <w:rPr>
                <w:sz w:val="16"/>
                <w:szCs w:val="16"/>
                <w:color w:val="auto"/>
              </w:rPr>
            </w:pPr>
          </w:p>
        </w:tc>
      </w:tr>
      <w:tr>
        <w:trPr>
          <w:trHeight w:val="230"/>
        </w:trPr>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94,565</w:t>
            </w:r>
          </w:p>
        </w:tc>
      </w:tr>
      <w:tr>
        <w:trPr>
          <w:trHeight w:val="234"/>
        </w:trPr>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94,565</w:t>
            </w:r>
          </w:p>
        </w:tc>
      </w:tr>
      <w:tr>
        <w:trPr>
          <w:trHeight w:val="223"/>
        </w:trPr>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94,565</w:t>
            </w: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-325120</wp:posOffset>
            </wp:positionV>
            <wp:extent cx="713232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-607695</wp:posOffset>
            </wp:positionV>
            <wp:extent cx="71323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3560" w:space="720"/>
            <w:col w:w="6960"/>
          </w:cols>
          <w:pgMar w:left="320" w:top="688" w:right="339" w:bottom="1440" w:gutter="0" w:footer="0" w:header="0"/>
          <w:type w:val="continuous"/>
        </w:sect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See Note 21 to Notes to the Consolidated Financial Statements for information about the Company’s equity compensation plans approved by security holders.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19" w:name="page20"/>
    <w:bookmarkEnd w:id="19"/>
    <w:p>
      <w:pPr>
        <w:jc w:val="both"/>
        <w:spacing w:after="0" w:line="261" w:lineRule="auto"/>
        <w:rPr>
          <w:sz w:val="20"/>
          <w:szCs w:val="20"/>
          <w:color w:val="auto"/>
        </w:rPr>
      </w:pPr>
      <w:r>
        <w:rPr>
          <w:rFonts w:ascii="Times New Roman" w:cs="Times New Roman" w:eastAsia="Times New Roman" w:hAnsi="Times New Roman"/>
          <w:sz w:val="18"/>
          <w:szCs w:val="18"/>
          <w:color w:val="auto"/>
        </w:rPr>
        <w:t>The graph below compares the cumulative total stockholder return of the Company’s Class A Common Stock with the cumulative total return on the Standard &amp; Poor’s 500 Stock Index and the Standard &amp; Poor’s Insurance Index for the period from December 31, 2021 through December 31, 2025. The graph assumes that the value of the investment in the Company’s Class A Common Stock and in each of the indexes was $100 as of December 31, 2021 and that all dividends were reinvested.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comparisons in the graph below are based on historical data and are not intended to forecast the possible future performance of the Company’s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114300</wp:posOffset>
            </wp:positionV>
            <wp:extent cx="5743575" cy="386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43575" cy="3865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334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12/31/21</w:t>
            </w:r>
          </w:p>
        </w:tc>
        <w:tc>
          <w:tcPr>
            <w:tcW w:w="16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12/31/22</w:t>
            </w:r>
          </w:p>
        </w:tc>
        <w:tc>
          <w:tcPr>
            <w:tcW w:w="16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12/31/23</w:t>
            </w:r>
          </w:p>
        </w:tc>
        <w:tc>
          <w:tcPr>
            <w:tcW w:w="18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12/31/24</w:t>
            </w:r>
          </w:p>
        </w:tc>
        <w:tc>
          <w:tcPr>
            <w:tcW w:w="18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12/31/25</w:t>
            </w:r>
          </w:p>
        </w:tc>
      </w:tr>
      <w:tr>
        <w:trPr>
          <w:trHeight w:val="210"/>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SNFC</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83</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151</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119</w:t>
            </w: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S &amp; P 500</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1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81</w:t>
            </w:r>
          </w:p>
        </w:tc>
        <w:tc>
          <w:tcPr>
            <w:tcW w:w="1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123</w:t>
            </w:r>
          </w:p>
        </w:tc>
        <w:tc>
          <w:tcPr>
            <w:tcW w:w="1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 &amp; P Insurance</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116</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145</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148</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stock performance graph set forth above is required by the Securities and Exchange Commission and shall not be deemed to be incorporated by reference by any general statement incorporating by reference this Form 10-K into any filing under the Securities Act of 1933, as amended, or under the Securities Exchange Act of 1934, as amended, except to the extent that the Company specifically incorporates this information by reference, and shall not otherwise be deemed soliciting material or filed under such acts.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the Company is not required to provide information typically disclosed under this item.</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operations over the last several years generally reflect three strategies which the Company expects to continue: (i) increased attention to “niche” insurance products, such as the Company’s funeral plan policies and traditional whole life products; (ii) increased emphasis on cemetery and mortuary business; and (iii) capitalizing on the housing market by originating mortgage loans.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shows the condensed financial results for the Company’s insurance operations for 2025, and 2024. See Note 20 of the Notes to Consolidated Financial Statements. See Note 1 of the Notes to Consolidated Financial Statements regarding the adoption of ASU 2018-12.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20" w:type="dxa"/>
            <w:vAlign w:val="bottom"/>
            <w:gridSpan w:val="9"/>
          </w:tcPr>
          <w:p>
            <w:pPr>
              <w:jc w:val="center"/>
              <w:ind w:right="480"/>
              <w:spacing w:after="0"/>
              <w:rPr>
                <w:sz w:val="20"/>
                <w:szCs w:val="20"/>
                <w:color w:val="auto"/>
              </w:rPr>
            </w:pPr>
            <w:r>
              <w:rPr>
                <w:rFonts w:ascii="Times New Roman" w:cs="Times New Roman" w:eastAsia="Times New Roman" w:hAnsi="Times New Roman"/>
                <w:sz w:val="18"/>
                <w:szCs w:val="18"/>
                <w:color w:val="auto"/>
                <w:w w:val="98"/>
              </w:rPr>
              <w:t>Years ended December 31</w:t>
            </w:r>
          </w:p>
        </w:tc>
        <w:tc>
          <w:tcPr>
            <w:tcW w:w="0" w:type="dxa"/>
            <w:vAlign w:val="bottom"/>
          </w:tcPr>
          <w:p>
            <w:pPr>
              <w:spacing w:after="0"/>
              <w:rPr>
                <w:sz w:val="1"/>
                <w:szCs w:val="1"/>
                <w:color w:val="auto"/>
              </w:rPr>
            </w:pPr>
          </w:p>
        </w:tc>
      </w:tr>
      <w:tr>
        <w:trPr>
          <w:trHeight w:val="234"/>
        </w:trPr>
        <w:tc>
          <w:tcPr>
            <w:tcW w:w="36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6"/>
          </w:tcPr>
          <w:p>
            <w:pPr>
              <w:jc w:val="center"/>
              <w:ind w:left="730"/>
              <w:spacing w:after="0"/>
              <w:rPr>
                <w:sz w:val="20"/>
                <w:szCs w:val="20"/>
                <w:color w:val="auto"/>
              </w:rPr>
            </w:pPr>
            <w:r>
              <w:rPr>
                <w:rFonts w:ascii="Times New Roman" w:cs="Times New Roman" w:eastAsia="Times New Roman" w:hAnsi="Times New Roman"/>
                <w:sz w:val="18"/>
                <w:szCs w:val="18"/>
                <w:color w:val="auto"/>
              </w:rPr>
              <w:t>(in thousands of dollars)</w:t>
            </w:r>
          </w:p>
        </w:tc>
        <w:tc>
          <w:tcPr>
            <w:tcW w:w="10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w w:val="98"/>
              </w:rPr>
              <w:t>2025 vs 2024</w:t>
            </w:r>
          </w:p>
        </w:tc>
        <w:tc>
          <w:tcPr>
            <w:tcW w:w="2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 Increase</w:t>
            </w:r>
          </w:p>
        </w:tc>
        <w:tc>
          <w:tcPr>
            <w:tcW w:w="0" w:type="dxa"/>
            <w:vAlign w:val="bottom"/>
          </w:tcPr>
          <w:p>
            <w:pPr>
              <w:spacing w:after="0"/>
              <w:rPr>
                <w:sz w:val="1"/>
                <w:szCs w:val="1"/>
                <w:color w:val="auto"/>
              </w:rPr>
            </w:pPr>
          </w:p>
        </w:tc>
      </w:tr>
      <w:tr>
        <w:trPr>
          <w:trHeight w:val="234"/>
        </w:trPr>
        <w:tc>
          <w:tcPr>
            <w:tcW w:w="3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2024</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(Decrease)</w:t>
            </w:r>
          </w:p>
        </w:tc>
        <w:tc>
          <w:tcPr>
            <w:tcW w:w="0" w:type="dxa"/>
            <w:vAlign w:val="bottom"/>
          </w:tcPr>
          <w:p>
            <w:pPr>
              <w:spacing w:after="0"/>
              <w:rPr>
                <w:sz w:val="1"/>
                <w:szCs w:val="1"/>
                <w:color w:val="auto"/>
              </w:rPr>
            </w:pPr>
          </w:p>
        </w:tc>
      </w:tr>
      <w:tr>
        <w:trPr>
          <w:trHeight w:val="210"/>
        </w:trPr>
        <w:tc>
          <w:tcPr>
            <w:tcW w:w="3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Insurance premiums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119,757</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119,656</w:t>
            </w:r>
          </w:p>
        </w:tc>
        <w:tc>
          <w:tcPr>
            <w:tcW w:w="80" w:type="dxa"/>
            <w:vAlign w:val="bottom"/>
          </w:tcPr>
          <w:p>
            <w:pPr>
              <w:spacing w:after="0"/>
              <w:rPr>
                <w:sz w:val="18"/>
                <w:szCs w:val="18"/>
                <w:color w:val="auto"/>
              </w:rPr>
            </w:pP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76,379</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68,255</w:t>
            </w:r>
          </w:p>
        </w:tc>
        <w:tc>
          <w:tcPr>
            <w:tcW w:w="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Gains on investments and other assets</w:t>
            </w: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3,229</w:t>
            </w: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2,055</w:t>
            </w:r>
          </w:p>
        </w:tc>
        <w:tc>
          <w:tcPr>
            <w:tcW w:w="80" w:type="dxa"/>
            <w:vAlign w:val="bottom"/>
          </w:tcPr>
          <w:p>
            <w:pPr>
              <w:spacing w:after="0"/>
              <w:rPr>
                <w:sz w:val="18"/>
                <w:szCs w:val="18"/>
                <w:color w:val="auto"/>
              </w:rPr>
            </w:pP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1,904</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1,564</w:t>
            </w:r>
          </w:p>
        </w:tc>
        <w:tc>
          <w:tcPr>
            <w:tcW w:w="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Intersegment revenues</w:t>
            </w:r>
          </w:p>
        </w:tc>
        <w:tc>
          <w:tcPr>
            <w:tcW w:w="26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6,996</w:t>
            </w:r>
          </w:p>
        </w:tc>
        <w:tc>
          <w:tcPr>
            <w:tcW w:w="26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7,272</w:t>
            </w:r>
          </w:p>
        </w:tc>
        <w:tc>
          <w:tcPr>
            <w:tcW w:w="8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3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 revenues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208,265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198,802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Segment net earnings</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line="20" w:lineRule="exact"/>
              <w:rPr>
                <w:sz w:val="1"/>
                <w:szCs w:val="1"/>
                <w:color w:val="auto"/>
              </w:rPr>
            </w:pPr>
          </w:p>
        </w:tc>
      </w:tr>
      <w:tr>
        <w:trPr>
          <w:trHeight w:val="196"/>
        </w:trPr>
        <w:tc>
          <w:tcPr>
            <w:tcW w:w="3680" w:type="dxa"/>
            <w:vAlign w:val="bottom"/>
            <w:vMerge w:val="continue"/>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29,439</w:t>
            </w:r>
          </w:p>
        </w:tc>
        <w:tc>
          <w:tcPr>
            <w:tcW w:w="220" w:type="dxa"/>
            <w:vAlign w:val="bottom"/>
            <w:vMerge w:val="continue"/>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27,435</w:t>
            </w:r>
          </w:p>
        </w:tc>
        <w:tc>
          <w:tcPr>
            <w:tcW w:w="2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2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Profitability for 2025 increased due to (a) a $8,124,000 increase in net investment income, (b) a $1,174,000 increase in gains on investments and other assets, (c) a $340,000 increase in other revenues, (d) a $219,000 decrease in intersegment expenses, and (e) a $101,000 increase in insurance premiums and other considerations, which were partially offset by (i) a $6,134,000 increase in selling, general and administrative expenses, (ii) a $711,000 increase in amortization of deferred policy acquisition costs, (iii) a $621,000 increase in income tax expense, (iv) a $276,000 decrease in intersegment revenue, (v) a $205,000 increase in policyholder benefits and claims, and (vi) a $7,000 increase in interest expense.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Cemetery and Mortuary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shows the condensed financial results for the Company’s cemetery and mortuary operations for 2025, and 2024. See Note 20 of the Notes to Consolidated Financial Statements.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20" w:type="dxa"/>
            <w:vAlign w:val="bottom"/>
            <w:gridSpan w:val="8"/>
          </w:tcPr>
          <w:p>
            <w:pPr>
              <w:jc w:val="center"/>
              <w:ind w:right="370"/>
              <w:spacing w:after="0"/>
              <w:rPr>
                <w:sz w:val="20"/>
                <w:szCs w:val="20"/>
                <w:color w:val="auto"/>
              </w:rPr>
            </w:pPr>
            <w:r>
              <w:rPr>
                <w:rFonts w:ascii="Times New Roman" w:cs="Times New Roman" w:eastAsia="Times New Roman" w:hAnsi="Times New Roman"/>
                <w:sz w:val="18"/>
                <w:szCs w:val="18"/>
                <w:color w:val="auto"/>
                <w:w w:val="99"/>
              </w:rPr>
              <w:t>Years ended December 31</w:t>
            </w:r>
          </w:p>
        </w:tc>
      </w:tr>
      <w:tr>
        <w:trPr>
          <w:trHeight w:val="234"/>
        </w:trPr>
        <w:tc>
          <w:tcPr>
            <w:tcW w:w="3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6"/>
          </w:tcPr>
          <w:p>
            <w:pPr>
              <w:jc w:val="center"/>
              <w:ind w:left="750"/>
              <w:spacing w:after="0"/>
              <w:rPr>
                <w:sz w:val="20"/>
                <w:szCs w:val="20"/>
                <w:color w:val="auto"/>
              </w:rPr>
            </w:pPr>
            <w:r>
              <w:rPr>
                <w:rFonts w:ascii="Times New Roman" w:cs="Times New Roman" w:eastAsia="Times New Roman" w:hAnsi="Times New Roman"/>
                <w:sz w:val="18"/>
                <w:szCs w:val="18"/>
                <w:color w:val="auto"/>
                <w:w w:val="99"/>
              </w:rPr>
              <w:t>(in thousands of dollars)</w:t>
            </w:r>
          </w:p>
        </w:tc>
        <w:tc>
          <w:tcPr>
            <w:tcW w:w="10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191"/>
        </w:trPr>
        <w:tc>
          <w:tcPr>
            <w:tcW w:w="3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2025 vs 2024</w:t>
            </w:r>
          </w:p>
        </w:tc>
        <w:tc>
          <w:tcPr>
            <w:tcW w:w="220" w:type="dxa"/>
            <w:vAlign w:val="bottom"/>
          </w:tcPr>
          <w:p>
            <w:pPr>
              <w:spacing w:after="0"/>
              <w:rPr>
                <w:sz w:val="16"/>
                <w:szCs w:val="16"/>
                <w:color w:val="auto"/>
              </w:rPr>
            </w:pPr>
          </w:p>
        </w:tc>
      </w:tr>
      <w:tr>
        <w:trPr>
          <w:trHeight w:val="216"/>
        </w:trPr>
        <w:tc>
          <w:tcPr>
            <w:tcW w:w="3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8"/>
              </w:rPr>
              <w:t>% Increase</w:t>
            </w:r>
          </w:p>
        </w:tc>
      </w:tr>
      <w:tr>
        <w:trPr>
          <w:trHeight w:val="234"/>
        </w:trPr>
        <w:tc>
          <w:tcPr>
            <w:tcW w:w="3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2024</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color w:val="auto"/>
              </w:rPr>
              <w:t>(Decrease)</w:t>
            </w:r>
          </w:p>
        </w:tc>
      </w:tr>
      <w:tr>
        <w:trPr>
          <w:trHeight w:val="209"/>
        </w:trPr>
        <w:tc>
          <w:tcPr>
            <w:tcW w:w="3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4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3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Cemetery revenues</w:t>
            </w:r>
          </w:p>
        </w:tc>
        <w:tc>
          <w:tcPr>
            <w:tcW w:w="72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15,243</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16,101</w:t>
            </w:r>
          </w:p>
        </w:tc>
        <w:tc>
          <w:tcPr>
            <w:tcW w:w="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3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Mortuary revenues</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13,462</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12,936</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2,345</w:t>
            </w: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2,569</w:t>
            </w:r>
          </w:p>
        </w:tc>
        <w:tc>
          <w:tcPr>
            <w:tcW w:w="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 on investments and other assets</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1,347</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873</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920</w:t>
            </w: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543</w:t>
            </w:r>
          </w:p>
        </w:tc>
        <w:tc>
          <w:tcPr>
            <w:tcW w:w="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30"/>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 revenues</w:t>
            </w:r>
          </w:p>
        </w:tc>
        <w:tc>
          <w:tcPr>
            <w:tcW w:w="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340</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341</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63"/>
        </w:trPr>
        <w:tc>
          <w:tcPr>
            <w:tcW w:w="3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segment revenues</w:t>
            </w:r>
          </w:p>
        </w:tc>
        <w:tc>
          <w:tcPr>
            <w:tcW w:w="48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33,657</w:t>
            </w:r>
          </w:p>
        </w:tc>
        <w:tc>
          <w:tcPr>
            <w:tcW w:w="2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33,363</w:t>
            </w:r>
          </w:p>
        </w:tc>
        <w:tc>
          <w:tcPr>
            <w:tcW w:w="200" w:type="dxa"/>
            <w:vAlign w:val="bottom"/>
            <w:tcBorders>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r>
      <w:tr>
        <w:trPr>
          <w:trHeight w:val="197"/>
        </w:trPr>
        <w:tc>
          <w:tcPr>
            <w:tcW w:w="322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Segment net earnings</w:t>
            </w:r>
          </w:p>
        </w:tc>
        <w:tc>
          <w:tcPr>
            <w:tcW w:w="4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6,584</w:t>
            </w: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6,634</w:t>
            </w:r>
          </w:p>
        </w:tc>
        <w:tc>
          <w:tcPr>
            <w:tcW w:w="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w w:val="95"/>
              </w:rPr>
              <w:t>)%</w:t>
            </w:r>
          </w:p>
        </w:tc>
      </w:tr>
      <w:tr>
        <w:trPr>
          <w:trHeight w:val="20"/>
        </w:trPr>
        <w:tc>
          <w:tcPr>
            <w:tcW w:w="3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Profitability in 2025 decreased due to (a) a $888,000 decrease in cemetery pre-need sales, (b) a $570,000 increase in selling, general and administrative expenses, (c) a $223,000 decrease in net investment income, (d) an $8,000 increase in income tax expense, and (e) a $2,000 increase in interest expense, which were partially offset by (i) a $526,000 increase in mortuary at-need sales, (ii) a $474,000 increase in gains on investments and other assets, (iii) a $377,000 increase in other revenues, (iv) a $143,000 decrease in costs of goods and services sold, (v) a $63,000 decrease in amortization of deferred policy acquisition costs, (vi) a $29,000 increase in cemetery at-need sales, and (vii) a $29,000 decrease in intersegment expenses.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wholly owned subsidiary, SecurityNational Mortgage, is a mortgage lender incorporated under the laws of the State of Utah and approved and regulated by the Federal Housing Administration (FHA), a department of the U.S. Department of Housing and Urban Development (HUD), which originates mortgage loans that qualify for government insurance in the event of default by the borrower, in addition to various conventional mortgage loan products. SecurityNational Mortgage originates and refinances mortgage loans on a retail basis. Mortgage loans originated or refinanced by SecurityNational Mortgage are funded through loan purchase agreements with the Company, Security National Life, Kilpatrick Life, and unaffiliated financial institutions.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SecurityNational Mortgage receives fees from borrowers that are involved in mortgage loan originations and refinancings, and secondary fees earned from third party investors that purchase the mortgage loans. Mortgage loans are generally sold with mortgage servicing rights (“MSRs”) released to third-party investors or retained by SecurityNational Mortgage. SecurityNational Mortgage currently retains the MSRs on approximately 0.85% of its loan origination volume. These mortgage loans are serviced by either SecurityNational Mortgage or an approved third-party sub-servicer.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Mortgage rates have followed the US Treasury yields in response to inflation and slowing new home sales. As expected, the lack of mortgage rate reductions has resulted in a decrease in loan originations classified as ‘refinance.’ Higher than anticipated mortgage rates have also had a negative effect on loan originations classified as ‘purchases’ although not as significant as those in the refinance classification.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2025, and 2024, SecurityNational Mortgage originated 6,844 loans ($2,296,055,000 total volume) and 7,269 loans ($2,295,830,000 total volume),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2" w:name="page23"/>
    <w:bookmarkEnd w:id="22"/>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shows the condensed financial results for the Company’s mortgage operations for 2025, and 2024. See Note 20 of the Notes to Consolidated Financial Statements.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20" w:type="dxa"/>
            <w:vAlign w:val="bottom"/>
            <w:gridSpan w:val="8"/>
          </w:tcPr>
          <w:p>
            <w:pPr>
              <w:jc w:val="center"/>
              <w:ind w:right="370"/>
              <w:spacing w:after="0"/>
              <w:rPr>
                <w:sz w:val="20"/>
                <w:szCs w:val="20"/>
                <w:color w:val="auto"/>
              </w:rPr>
            </w:pPr>
            <w:r>
              <w:rPr>
                <w:rFonts w:ascii="Times New Roman" w:cs="Times New Roman" w:eastAsia="Times New Roman" w:hAnsi="Times New Roman"/>
                <w:sz w:val="18"/>
                <w:szCs w:val="18"/>
                <w:color w:val="auto"/>
                <w:w w:val="99"/>
              </w:rPr>
              <w:t>Years ended December 31</w:t>
            </w:r>
          </w:p>
        </w:tc>
      </w:tr>
      <w:tr>
        <w:trPr>
          <w:trHeight w:val="234"/>
        </w:trPr>
        <w:tc>
          <w:tcPr>
            <w:tcW w:w="3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6"/>
          </w:tcPr>
          <w:p>
            <w:pPr>
              <w:jc w:val="center"/>
              <w:ind w:left="750"/>
              <w:spacing w:after="0"/>
              <w:rPr>
                <w:sz w:val="20"/>
                <w:szCs w:val="20"/>
                <w:color w:val="auto"/>
              </w:rPr>
            </w:pPr>
            <w:r>
              <w:rPr>
                <w:rFonts w:ascii="Times New Roman" w:cs="Times New Roman" w:eastAsia="Times New Roman" w:hAnsi="Times New Roman"/>
                <w:sz w:val="18"/>
                <w:szCs w:val="18"/>
                <w:color w:val="auto"/>
                <w:w w:val="99"/>
              </w:rPr>
              <w:t>(in thousands of dollars)</w:t>
            </w:r>
          </w:p>
        </w:tc>
        <w:tc>
          <w:tcPr>
            <w:tcW w:w="10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191"/>
        </w:trPr>
        <w:tc>
          <w:tcPr>
            <w:tcW w:w="3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2025 vs 2024</w:t>
            </w:r>
          </w:p>
        </w:tc>
        <w:tc>
          <w:tcPr>
            <w:tcW w:w="220" w:type="dxa"/>
            <w:vAlign w:val="bottom"/>
          </w:tcPr>
          <w:p>
            <w:pPr>
              <w:spacing w:after="0"/>
              <w:rPr>
                <w:sz w:val="16"/>
                <w:szCs w:val="16"/>
                <w:color w:val="auto"/>
              </w:rPr>
            </w:pPr>
          </w:p>
        </w:tc>
      </w:tr>
      <w:tr>
        <w:trPr>
          <w:trHeight w:val="216"/>
        </w:trPr>
        <w:tc>
          <w:tcPr>
            <w:tcW w:w="3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8"/>
              </w:rPr>
              <w:t>% Increase</w:t>
            </w:r>
          </w:p>
        </w:tc>
      </w:tr>
      <w:tr>
        <w:trPr>
          <w:trHeight w:val="234"/>
        </w:trPr>
        <w:tc>
          <w:tcPr>
            <w:tcW w:w="3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2024</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color w:val="auto"/>
              </w:rPr>
              <w:t>(Decrease)</w:t>
            </w:r>
          </w:p>
        </w:tc>
      </w:tr>
      <w:tr>
        <w:trPr>
          <w:trHeight w:val="209"/>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3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Secondary gains from investors</w:t>
            </w:r>
          </w:p>
        </w:tc>
        <w:tc>
          <w:tcPr>
            <w:tcW w:w="42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75,817</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70,355</w:t>
            </w:r>
          </w:p>
        </w:tc>
        <w:tc>
          <w:tcPr>
            <w:tcW w:w="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from loan originations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32,609</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33,604</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3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loans held for sale</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616</w:t>
            </w:r>
          </w:p>
        </w:tc>
        <w:tc>
          <w:tcPr>
            <w:tcW w:w="260" w:type="dxa"/>
            <w:vAlign w:val="bottom"/>
          </w:tcPr>
          <w:p>
            <w:pPr>
              <w:spacing w:after="0"/>
              <w:rPr>
                <w:sz w:val="18"/>
                <w:szCs w:val="18"/>
                <w:color w:val="auto"/>
              </w:rPr>
            </w:pP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2,870</w:t>
            </w:r>
          </w:p>
        </w:tc>
        <w:tc>
          <w:tcPr>
            <w:tcW w:w="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loan commitments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(833)</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730</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614</w:t>
            </w:r>
          </w:p>
        </w:tc>
        <w:tc>
          <w:tcPr>
            <w:tcW w:w="260" w:type="dxa"/>
            <w:vAlign w:val="bottom"/>
          </w:tcPr>
          <w:p>
            <w:pPr>
              <w:spacing w:after="0"/>
              <w:rPr>
                <w:sz w:val="18"/>
                <w:szCs w:val="18"/>
                <w:color w:val="auto"/>
              </w:rPr>
            </w:pP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902</w:t>
            </w:r>
          </w:p>
        </w:tc>
        <w:tc>
          <w:tcPr>
            <w:tcW w:w="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 (losses) on investments and other assets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60</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(986)</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1,118</w:t>
            </w:r>
          </w:p>
        </w:tc>
        <w:tc>
          <w:tcPr>
            <w:tcW w:w="260" w:type="dxa"/>
            <w:vAlign w:val="bottom"/>
          </w:tcPr>
          <w:p>
            <w:pPr>
              <w:spacing w:after="0"/>
              <w:rPr>
                <w:sz w:val="18"/>
                <w:szCs w:val="18"/>
                <w:color w:val="auto"/>
              </w:rPr>
            </w:pP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2,497</w:t>
            </w:r>
          </w:p>
        </w:tc>
        <w:tc>
          <w:tcPr>
            <w:tcW w:w="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 revenues</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354</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573</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63"/>
        </w:trPr>
        <w:tc>
          <w:tcPr>
            <w:tcW w:w="3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segment revenues</w:t>
            </w:r>
          </w:p>
        </w:tc>
        <w:tc>
          <w:tcPr>
            <w:tcW w:w="18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110,355</w:t>
            </w:r>
          </w:p>
        </w:tc>
        <w:tc>
          <w:tcPr>
            <w:tcW w:w="2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110,545</w:t>
            </w:r>
          </w:p>
        </w:tc>
        <w:tc>
          <w:tcPr>
            <w:tcW w:w="200" w:type="dxa"/>
            <w:vAlign w:val="bottom"/>
            <w:tcBorders>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197"/>
        </w:trPr>
        <w:tc>
          <w:tcPr>
            <w:tcW w:w="352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Segment net loss</w:t>
            </w:r>
          </w:p>
        </w:tc>
        <w:tc>
          <w:tcPr>
            <w:tcW w:w="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(3,871</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(4,949</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220" w:type="dxa"/>
            <w:vAlign w:val="bottom"/>
            <w:tcBorders>
              <w:bottom w:val="single" w:sz="8" w:color="CCEEFF"/>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3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Losses in 2025 compared to 2024 decreased due to (a) a $5,462,000 increase in secondary gains from investors, (b) a $3,076,000 decrease in personnel expenses, (c) a $1,302,000 decrease in rent and rent related expenses, (d) a $1,046,000 increase in gains on investments and other assets, (e) a $248,000 decrease in intersegment expenses, and (f) a $13,000 decrease in depreciation on property and equipment, which were partially offset by (i) a $2,254,000 decrease in the fair value of loans held for sale, (ii) a $1,563,000 decrease in the fair value of loan commitments, (iii) a $1,379,000 decrease in other revenues, (iv) a $994,000 decrease in income from loan originations, (v) an $845,000 increase in commissions, (vi) an $833,000 increase in other expenses,</w:t>
      </w:r>
    </w:p>
    <w:p>
      <w:pPr>
        <w:spacing w:after="0" w:line="3" w:lineRule="exact"/>
        <w:rPr>
          <w:sz w:val="20"/>
          <w:szCs w:val="20"/>
          <w:color w:val="auto"/>
        </w:rPr>
      </w:pPr>
    </w:p>
    <w:p>
      <w:pPr>
        <w:jc w:val="both"/>
        <w:ind w:firstLine="8"/>
        <w:spacing w:after="0" w:line="255" w:lineRule="auto"/>
        <w:tabs>
          <w:tab w:leader="none" w:pos="36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$488,000 increase in costs related to funding mortgage loans, (viii) a $390,000 increase in advertising expenses, (iv) a $374,000 increase in income tax expense, (x) a $287,000 decrease in net investment income, (xi) a $255,000 increase in interest expense, (xii) a $220,000 decrease in intersegment revenues, and (xiii) a $187,000 increase in data processing and IT related expenses.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significant accounting policies are fundamental to understanding its results of operations and financial condition as they require that the Company use estimates and assumptions that may affect the value of its assets or liabilities and financial results. See Note 1 – Summary of Significant Accounting Policies of the Notes to the Consolidated Financial Statements for further information.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Two of these policies, discussed below, relate to critical estimates because they require management to make difficult, subjective and complex judgments about matters that are inherently uncertain and because it is likely that materially different amounts would be reported under different conditions or using different assumptions. Actual results could differ from those estimates.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Management and the Audit Committee of the Board of Directors have reviewed and approved the accounting policies associated with these critical estimates.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Future Policy Benefits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liability for future policy benefits is accrued as premium revenue is recognized, which is the present value of expected future policy benefits to be paid to or on behalf of policyholders less the present value of expected future net premiums to be collected from policyholders. This liability is calculated using a discount rate assumption that is an upper-medium grade fixed-income instrument yield as provided by Bloomberg’s Evaluated Pricing (“BVAL”) methodology. This discount rate for a particular cohort is locked-in when that cohort is closed to new contracts and is used for purposes of interest accretion for the future policy benefits liability and is reflected in policyholder benefits and claims on the consolidated statements of earnings. The current rate as of each reporting date is used to calculate an adjusted future policy benefit liability and is recognized through accumulated other comprehensive income (“AOCI”). Other assumptions include best-estimate mortality and lapse rates that are based on the company’s historical experience, industry data, and other factors; also estimates of expected non-level costs, such as termination or settlement costs. Routine policy maintenance costs are not included. These assumptions are reviewed at least annually. Any changes to these assumptions will be reflected in policyholder benefits and claims on the consolidated statements of earnings. The DPL equals accumulated deferrals (prior to and including the valuation date) minus accumulated amortization, where “deferrals” equals the difference between gross and net premium, and “amortization” equals the product of the measure of in force policies (units in force) and an amortization ratio which is updated at the same time as the net premium ratio.</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auto"/>
        </w:rPr>
        <w:t>Deferred Acquisition Costs and Value of Business Acquired</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Commissions and other acquisition costs, net of commission and expense allowances for reinsurance ceded, that vary with and are primarily related to the production of new insurance business that have been incurred are deferred. For traditional long-duration life insurance products, deferred policy acquisition costs (“DAC”) are amortized on a constant-level basis established on a cohort-grouped contract basis over the expected term of the related contracts, with the amortization basis being units in force using assumptions consistent with those used in computing the liability for future policy benefits. For policyholder account balance insurance products, DAC is amortized using the policy counts for annuities and units in-force for interest sensitive life products. Deferred acquisition costs are written off when policies terminate.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 of business acquired (“VOBA”) is the present value of estimated future profits of the acquired business and is amortized the same way as DAC.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Consolidated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Compared to 2024</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revenues increased by $10,065,000, or 3.0%, to $344,588,000 for 2025 from $334,523,000 for 2024. Contributing to this increase in total revenues was primarily a $7,613,000 increase in net investment income, a $2,695,000 increase in gains on investments and other assets, a $651,000 increase in mortgage fee income, and a $101,000 increase in insurance premiums and other considerations. This increase in total revenues was offset by a $662,000 decrease in other revenues and a $333,000 decrease in net cemetery and mortuary sales.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Mortgage fee income increased by $651,000, or 0.6%, to $108,209,000 for 2025, from $107,558,000 for 2024. This increase was primarily due to a $5,462,000 increase in secondary gains from mortgage loans sold to third-party investors into the secondary market. This increase in mortgage fee income was partially offset by a $3,817,000 decrease in the fair value of loans held for sale and loan commitments and a $994,000 decrease in loan fees and interest income net of the provision for loan loss reserve.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Insurance premiums and other considerations increased by $101,000, or 0.1%, to $119,757,000 for 2025, from $119,656,000 for 2024. This increase was primarily due to an increase of $2,564,000 in renewal premiums due to the growth of the Company in recent years, particularly in whole life products, which resulted in more premium paying policies in force. This increase was partially offset by a decrease of $2,463,000 in first year premiums because of decreased preneed insurance sales.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jc w:val="both"/>
        <w:spacing w:after="0" w:line="258" w:lineRule="auto"/>
        <w:rPr>
          <w:sz w:val="20"/>
          <w:szCs w:val="20"/>
          <w:color w:val="auto"/>
        </w:rPr>
      </w:pPr>
      <w:r>
        <w:rPr>
          <w:rFonts w:ascii="Times New Roman" w:cs="Times New Roman" w:eastAsia="Times New Roman" w:hAnsi="Times New Roman"/>
          <w:sz w:val="18"/>
          <w:szCs w:val="18"/>
          <w:color w:val="auto"/>
        </w:rPr>
        <w:t>Net investment income increased by $7,613,000, or 10.6%, to $79,338,000 for 2025, from $71,725,000 for 2024. This increase was primarily attributable to a $9,875,000 increase in mortgage loan interest, a $1,603,000 increase in fixed maturity securities income, a $928,000 increase in insurance assignment income, $258,000 increase in rental income from real estate held for investment, a $189,000 increase in income in other investments, a $156,000 increase in equity securities income, and a $12,000 increase in policy loan income. This increase was partially offset by a $2,773,000 increase in investment expenses and a $2,635,000 decrease in interest on cash and cash equivalents.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mortuary and cemetery sales decreased by $333,000, or 1.1%, to $28,704,000 for 2025, from $29,037,000 for 2024. This decrease was primarily due to an $888,000 decrease in cemetery pre-need sales. This decrease was partially offset by a $526,000 increase in mortuary at-need sales and a $29,000 increase in cemetery at-need sales.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Gains on investments and other assets increased by $2,695,000, or 138.8%, to $4,636,000 for 2025, from $1,942,000 for 2024. This increase in gains on investments and other assets was primarily due to a $1,167,000 increase in gains on mortgage loans held for investment, an $864,000 increase in gains on real estate held for investment and sale, and an $856,000 increase in gains on equity securities mostly attributable to increases in the fair value of these equity securities. This increase was partially offset by a $101,000 decrease in gains on fixed maturity securities and a $91,000 decrease in gains on other investments and assets.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revenues decreased by $662,000, or 14.4%, to $3,942,000 for 2025 from $4,604,000 for 2024. This decrease was primarily attributable to a $1,350,000 legal settlement that was received in 2024, which was partially offset by an increase in other miscellaneous revenues in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benefits and expenses were $303,178,000, or 88.0% of total revenues for 2025, as compared to $297,149,000, or 88.8% of total revenues for 2024.</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Policyholder benefits and claims increased by an aggregate of $205,000, or 0.2%, to $100,818,000 for 2025, from $100,613,000 for 2024. This increase was primarily the result of a $2,306,000 increase in death benefits and a $485,000 increase in surrender and other policy benefits. This increase was partially offset by a $2,586,000 decrease in future policy benefits.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Amortization of deferred policy and pre-need acquisition costs and value of business acquired increased by $648,000, or 5.9%, to $11,661,000 for 2025, from $11,013,000 for 2024. This increase is due to a $689,000 increase in the amortization of deferred policy and pre-need acquisition costs due to an increase in the average outstanding balance. This increase was partially offset by a $41,000 decrease in the amortization of value of business acquired due to no new deferrals and a decreasing average outstanding balance.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increased by an aggregate of $5,055,000, or 2.9%, to $181,520,000 for 2025, from $176,465,000 for 2024. This increase was primarily the result of a $3,370,000 increase in other expenses, a $2,067,000 increase in personnel expenses, a $488,000 increase in costs related to funding mortgage loans, a $400,000 increase in advertising expenses, a $76,000 increase in commissions, and a $42,000 increase in depreciation on property and equipment. This increase was partially offset by a $1,386,000 decrease in rent and rent related expenses.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increased by $265,000, or 6.2%, to $4,519,000 for 2025, from $4,254,000 for 2024. This increase was primarily due to an increase of $256,000 in interest expense on mortgage warehouse lines of credit for loans held for sale and an increase of $9,000 in interest expense on bank loans.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 expense increased by $1,002,000, or 12.1%, to $9,257,000 for 2025, from $8,255,000 for 2024. This increase was primarily due to an increase in earnings before income taxes for 2025 compared to 2024. The Company’s overall effective tax rate increased from 22.1% for 2024 to 22.4% in 2025, a 0.3% increase in the effective tax rate or a 1.4% change. This increase was partially due to an increase in non-deductible items.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Risks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description of the material risks facing the Company and how it mitigates those risks: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Legal and Regulatory Risks</w:t>
      </w:r>
      <w:r>
        <w:rPr>
          <w:rFonts w:ascii="Times New Roman" w:cs="Times New Roman" w:eastAsia="Times New Roman" w:hAnsi="Times New Roman"/>
          <w:sz w:val="18"/>
          <w:szCs w:val="18"/>
          <w:color w:val="auto"/>
        </w:rPr>
        <w:t>. Changes in the legal or regulatory environment in which the Company operates may create additional expenses and risks not anticipated by the Company in developing and pricing its products. Regulatory initiatives designed to reduce insurer profits, new legal theories or insurance company insolvencies through guaranty fund assessments may create costs for the insurer beyond those recorded in the consolidated financial statements. In addition, changes in tax law with respect to mortgage interest deductions or other public policy or legislative changes may affect the Company’s mortgage sales. Also, the Company may be subject to further regulations in the cemetery and mortuary business. The Company aims to mitigate these risks by offering a wide range of products and by diversifying its operations, thus reducing its exposure to any single product or jurisdiction, and by employing underwriting practices that identify and minimize the adverse impact of such risks.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Mortgage Industry Risks</w:t>
      </w:r>
      <w:r>
        <w:rPr>
          <w:rFonts w:ascii="Times New Roman" w:cs="Times New Roman" w:eastAsia="Times New Roman" w:hAnsi="Times New Roman"/>
          <w:sz w:val="18"/>
          <w:szCs w:val="18"/>
          <w:color w:val="auto"/>
        </w:rPr>
        <w:t>. Developments in the mortgage industry and credit markets can adversely affect the Company’s ability to sell its mortgage loans to investors, which can impact the Company’s financial results by requiring it to assume the risk of holding and servicing any unsold loans.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mortgage loan loss reserve is an estimate of probable losses at the balance sheet date that the Company could realize in the future on mortgage loans sold to third-party investors. The Company’s mortgage subsidiary may be required to reimburse third-party investors for costs associated with early payoff of loans within the first six months of such loans and to repurchase loans where there is a default in any of the first four monthly payments to the investors or, in lieu of repurchase, to pay a negotiated fee to the investors. The Company’s estimates are based upon historical loss experience and the best estimate of the probable loan loss liabilities.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2025 and 2024 the Company decreased its loan loss reserve by $312,000 and increased its loan loss reserve by $150,000, respectively, for loan originations, and the charges have been included in mortgage fee income. The estimated liability for indemnification losses is included in other liabilities and accrued expenses and, as of December 31, 2025 and 2024, the balances were $384,000 and $697,000, respectively. The Company believes the loan loss reserve represents probable loan losses incurred as of December 31, 2025. There is a risk, however, that future loan losses may exceed the loan loss reserve.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2025, the Company’s mortgage loans held for investment portfolio consisted of mortgage loans in an aggregate principal amount of $6,516,000 with delinquencies exceeding 90 days. Of this amount, loans with an aggregate principal amount of $1,204,000 were in foreclosure proceedings. The Company has not received or recognized any interest income on the $6,516,000 in mortgage loans with delinquencies exceeding 90 days. During 2025 and 2024, the Company increased its allowance for credit losses by $704,000 and decreased it by $1,934,000, respectively, which was charged to bad debt expense and included in selling, general and administrative expenses for the period. The main reasons for the increase in 2025 when compared to 2024 were due to an increase in the commercial loan held for investment portfolio and in the residential construction loan held for investment portfolio. The allowances for credit losses on the Company’s mortgage loans held for investment portfolio as of December 31, 2025 and 2024 were $2,589,000 and $1,885,000, respectively.</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Interest Rate Risk</w:t>
      </w:r>
      <w:r>
        <w:rPr>
          <w:rFonts w:ascii="Times New Roman" w:cs="Times New Roman" w:eastAsia="Times New Roman" w:hAnsi="Times New Roman"/>
          <w:sz w:val="18"/>
          <w:szCs w:val="18"/>
          <w:color w:val="auto"/>
        </w:rPr>
        <w:t>. Fluctuations in interest rates may cause a decrease in the value of the Company’s investments or impair the ability of the Company to market its mortgage and cemetery and mortuary products. This change in rates may cause certain interest-sensitive products to become uncompetitive or may cause disintermediation. The Company aims to mitigate this risk by charging fees for non-conformance with certain policy provisions, by offering products that transfer this risk to the purchaser, and by attempting to match the maturity schedule of its assets with the expected payouts of its liabilities. To the extent that liabilities come due more quickly than assets mature, the Company might have to borrow funds or sell assets prior to maturity and potentially recognize a loss on the sale.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Mortality and Morbidity Risks</w:t>
      </w:r>
      <w:r>
        <w:rPr>
          <w:rFonts w:ascii="Times New Roman" w:cs="Times New Roman" w:eastAsia="Times New Roman" w:hAnsi="Times New Roman"/>
          <w:sz w:val="18"/>
          <w:szCs w:val="18"/>
          <w:color w:val="auto"/>
        </w:rPr>
        <w:t>. The Company’s actuarial assumptions differing from actual mortality and morbidity experienced may mean that the Company’s relevant products sold were underpriced, may require the Company to liquidate insurance or make other claims earlier than planned, and have other potentially adverse consequences to the business. The Company aims to minimize this risk through sound underwriting practices, asset and liability duration matching, and sound actuarial practices.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Estimates</w:t>
      </w:r>
      <w:r>
        <w:rPr>
          <w:rFonts w:ascii="Times New Roman" w:cs="Times New Roman" w:eastAsia="Times New Roman" w:hAnsi="Times New Roman"/>
          <w:sz w:val="18"/>
          <w:szCs w:val="18"/>
          <w:color w:val="auto"/>
        </w:rPr>
        <w:t>. The preparation of financial statements in conformity with GAAP requires management to make estimates and assumptions that affect the amounts reported in the consolidated financial statements and accompanying notes. Actual results could differ from those estimates.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6" w:name="page27"/>
    <w:bookmarkEnd w:id="26"/>
    <w:p>
      <w:pPr>
        <w:jc w:val="both"/>
        <w:spacing w:after="0" w:line="261" w:lineRule="auto"/>
        <w:rPr>
          <w:sz w:val="20"/>
          <w:szCs w:val="20"/>
          <w:color w:val="auto"/>
        </w:rPr>
      </w:pPr>
      <w:r>
        <w:rPr>
          <w:rFonts w:ascii="Times New Roman" w:cs="Times New Roman" w:eastAsia="Times New Roman" w:hAnsi="Times New Roman"/>
          <w:sz w:val="18"/>
          <w:szCs w:val="18"/>
          <w:color w:val="auto"/>
        </w:rPr>
        <w:t>Material estimates that are particularly susceptible to significant changes in the near term are those used in determining the value of derivative assets and liabilities; those used in determining deferred acquisition costs and the value of business acquired; those used in determining the liability for future policy benefits; those used in determining the value of loans held for sale; and those used in determining loan loss reserve. Although some variability is inherent in these estimates, management believes the amounts provided are fairly stated in all material respects.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life insurance subsidiaries and cemetery and mortuary subsidiaries realize cash flow from premiums, contract payments and sales on personal services rendered for cemetery and mortuary business, from interest and dividends on invested assets, and from the proceeds from the sale or maturity of investments. The mortgage subsidiaries realize cash flow from fees generated by originating and refinancing mortgage loans and fees on mortgage loans held for sale that are sold to investors into the secondary market. It should be noted that current conditions in the financial markets and economy may affect the realization of these expected cash flows. The Company considers these sources of cash flow to be adequate to fund future policyholder and cemetery and mortuary liabilities, which generally are long-term, and adequate to pay current policyholder claims, annuity payments, expenses related to the issuance of new policies, the maintenance of existing policies, debt service, and to meet current operating expenses.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2025, SecurityNational Mortgage was not in compliance with the net income covenant of the US Bank, Western Alliance Bank and JP Morgan Chase Bank warehouse lines of credit. SecurityNational Mortgage has since received waivers from each of these lenders with respect to this covenant. In the unlikely event the Company is required to repay the outstanding advances of approximately $4,173,449 on the warehouse lines of credit, the Company has sufficient cash to do so. The Company has also performed an analysis of its funding capacities from both internal and external sources and has determined that there are sufficient funds to continue its current business model. The Company continues to negotiate other warehouse lines of credit with other lenders.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2025 and 2024, the Company’s operations provided cash of $45,540,000 and of $57,320,000, respectively. The decrease in cash provided by operations was due primarily to a decrease in proceeds from loans held for sale.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expects to pay out liabilities under its funeral plans over the long term given the nature of those plans. Funeral plans are small face value life insurance policies that payout upon a person’s death to cover funeral burial costs; policyholders generally keep these policies in force until, and do not surrender prior to, death. Because of the long-term nature of these liabilities, the Company can hold to maturity or for the targeted investment period its corresponding bond, real estate, and mortgage loan investments, thus reducing the risk of liquidating these long-term investments because of any sudden changes in their fair values.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attempts to match the duration of invested assets with its policyholder and cemetery and mortuary liabilities. The Company may sell investments other than those held to maturity in the portfolio to help in this timing matching. The Company purchases short-term investments on a temporary basis to meet the expected short-term requirements of the Company’s insurance products. The Company’s investment philosophy is intended to provide a rate of return for the expected duration of its cemetery and mortuary policies that will exceed the accruing of liabilities under those policies regardless of future interest rate movements.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investment policy is also to invest predominantly in fixed maturity securities, real estate, mortgage loans, and warehousing of mortgage loans held for sale. The warehoused mortgage loans are typically held for sale on a short-term basis before selling the loans to investors in accordance with the requirements and laws governing the Company’s life insurance subsidiaries. Bonds owned by the insurance subsidiaries amounted to $365,986,000 (at estimated fair value) and $348,774,000 (at estimated fair value) as of December 31, 2025, and 2024, respectively. This represented 35.2% and 38.0% of the total investments of the Company as of December 31, 2025, and 2024, respectively. Generally, all bonds owned by the life insurance subsidiaries are rated by the National Association of Insurance Commissioners. Under this rating system, there are six categories used for the rating of bonds. As of December 31, 2025, 1.6% (or $5,825,000) and as of December 31, 2024, 2.4% (or $8,431,000) of the insurance subsidiaries’ total bond investments were invested in bonds in rating categories three through six, which are considered non-investment grade.</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2 of the Notes to Consolidated Financial Statements for the schedule of the maturity of fixed maturity securities available for sale and for the schedule of principal payments for mortgage loans held for investment.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See Note 15 of the Notes to Consolidated Financial Statements for a description of the Company’s sources of liquidity.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market conditions were to cause interest rates to change, the fair value of the Company’s fixed income portfolio (of approximately $705,213,000), which includes bonds, preferred stocks and mortgage loans held for investment, could change by the following amounts based on the respective basis point swing (the change in the fair values were calculated using a modeling technique):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-200 bps</w:t>
            </w:r>
          </w:p>
        </w:tc>
        <w:tc>
          <w:tcPr>
            <w:tcW w:w="240" w:type="dxa"/>
            <w:vAlign w:val="bottom"/>
          </w:tcPr>
          <w:p>
            <w:pPr>
              <w:spacing w:after="0"/>
              <w:rPr>
                <w:sz w:val="20"/>
                <w:szCs w:val="20"/>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-100 bps</w:t>
            </w:r>
          </w:p>
        </w:tc>
        <w:tc>
          <w:tcPr>
            <w:tcW w:w="200" w:type="dxa"/>
            <w:vAlign w:val="bottom"/>
          </w:tcPr>
          <w:p>
            <w:pPr>
              <w:spacing w:after="0"/>
              <w:rPr>
                <w:sz w:val="20"/>
                <w:szCs w:val="20"/>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+100 bps</w:t>
            </w:r>
          </w:p>
        </w:tc>
        <w:tc>
          <w:tcPr>
            <w:tcW w:w="200" w:type="dxa"/>
            <w:vAlign w:val="bottom"/>
          </w:tcPr>
          <w:p>
            <w:pPr>
              <w:spacing w:after="0"/>
              <w:rPr>
                <w:sz w:val="20"/>
                <w:szCs w:val="20"/>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+200 bps</w:t>
            </w:r>
          </w:p>
        </w:tc>
      </w:tr>
      <w:tr>
        <w:trPr>
          <w:trHeight w:val="209"/>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50,112</w:t>
            </w: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22,837</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(23,334)</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life insurance subsidiaries are subject to risk-based capital guidelines established by statutory regulators requiring minimum capital levels based on the perceived risk of assets, liabilities, disintermediation, and business risk. As of December 31, 2025 and 2024, the life insurance subsidiaries were in compliance with the regulatory criteria.</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total capitalization of stockholders’ equity, and bank loans and other loans payable were $508,757,000 and $488,639,000 as of December 31, 2025 and 2024, respectively. This increase was primarily due to a $28,470,000 increase in stockholders’ equity, which was partially offset by a decrease of $8,352,000 in bank loans and other loans payable. Stockholders’ equity as a percentage of total capitalization was 80.7% and 78.2% as of December 31, 2025 and 2024, respectively.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Lapse rates measure the amount of insurance terminated during a particular period. The Company’s lapse rate for life insurance was 7.2% for 2025 as compared to a rate of 7.0% for 2024.</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combined statutory capital and surplus of the Company’s life insurance subsidiaries was $139,068,000 and $120,216,000 as of December 31, 2025 and 2024, respectively. The life insurance subsidiaries cannot pay dividends to their parent company without the approval of state insurance regulatory authorities.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Private Securities Litigation Reform Act of 1995 provides a safe harbor for forward-looking statements to encourage companies to provide prospective information about their businesses without fear of litigation so long as those statements are identified as forward-looking and are accompanied by meaningful cautionary statements identifying important factors that could cause actual results to differ materially from those projected in such statements. The Company desires to take advantage of the “safe harbor” provisions of the act.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together with related data and projections, about the Company’s projected financial results and its plans and strategies. However, the actual results and needs of the Company may vary materially from forward-looking statements and projections made from time to time by the Company based on management’s then-current expectations. The business in which the Company is engaged involves changing and competitive markets, which may involve a high degree of risk, and there can be no assurance that forward-looking statements and projections will prove accurate.</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Factors that may cause the Company’s actual results to differ materially from those contemplated or projected, forecast, estimated or budgeted in such forward looking statements include among others, the following possibilities: (i) heightened competition, including the intensification of price competition, the entry of new competitors, and the introduction of new products by new and existing competitors; (ii) adverse state and federal legislation or regulation, including decreases in rates, limitations on premium levels, increases in minimum capital and reserve requirements, benefit mandates and tax treatment of insurance products; (iii) fluctuations in interest rates causing a reduction of investment income or increase in interest expense and in the market value of interest rate sensitive investment; (iv) failure to obtain new customers, retain existing customers or reductions in policies in force by existing customers; (v) higher service, administrative, or general expenses due to the need for additional advertising, marketing, administrative or management information systems expenditures; (vi) loss or retirement of key executives or employees; (vii) increases in medical costs; (viii) changes in the Company’s liquidity due to changes in asset and liability matching; (ix) restrictions on insurance underwriting based on genetic testing and other criteria; (x) adverse changes in the ratings obtained by independent rating agencies; (xi) failure to maintain adequate reinsurance; (xii) possible claims relating to sales practices for insurance products and claim denials; (xiii) adverse trends in mortality and morbidity; (xiv) deterioration of real estate markets; and (xv) lawsuits in the ordinary course of business.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Off-Balance Sheet Agreements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commitments to fund existing construction and land development loans pursuant to the various loan agreements. As of December 31, 2025, the Company’s commitments were approximately $201,220,000 for these loans, of which $158,908,000 had been drawn. The Company advances funds in accordance with the loan agreements once the work has been completed and an independent inspection is made. The maximum loan commitment ranges between 50% and 80% of appraised value. The Company receives fees and interest for these loans and the interest rate is generally fixed at 5.25% to 8.50% per annum. Maturities range between six and eighteen months.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ordinary course of the Company’s operations, the Company enters certain contractual obligations. Such obligations include operating leases for office space, agreements with respect to borrowed funds and future policy benefits. See Notes 15, 16, and 24 of the Notes to Consolidated Financial Statements for more information about these obligations.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Captive Insurance Participation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a limited equity interest in a captive insurance entity (the “Captive’) that provides workers compensation, general liability and automobile insurance . This program permits the Company to pool insurance risks and resources with like-minded companies in order to obtain more competitive pricing for claims administration, stop loss insurance premiums and to limit its risk of loss in any particular year. The Captive also provides access to a wide array of safety-related services and regular safety training to help the Company control claims. The maximum exposure to a loss related to the Company’s involvement in the Captive is limited to approximately $443,758, which is collateralized under a standby letter of credit issued on the insurance entity’s behalf. See Note 24 of the Notes to Consolidated Financial Statements for additional discussion of commitments associated with the insurance program. The Company has been a member of the Captive since 2006 and does not expect any material losses to result from the issuance of the standby letter of credit given the Company’s past performance.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the Company is not required to provide information typically disclosed under this item.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8"/>
        </w:trPr>
        <w:tc>
          <w:tcPr>
            <w:tcW w:w="10580" w:type="dxa"/>
            <w:vAlign w:val="bottom"/>
            <w:gridSpan w:val="29"/>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58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INDEX TO CONSOLIDATED FINANCIAL STATEMENTS</w:t>
            </w:r>
          </w:p>
        </w:tc>
        <w:tc>
          <w:tcPr>
            <w:tcW w:w="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6"/>
              </w:rPr>
              <w:t>Page No.</w:t>
            </w:r>
          </w:p>
        </w:tc>
        <w:tc>
          <w:tcPr>
            <w:tcW w:w="0" w:type="dxa"/>
            <w:vAlign w:val="bottom"/>
          </w:tcPr>
          <w:p>
            <w:pPr>
              <w:spacing w:after="0"/>
              <w:rPr>
                <w:sz w:val="1"/>
                <w:szCs w:val="1"/>
                <w:color w:val="auto"/>
              </w:rPr>
            </w:pPr>
          </w:p>
        </w:tc>
      </w:tr>
      <w:tr>
        <w:trPr>
          <w:trHeight w:val="180"/>
        </w:trPr>
        <w:tc>
          <w:tcPr>
            <w:tcW w:w="1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8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No. 34)</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c>
          <w:tcPr>
            <w:tcW w:w="0" w:type="dxa"/>
            <w:vAlign w:val="bottom"/>
          </w:tcPr>
          <w:p>
            <w:pPr>
              <w:spacing w:after="0"/>
              <w:rPr>
                <w:sz w:val="1"/>
                <w:szCs w:val="1"/>
                <w:color w:val="auto"/>
              </w:rPr>
            </w:pPr>
          </w:p>
        </w:tc>
      </w:tr>
      <w:tr>
        <w:trPr>
          <w:trHeight w:val="216"/>
        </w:trPr>
        <w:tc>
          <w:tcPr>
            <w:tcW w:w="12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434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Statements at December 31, 2025 and 2024 and for the Years Ended December 31, 2025 and 2024:</w:t>
            </w: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58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c>
          <w:tcPr>
            <w:tcW w:w="0" w:type="dxa"/>
            <w:vAlign w:val="bottom"/>
          </w:tcPr>
          <w:p>
            <w:pPr>
              <w:spacing w:after="0"/>
              <w:rPr>
                <w:sz w:val="1"/>
                <w:szCs w:val="1"/>
                <w:color w:val="auto"/>
              </w:rPr>
            </w:pPr>
          </w:p>
        </w:tc>
      </w:tr>
      <w:tr>
        <w:trPr>
          <w:trHeight w:val="21"/>
        </w:trPr>
        <w:tc>
          <w:tcPr>
            <w:tcW w:w="1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8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Earnings</w:t>
            </w:r>
          </w:p>
        </w:tc>
        <w:tc>
          <w:tcPr>
            <w:tcW w:w="7900" w:type="dxa"/>
            <w:vAlign w:val="bottom"/>
            <w:tcBorders>
              <w:bottom w:val="single" w:sz="8" w:color="CCEEFF"/>
            </w:tcBorders>
            <w:gridSpan w:val="17"/>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c>
          <w:tcPr>
            <w:tcW w:w="0" w:type="dxa"/>
            <w:vAlign w:val="bottom"/>
          </w:tcPr>
          <w:p>
            <w:pPr>
              <w:spacing w:after="0"/>
              <w:rPr>
                <w:sz w:val="1"/>
                <w:szCs w:val="1"/>
                <w:color w:val="auto"/>
              </w:rPr>
            </w:pPr>
          </w:p>
        </w:tc>
      </w:tr>
      <w:tr>
        <w:trPr>
          <w:trHeight w:val="176"/>
        </w:trPr>
        <w:tc>
          <w:tcPr>
            <w:tcW w:w="1058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Comprehensive Income</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c>
          <w:tcPr>
            <w:tcW w:w="0" w:type="dxa"/>
            <w:vAlign w:val="bottom"/>
          </w:tcPr>
          <w:p>
            <w:pPr>
              <w:spacing w:after="0"/>
              <w:rPr>
                <w:sz w:val="1"/>
                <w:szCs w:val="1"/>
                <w:color w:val="auto"/>
              </w:rPr>
            </w:pPr>
          </w:p>
        </w:tc>
      </w:tr>
      <w:tr>
        <w:trPr>
          <w:trHeight w:val="20"/>
        </w:trPr>
        <w:tc>
          <w:tcPr>
            <w:tcW w:w="1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60" w:type="dxa"/>
            <w:vAlign w:val="bottom"/>
            <w:tcBorders>
              <w:bottom w:val="single" w:sz="8" w:color="0000EE"/>
            </w:tcBorders>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Stockholders’ Equity</w:t>
            </w:r>
          </w:p>
        </w:tc>
        <w:tc>
          <w:tcPr>
            <w:tcW w:w="7020" w:type="dxa"/>
            <w:vAlign w:val="bottom"/>
            <w:tcBorders>
              <w:bottom w:val="single" w:sz="8" w:color="CCEEFF"/>
            </w:tcBorders>
            <w:gridSpan w:val="7"/>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35</w:t>
            </w:r>
          </w:p>
        </w:tc>
        <w:tc>
          <w:tcPr>
            <w:tcW w:w="0" w:type="dxa"/>
            <w:vAlign w:val="bottom"/>
          </w:tcPr>
          <w:p>
            <w:pPr>
              <w:spacing w:after="0"/>
              <w:rPr>
                <w:sz w:val="1"/>
                <w:szCs w:val="1"/>
                <w:color w:val="auto"/>
              </w:rPr>
            </w:pPr>
          </w:p>
        </w:tc>
      </w:tr>
      <w:tr>
        <w:trPr>
          <w:trHeight w:val="176"/>
        </w:trPr>
        <w:tc>
          <w:tcPr>
            <w:tcW w:w="1058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c>
          <w:tcPr>
            <w:tcW w:w="0" w:type="dxa"/>
            <w:vAlign w:val="bottom"/>
          </w:tcPr>
          <w:p>
            <w:pPr>
              <w:spacing w:after="0"/>
              <w:rPr>
                <w:sz w:val="1"/>
                <w:szCs w:val="1"/>
                <w:color w:val="auto"/>
              </w:rPr>
            </w:pPr>
          </w:p>
        </w:tc>
      </w:tr>
      <w:tr>
        <w:trPr>
          <w:trHeight w:val="21"/>
        </w:trPr>
        <w:tc>
          <w:tcPr>
            <w:tcW w:w="1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8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200" w:type="dxa"/>
            <w:vAlign w:val="bottom"/>
            <w:tcBorders>
              <w:top w:val="single" w:sz="8" w:color="0000EE"/>
            </w:tcBorders>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Note 1 - Significant Accounting Policies</w:t>
            </w:r>
          </w:p>
        </w:tc>
        <w:tc>
          <w:tcPr>
            <w:tcW w:w="7380" w:type="dxa"/>
            <w:vAlign w:val="bottom"/>
            <w:tcBorders>
              <w:top w:val="single" w:sz="8" w:color="CCEEFF"/>
            </w:tcBorders>
            <w:gridSpan w:val="10"/>
          </w:tcPr>
          <w:p>
            <w:pPr>
              <w:spacing w:after="0"/>
              <w:rPr>
                <w:sz w:val="15"/>
                <w:szCs w:val="15"/>
                <w:color w:val="auto"/>
              </w:rPr>
            </w:pPr>
          </w:p>
        </w:tc>
        <w:tc>
          <w:tcPr>
            <w:tcW w:w="66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38</w:t>
            </w:r>
          </w:p>
        </w:tc>
        <w:tc>
          <w:tcPr>
            <w:tcW w:w="0" w:type="dxa"/>
            <w:vAlign w:val="bottom"/>
          </w:tcPr>
          <w:p>
            <w:pPr>
              <w:spacing w:after="0"/>
              <w:rPr>
                <w:sz w:val="1"/>
                <w:szCs w:val="1"/>
                <w:color w:val="auto"/>
              </w:rPr>
            </w:pPr>
          </w:p>
        </w:tc>
      </w:tr>
      <w:tr>
        <w:trPr>
          <w:trHeight w:val="21"/>
        </w:trPr>
        <w:tc>
          <w:tcPr>
            <w:tcW w:w="1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2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Note 2 - Investments</w:t>
            </w:r>
          </w:p>
        </w:tc>
        <w:tc>
          <w:tcPr>
            <w:tcW w:w="9060" w:type="dxa"/>
            <w:vAlign w:val="bottom"/>
            <w:tcBorders>
              <w:bottom w:val="single" w:sz="8" w:color="CCEEFF"/>
            </w:tcBorders>
            <w:gridSpan w:val="27"/>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54</w:t>
            </w:r>
          </w:p>
        </w:tc>
        <w:tc>
          <w:tcPr>
            <w:tcW w:w="0" w:type="dxa"/>
            <w:vAlign w:val="bottom"/>
          </w:tcPr>
          <w:p>
            <w:pPr>
              <w:spacing w:after="0"/>
              <w:rPr>
                <w:sz w:val="1"/>
                <w:szCs w:val="1"/>
                <w:color w:val="auto"/>
              </w:rPr>
            </w:pPr>
          </w:p>
        </w:tc>
      </w:tr>
      <w:tr>
        <w:trPr>
          <w:trHeight w:val="176"/>
        </w:trPr>
        <w:tc>
          <w:tcPr>
            <w:tcW w:w="1058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Note 3 - Loans Held for Sale</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75</w:t>
            </w:r>
          </w:p>
        </w:tc>
        <w:tc>
          <w:tcPr>
            <w:tcW w:w="0" w:type="dxa"/>
            <w:vAlign w:val="bottom"/>
          </w:tcPr>
          <w:p>
            <w:pPr>
              <w:spacing w:after="0"/>
              <w:rPr>
                <w:sz w:val="1"/>
                <w:szCs w:val="1"/>
                <w:color w:val="auto"/>
              </w:rPr>
            </w:pPr>
          </w:p>
        </w:tc>
      </w:tr>
      <w:tr>
        <w:trPr>
          <w:trHeight w:val="20"/>
        </w:trPr>
        <w:tc>
          <w:tcPr>
            <w:tcW w:w="1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2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Note 4 - Receivables</w:t>
            </w:r>
          </w:p>
        </w:tc>
        <w:tc>
          <w:tcPr>
            <w:tcW w:w="9060" w:type="dxa"/>
            <w:vAlign w:val="bottom"/>
            <w:tcBorders>
              <w:bottom w:val="single" w:sz="8" w:color="CCEEFF"/>
            </w:tcBorders>
            <w:gridSpan w:val="27"/>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77</w:t>
            </w:r>
          </w:p>
        </w:tc>
        <w:tc>
          <w:tcPr>
            <w:tcW w:w="0" w:type="dxa"/>
            <w:vAlign w:val="bottom"/>
          </w:tcPr>
          <w:p>
            <w:pPr>
              <w:spacing w:after="0"/>
              <w:rPr>
                <w:sz w:val="1"/>
                <w:szCs w:val="1"/>
                <w:color w:val="auto"/>
              </w:rPr>
            </w:pPr>
          </w:p>
        </w:tc>
      </w:tr>
      <w:tr>
        <w:trPr>
          <w:trHeight w:val="176"/>
        </w:trPr>
        <w:tc>
          <w:tcPr>
            <w:tcW w:w="1058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Note 5 - Restricted Assets</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82</w:t>
            </w:r>
          </w:p>
        </w:tc>
        <w:tc>
          <w:tcPr>
            <w:tcW w:w="0" w:type="dxa"/>
            <w:vAlign w:val="bottom"/>
          </w:tcPr>
          <w:p>
            <w:pPr>
              <w:spacing w:after="0"/>
              <w:rPr>
                <w:sz w:val="1"/>
                <w:szCs w:val="1"/>
                <w:color w:val="auto"/>
              </w:rPr>
            </w:pPr>
          </w:p>
        </w:tc>
      </w:tr>
      <w:tr>
        <w:trPr>
          <w:trHeight w:val="21"/>
        </w:trPr>
        <w:tc>
          <w:tcPr>
            <w:tcW w:w="1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8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 6 - Cemetery Perpetual Care Trust Investments and Obligation</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85</w:t>
            </w:r>
          </w:p>
        </w:tc>
        <w:tc>
          <w:tcPr>
            <w:tcW w:w="0" w:type="dxa"/>
            <w:vAlign w:val="bottom"/>
          </w:tcPr>
          <w:p>
            <w:pPr>
              <w:spacing w:after="0"/>
              <w:rPr>
                <w:sz w:val="1"/>
                <w:szCs w:val="1"/>
                <w:color w:val="auto"/>
              </w:rPr>
            </w:pPr>
          </w:p>
        </w:tc>
      </w:tr>
      <w:tr>
        <w:trPr>
          <w:trHeight w:val="175"/>
        </w:trPr>
        <w:tc>
          <w:tcPr>
            <w:tcW w:w="4900" w:type="dxa"/>
            <w:vAlign w:val="bottom"/>
            <w:tcBorders>
              <w:top w:val="single" w:sz="8" w:color="0000EE"/>
            </w:tcBorders>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Note 7 - Mortgage Servicing Rights</w:t>
            </w:r>
          </w:p>
        </w:tc>
        <w:tc>
          <w:tcPr>
            <w:tcW w:w="5680" w:type="dxa"/>
            <w:vAlign w:val="bottom"/>
            <w:tcBorders>
              <w:top w:val="single" w:sz="8" w:color="CCEEFF"/>
            </w:tcBorders>
            <w:gridSpan w:val="2"/>
          </w:tcPr>
          <w:p>
            <w:pPr>
              <w:spacing w:after="0"/>
              <w:rPr>
                <w:sz w:val="15"/>
                <w:szCs w:val="15"/>
                <w:color w:val="auto"/>
              </w:rPr>
            </w:pPr>
          </w:p>
        </w:tc>
        <w:tc>
          <w:tcPr>
            <w:tcW w:w="66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88</w:t>
            </w:r>
          </w:p>
        </w:tc>
        <w:tc>
          <w:tcPr>
            <w:tcW w:w="0" w:type="dxa"/>
            <w:vAlign w:val="bottom"/>
          </w:tcPr>
          <w:p>
            <w:pPr>
              <w:spacing w:after="0"/>
              <w:rPr>
                <w:sz w:val="1"/>
                <w:szCs w:val="1"/>
                <w:color w:val="auto"/>
              </w:rPr>
            </w:pPr>
          </w:p>
        </w:tc>
      </w:tr>
      <w:tr>
        <w:trPr>
          <w:trHeight w:val="21"/>
        </w:trPr>
        <w:tc>
          <w:tcPr>
            <w:tcW w:w="1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58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 8 - Property and Equipment</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90</w:t>
            </w:r>
          </w:p>
        </w:tc>
        <w:tc>
          <w:tcPr>
            <w:tcW w:w="0" w:type="dxa"/>
            <w:vAlign w:val="bottom"/>
          </w:tcPr>
          <w:p>
            <w:pPr>
              <w:spacing w:after="0"/>
              <w:rPr>
                <w:sz w:val="1"/>
                <w:szCs w:val="1"/>
                <w:color w:val="auto"/>
              </w:rPr>
            </w:pPr>
          </w:p>
        </w:tc>
      </w:tr>
      <w:tr>
        <w:trPr>
          <w:trHeight w:val="20"/>
        </w:trPr>
        <w:tc>
          <w:tcPr>
            <w:tcW w:w="12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3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58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Note 9 - Deferred Policy and Pre-need Contract Acquisition Costs, Value of Business Acquired and Unearned Premium Reserve</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90</w:t>
            </w:r>
          </w:p>
        </w:tc>
        <w:tc>
          <w:tcPr>
            <w:tcW w:w="0" w:type="dxa"/>
            <w:vAlign w:val="bottom"/>
          </w:tcPr>
          <w:p>
            <w:pPr>
              <w:spacing w:after="0"/>
              <w:rPr>
                <w:sz w:val="1"/>
                <w:szCs w:val="1"/>
                <w:color w:val="auto"/>
              </w:rPr>
            </w:pPr>
          </w:p>
        </w:tc>
      </w:tr>
      <w:tr>
        <w:trPr>
          <w:trHeight w:val="20"/>
        </w:trPr>
        <w:tc>
          <w:tcPr>
            <w:tcW w:w="1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340" w:type="dxa"/>
            <w:vAlign w:val="bottom"/>
            <w:tcBorders>
              <w:top w:val="single" w:sz="8" w:color="0000EE"/>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8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 10 - Goodwill and Other Intangible Assets</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92</w:t>
            </w:r>
          </w:p>
        </w:tc>
        <w:tc>
          <w:tcPr>
            <w:tcW w:w="0" w:type="dxa"/>
            <w:vAlign w:val="bottom"/>
          </w:tcPr>
          <w:p>
            <w:pPr>
              <w:spacing w:after="0"/>
              <w:rPr>
                <w:sz w:val="1"/>
                <w:szCs w:val="1"/>
                <w:color w:val="auto"/>
              </w:rPr>
            </w:pPr>
          </w:p>
        </w:tc>
      </w:tr>
      <w:tr>
        <w:trPr>
          <w:trHeight w:val="176"/>
        </w:trPr>
        <w:tc>
          <w:tcPr>
            <w:tcW w:w="3460" w:type="dxa"/>
            <w:vAlign w:val="bottom"/>
            <w:tcBorders>
              <w:top w:val="single" w:sz="8" w:color="0000EE"/>
            </w:tcBorders>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Note 11 - Derivative Instruments</w:t>
            </w:r>
          </w:p>
        </w:tc>
        <w:tc>
          <w:tcPr>
            <w:tcW w:w="7120" w:type="dxa"/>
            <w:vAlign w:val="bottom"/>
            <w:tcBorders>
              <w:top w:val="single" w:sz="8" w:color="CCEEFF"/>
            </w:tcBorders>
            <w:gridSpan w:val="8"/>
          </w:tcPr>
          <w:p>
            <w:pPr>
              <w:spacing w:after="0"/>
              <w:rPr>
                <w:sz w:val="15"/>
                <w:szCs w:val="15"/>
                <w:color w:val="auto"/>
              </w:rPr>
            </w:pPr>
          </w:p>
        </w:tc>
        <w:tc>
          <w:tcPr>
            <w:tcW w:w="66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94</w:t>
            </w:r>
          </w:p>
        </w:tc>
        <w:tc>
          <w:tcPr>
            <w:tcW w:w="0" w:type="dxa"/>
            <w:vAlign w:val="bottom"/>
          </w:tcPr>
          <w:p>
            <w:pPr>
              <w:spacing w:after="0"/>
              <w:rPr>
                <w:sz w:val="1"/>
                <w:szCs w:val="1"/>
                <w:color w:val="auto"/>
              </w:rPr>
            </w:pPr>
          </w:p>
        </w:tc>
      </w:tr>
      <w:tr>
        <w:trPr>
          <w:trHeight w:val="21"/>
        </w:trPr>
        <w:tc>
          <w:tcPr>
            <w:tcW w:w="1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8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 12 - Future Policy Benefits and Unpaid Claims</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95</w:t>
            </w:r>
          </w:p>
        </w:tc>
        <w:tc>
          <w:tcPr>
            <w:tcW w:w="0" w:type="dxa"/>
            <w:vAlign w:val="bottom"/>
          </w:tcPr>
          <w:p>
            <w:pPr>
              <w:spacing w:after="0"/>
              <w:rPr>
                <w:sz w:val="1"/>
                <w:szCs w:val="1"/>
                <w:color w:val="auto"/>
              </w:rPr>
            </w:pPr>
          </w:p>
        </w:tc>
      </w:tr>
      <w:tr>
        <w:trPr>
          <w:trHeight w:val="175"/>
        </w:trPr>
        <w:tc>
          <w:tcPr>
            <w:tcW w:w="3780" w:type="dxa"/>
            <w:vAlign w:val="bottom"/>
            <w:tcBorders>
              <w:top w:val="single" w:sz="8" w:color="0000EE"/>
            </w:tcBorders>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Note 13 - Policyholder Account Balances</w:t>
            </w:r>
          </w:p>
        </w:tc>
        <w:tc>
          <w:tcPr>
            <w:tcW w:w="6800" w:type="dxa"/>
            <w:vAlign w:val="bottom"/>
            <w:tcBorders>
              <w:top w:val="single" w:sz="8" w:color="CCEEFF"/>
            </w:tcBorders>
            <w:gridSpan w:val="5"/>
          </w:tcPr>
          <w:p>
            <w:pPr>
              <w:spacing w:after="0"/>
              <w:rPr>
                <w:sz w:val="15"/>
                <w:szCs w:val="15"/>
                <w:color w:val="auto"/>
              </w:rPr>
            </w:pPr>
          </w:p>
        </w:tc>
        <w:tc>
          <w:tcPr>
            <w:tcW w:w="66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99</w:t>
            </w:r>
          </w:p>
        </w:tc>
        <w:tc>
          <w:tcPr>
            <w:tcW w:w="0" w:type="dxa"/>
            <w:vAlign w:val="bottom"/>
          </w:tcPr>
          <w:p>
            <w:pPr>
              <w:spacing w:after="0"/>
              <w:rPr>
                <w:sz w:val="1"/>
                <w:szCs w:val="1"/>
                <w:color w:val="auto"/>
              </w:rPr>
            </w:pPr>
          </w:p>
        </w:tc>
      </w:tr>
      <w:tr>
        <w:trPr>
          <w:trHeight w:val="21"/>
        </w:trPr>
        <w:tc>
          <w:tcPr>
            <w:tcW w:w="1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58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 14 - Reinsurance</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102</w:t>
            </w:r>
          </w:p>
        </w:tc>
        <w:tc>
          <w:tcPr>
            <w:tcW w:w="0" w:type="dxa"/>
            <w:vAlign w:val="bottom"/>
          </w:tcPr>
          <w:p>
            <w:pPr>
              <w:spacing w:after="0"/>
              <w:rPr>
                <w:sz w:val="1"/>
                <w:szCs w:val="1"/>
                <w:color w:val="auto"/>
              </w:rPr>
            </w:pPr>
          </w:p>
        </w:tc>
      </w:tr>
      <w:tr>
        <w:trPr>
          <w:trHeight w:val="20"/>
        </w:trPr>
        <w:tc>
          <w:tcPr>
            <w:tcW w:w="12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3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58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Note 15 - Bank and Other Loans Payable</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103</w:t>
            </w:r>
          </w:p>
        </w:tc>
        <w:tc>
          <w:tcPr>
            <w:tcW w:w="0" w:type="dxa"/>
            <w:vAlign w:val="bottom"/>
          </w:tcPr>
          <w:p>
            <w:pPr>
              <w:spacing w:after="0"/>
              <w:rPr>
                <w:sz w:val="1"/>
                <w:szCs w:val="1"/>
                <w:color w:val="auto"/>
              </w:rPr>
            </w:pPr>
          </w:p>
        </w:tc>
      </w:tr>
      <w:tr>
        <w:trPr>
          <w:trHeight w:val="20"/>
        </w:trPr>
        <w:tc>
          <w:tcPr>
            <w:tcW w:w="1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58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 16 - Leases</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106</w:t>
            </w:r>
          </w:p>
        </w:tc>
        <w:tc>
          <w:tcPr>
            <w:tcW w:w="0" w:type="dxa"/>
            <w:vAlign w:val="bottom"/>
          </w:tcPr>
          <w:p>
            <w:pPr>
              <w:spacing w:after="0"/>
              <w:rPr>
                <w:sz w:val="1"/>
                <w:szCs w:val="1"/>
                <w:color w:val="auto"/>
              </w:rPr>
            </w:pPr>
          </w:p>
        </w:tc>
      </w:tr>
      <w:tr>
        <w:trPr>
          <w:trHeight w:val="20"/>
        </w:trPr>
        <w:tc>
          <w:tcPr>
            <w:tcW w:w="12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3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58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Note 17 - Income Taxes</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109</w:t>
            </w:r>
          </w:p>
        </w:tc>
        <w:tc>
          <w:tcPr>
            <w:tcW w:w="0" w:type="dxa"/>
            <w:vAlign w:val="bottom"/>
          </w:tcPr>
          <w:p>
            <w:pPr>
              <w:spacing w:after="0"/>
              <w:rPr>
                <w:sz w:val="1"/>
                <w:szCs w:val="1"/>
                <w:color w:val="auto"/>
              </w:rPr>
            </w:pPr>
          </w:p>
        </w:tc>
      </w:tr>
      <w:tr>
        <w:trPr>
          <w:trHeight w:val="21"/>
        </w:trPr>
        <w:tc>
          <w:tcPr>
            <w:tcW w:w="1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Note 18 - Equity</w:t>
            </w:r>
          </w:p>
        </w:tc>
        <w:tc>
          <w:tcPr>
            <w:tcW w:w="9360" w:type="dxa"/>
            <w:vAlign w:val="bottom"/>
            <w:tcBorders>
              <w:bottom w:val="single" w:sz="8" w:color="CCEEFF"/>
            </w:tcBorders>
            <w:gridSpan w:val="28"/>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111</w:t>
            </w:r>
          </w:p>
        </w:tc>
        <w:tc>
          <w:tcPr>
            <w:tcW w:w="0" w:type="dxa"/>
            <w:vAlign w:val="bottom"/>
          </w:tcPr>
          <w:p>
            <w:pPr>
              <w:spacing w:after="0"/>
              <w:rPr>
                <w:sz w:val="1"/>
                <w:szCs w:val="1"/>
                <w:color w:val="auto"/>
              </w:rPr>
            </w:pPr>
          </w:p>
        </w:tc>
      </w:tr>
      <w:tr>
        <w:trPr>
          <w:trHeight w:val="175"/>
        </w:trPr>
        <w:tc>
          <w:tcPr>
            <w:tcW w:w="1058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Note 19 - Earnings Per Share</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113</w:t>
            </w:r>
          </w:p>
        </w:tc>
        <w:tc>
          <w:tcPr>
            <w:tcW w:w="0" w:type="dxa"/>
            <w:vAlign w:val="bottom"/>
          </w:tcPr>
          <w:p>
            <w:pPr>
              <w:spacing w:after="0"/>
              <w:rPr>
                <w:sz w:val="1"/>
                <w:szCs w:val="1"/>
                <w:color w:val="auto"/>
              </w:rPr>
            </w:pPr>
          </w:p>
        </w:tc>
      </w:tr>
      <w:tr>
        <w:trPr>
          <w:trHeight w:val="20"/>
        </w:trPr>
        <w:tc>
          <w:tcPr>
            <w:tcW w:w="1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6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Note 20 - Business Segment Information</w:t>
            </w:r>
          </w:p>
        </w:tc>
        <w:tc>
          <w:tcPr>
            <w:tcW w:w="7620" w:type="dxa"/>
            <w:vAlign w:val="bottom"/>
            <w:tcBorders>
              <w:bottom w:val="single" w:sz="8" w:color="CCEEFF"/>
            </w:tcBorders>
            <w:gridSpan w:val="14"/>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114</w:t>
            </w:r>
          </w:p>
        </w:tc>
        <w:tc>
          <w:tcPr>
            <w:tcW w:w="0" w:type="dxa"/>
            <w:vAlign w:val="bottom"/>
          </w:tcPr>
          <w:p>
            <w:pPr>
              <w:spacing w:after="0"/>
              <w:rPr>
                <w:sz w:val="1"/>
                <w:szCs w:val="1"/>
                <w:color w:val="auto"/>
              </w:rPr>
            </w:pPr>
          </w:p>
        </w:tc>
      </w:tr>
      <w:tr>
        <w:trPr>
          <w:trHeight w:val="175"/>
        </w:trPr>
        <w:tc>
          <w:tcPr>
            <w:tcW w:w="1058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Note 21 - Fair Value of Financial Instruments</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117</w:t>
            </w:r>
          </w:p>
        </w:tc>
        <w:tc>
          <w:tcPr>
            <w:tcW w:w="0" w:type="dxa"/>
            <w:vAlign w:val="bottom"/>
          </w:tcPr>
          <w:p>
            <w:pPr>
              <w:spacing w:after="0"/>
              <w:rPr>
                <w:sz w:val="1"/>
                <w:szCs w:val="1"/>
                <w:color w:val="auto"/>
              </w:rPr>
            </w:pPr>
          </w:p>
        </w:tc>
      </w:tr>
      <w:tr>
        <w:trPr>
          <w:trHeight w:val="20"/>
        </w:trPr>
        <w:tc>
          <w:tcPr>
            <w:tcW w:w="1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58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 22 - Stock Compensation Plans and Retirement Plans</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124</w:t>
            </w:r>
          </w:p>
        </w:tc>
        <w:tc>
          <w:tcPr>
            <w:tcW w:w="0" w:type="dxa"/>
            <w:vAlign w:val="bottom"/>
          </w:tcPr>
          <w:p>
            <w:pPr>
              <w:spacing w:after="0"/>
              <w:rPr>
                <w:sz w:val="1"/>
                <w:szCs w:val="1"/>
                <w:color w:val="auto"/>
              </w:rPr>
            </w:pPr>
          </w:p>
        </w:tc>
      </w:tr>
      <w:tr>
        <w:trPr>
          <w:trHeight w:val="20"/>
        </w:trPr>
        <w:tc>
          <w:tcPr>
            <w:tcW w:w="12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3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58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Note 23 - Statutory Financial Information and Dividend Limitations</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128</w:t>
            </w:r>
          </w:p>
        </w:tc>
        <w:tc>
          <w:tcPr>
            <w:tcW w:w="0" w:type="dxa"/>
            <w:vAlign w:val="bottom"/>
          </w:tcPr>
          <w:p>
            <w:pPr>
              <w:spacing w:after="0"/>
              <w:rPr>
                <w:sz w:val="1"/>
                <w:szCs w:val="1"/>
                <w:color w:val="auto"/>
              </w:rPr>
            </w:pPr>
          </w:p>
        </w:tc>
      </w:tr>
      <w:tr>
        <w:trPr>
          <w:trHeight w:val="21"/>
        </w:trPr>
        <w:tc>
          <w:tcPr>
            <w:tcW w:w="1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40" w:type="dxa"/>
            <w:vAlign w:val="bottom"/>
            <w:tcBorders>
              <w:bottom w:val="single" w:sz="8" w:color="0000EE"/>
            </w:tcBorders>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Note 24 - Commitments and Contingencies</w:t>
            </w:r>
          </w:p>
        </w:tc>
        <w:tc>
          <w:tcPr>
            <w:tcW w:w="7440" w:type="dxa"/>
            <w:vAlign w:val="bottom"/>
            <w:tcBorders>
              <w:bottom w:val="single" w:sz="8" w:color="CCEEFF"/>
            </w:tcBorders>
            <w:gridSpan w:val="11"/>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130</w:t>
            </w:r>
          </w:p>
        </w:tc>
        <w:tc>
          <w:tcPr>
            <w:tcW w:w="0" w:type="dxa"/>
            <w:vAlign w:val="bottom"/>
          </w:tcPr>
          <w:p>
            <w:pPr>
              <w:spacing w:after="0"/>
              <w:rPr>
                <w:sz w:val="1"/>
                <w:szCs w:val="1"/>
                <w:color w:val="auto"/>
              </w:rPr>
            </w:pPr>
          </w:p>
        </w:tc>
      </w:tr>
      <w:tr>
        <w:trPr>
          <w:trHeight w:val="432"/>
        </w:trPr>
        <w:tc>
          <w:tcPr>
            <w:tcW w:w="9240" w:type="dxa"/>
            <w:vAlign w:val="bottom"/>
            <w:tcBorders>
              <w:bottom w:val="single" w:sz="8" w:color="auto"/>
            </w:tcBorders>
            <w:gridSpan w:val="28"/>
          </w:tcPr>
          <w:p>
            <w:pPr>
              <w:ind w:left="5540"/>
              <w:spacing w:after="0"/>
              <w:rPr>
                <w:sz w:val="20"/>
                <w:szCs w:val="20"/>
                <w:color w:val="auto"/>
              </w:rPr>
            </w:pPr>
            <w:r>
              <w:rPr>
                <w:rFonts w:ascii="Times New Roman" w:cs="Times New Roman" w:eastAsia="Times New Roman" w:hAnsi="Times New Roman"/>
                <w:sz w:val="18"/>
                <w:szCs w:val="18"/>
                <w:color w:val="auto"/>
              </w:rPr>
              <w:t>28</w:t>
            </w:r>
          </w:p>
        </w:tc>
        <w:tc>
          <w:tcPr>
            <w:tcW w:w="13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Security National Financial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Security National Financial Corporation and subsidiaries (the “Company”) as of December 31, 2025 and 2024, the related consolidated statements of earnings, comprehensive income, stockholders’ equity, and cash flows, for each of the two years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two years ended December 31, 2025, in conformity with accounting principles generally accepted in the United States of America.</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Company’s internal control over financial reporting as of December 31, 2025, based on criteria established in Internal Control — Integrated Framework (2013) issued by the Committee of Sponsoring Organizations of the Treadway Commission and our report dated March 16, 2026, expressed an adverse opinion on the Company’s internal control over financial reporting because of a material weakness.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Accounting Principle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 discussed in Note 1 to the financial statements, the Company changed its method of accounting, measurement, and disclosure of long-duration contracts effective December 31, 2025, using the modified retrospective method applied as of the transition date of January 1, 2024, due to adoption of ASU 2018-12, </w:t>
      </w:r>
      <w:r>
        <w:rPr>
          <w:rFonts w:ascii="Times New Roman" w:cs="Times New Roman" w:eastAsia="Times New Roman" w:hAnsi="Times New Roman"/>
          <w:sz w:val="18"/>
          <w:szCs w:val="18"/>
          <w:i w:val="1"/>
          <w:iCs w:val="1"/>
          <w:color w:val="auto"/>
        </w:rPr>
        <w:t>Financial Services - Insurance (Topic 944): Targeted Improvements to the Accounting for Long-Duration Contracts</w:t>
      </w:r>
      <w:r>
        <w:rPr>
          <w:rFonts w:ascii="Times New Roman" w:cs="Times New Roman" w:eastAsia="Times New Roman" w:hAnsi="Times New Roman"/>
          <w:sz w:val="18"/>
          <w:szCs w:val="18"/>
          <w:color w:val="auto"/>
        </w:rPr>
        <w:t xml:space="preserve"> (“ASU 2018-12”). The adoption is also communicated as a critical audit matter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1" w:name="page32"/>
    <w:bookmarkEnd w:id="3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Adoption of Accounting Pronouncements - Targeted Improvements to the Accounting for Long-Duration Contracts - Refer to Note 1 to the Financial Statements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adopted Accounting Standards Update (ASU) 2018-12, Financial Services—Insurance (Topic 944): Targeted Improvements to the Accounting for Long-Duration Contracts (“ASU 2018-12”) on December 31, 2025 using the modified retrospective application as of the transition date of January 1, 2024.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adoption of ASU 2018-12 significantly modified the Company’s accounting for and disclosure of long-duration life insurance contracts. We identified the adoption of ASU 2018-12 as a critical audit matter because of the need to involve actuarial specialists to evaluate assumptions and valuation models, the extent of audit effort required, and the inherent complexity involved in the selection and application of new accounting policies.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adoption of ASU 2018-12 included the following, among others:</w:t>
      </w:r>
    </w:p>
    <w:p>
      <w:pPr>
        <w:spacing w:after="0" w:line="225" w:lineRule="exact"/>
        <w:rPr>
          <w:sz w:val="20"/>
          <w:szCs w:val="20"/>
          <w:color w:val="auto"/>
        </w:rPr>
      </w:pPr>
    </w:p>
    <w:p>
      <w:pPr>
        <w:jc w:val="both"/>
        <w:ind w:left="340" w:hanging="332"/>
        <w:spacing w:after="0" w:line="266"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the application of new accounting policies and disclosure of the impact of adoption discussed in Note 1 to the financial statements, including controls over the valuation models and mortality and lapse assumptions used to estimate the liability for future policy benefits and amortization of deferred policy acquisition costs.</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appropriateness of the Company’s selection and application of accounting policies in connection with the adoption of the ASU 2018-12.</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actuarial specialists, we evaluated the reasonableness of the valuation models and assumptions used to estimate the liability for future policy benefits and amortization of deferred policy acquisition costs.</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i w:val="1"/>
          <w:iCs w:val="1"/>
          <w:color w:val="auto"/>
        </w:rPr>
        <w:t>F</w:t>
      </w:r>
      <w:r>
        <w:rPr>
          <w:rFonts w:ascii="Times New Roman" w:cs="Times New Roman" w:eastAsia="Times New Roman" w:hAnsi="Times New Roman"/>
          <w:sz w:val="18"/>
          <w:szCs w:val="18"/>
          <w:b w:val="1"/>
          <w:bCs w:val="1"/>
          <w:i w:val="1"/>
          <w:iCs w:val="1"/>
          <w:color w:val="auto"/>
        </w:rPr>
        <w:t>uture Policy Benefits for Life Insurance Contracts and Amortization of Deferred Policy Acquisition Costs for Insurance Contracts –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Underlying Assumptions for Certain Products- Refer to Notes 1, 9, and 12 to the financial statements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management sets assumptions in (1) estimating a liability for life insurance policy benefit payments that will be made in the future (future policy benefits for life insurance contracts) and (2) determining amortization of deferred policy acquisition costs for insurance contracts. The most significant assumptions include mortality and lapse. Assumptions are determined based on the company’s historical experience, industry data, and other factors. Given the inherent uncertainty of these assumptions, auditing the development of such assumptions involved especially subjective judgment.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audit procedures related to management’s judgments regarding the mortality and lapse assumptions used in the development of future policy benefits for life insurance contracts and the amortization of deferred policy acquisition costs for insurance contracts, included the following, among others:</w:t>
      </w:r>
    </w:p>
    <w:p>
      <w:pPr>
        <w:spacing w:after="0" w:line="162" w:lineRule="exact"/>
        <w:rPr>
          <w:sz w:val="20"/>
          <w:szCs w:val="20"/>
          <w:color w:val="auto"/>
        </w:rPr>
      </w:pPr>
    </w:p>
    <w:p>
      <w:pPr>
        <w:ind w:left="34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the development of these assumptions used in the valuation of future policy benefits and the amortization of deferred policy acquisition costs for certain insurance products, including the effectiveness of the controls over the underlying data.</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underlying data used in the development of these assumptions as well as in the valuation of future policy benefits and the amortization of deferred policy acquisition costs for certain insurance products.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actuarial specialists, we:</w:t>
      </w:r>
    </w:p>
    <w:p>
      <w:pPr>
        <w:spacing w:after="0" w:line="225"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60" w:val="left"/>
        </w:tabs>
        <w:numPr>
          <w:ilvl w:val="1"/>
          <w:numId w:val="8"/>
        </w:numPr>
        <w:rPr>
          <w:rFonts w:ascii="Arial" w:cs="Arial" w:eastAsia="Arial" w:hAnsi="Arial"/>
          <w:sz w:val="18"/>
          <w:szCs w:val="18"/>
          <w:color w:val="auto"/>
        </w:rPr>
      </w:pPr>
      <w:r>
        <w:rPr>
          <w:rFonts w:ascii="Times New Roman" w:cs="Times New Roman" w:eastAsia="Times New Roman" w:hAnsi="Times New Roman"/>
          <w:sz w:val="18"/>
          <w:szCs w:val="18"/>
          <w:color w:val="auto"/>
        </w:rPr>
        <w:t>Evaluated management’s methods, calculations and judgments regarding the development of these assumptions including evaluating the results of experience studies used as the basis for setting those assumptions.</w:t>
      </w:r>
    </w:p>
    <w:p>
      <w:pPr>
        <w:spacing w:after="0" w:line="162" w:lineRule="exact"/>
        <w:rPr>
          <w:rFonts w:ascii="Arial" w:cs="Arial" w:eastAsia="Arial" w:hAnsi="Arial"/>
          <w:sz w:val="18"/>
          <w:szCs w:val="18"/>
          <w:color w:val="auto"/>
        </w:rPr>
      </w:pPr>
    </w:p>
    <w:p>
      <w:pPr>
        <w:jc w:val="both"/>
        <w:ind w:left="660" w:right="20" w:hanging="328"/>
        <w:spacing w:after="0" w:line="265" w:lineRule="auto"/>
        <w:tabs>
          <w:tab w:leader="none" w:pos="660" w:val="left"/>
        </w:tabs>
        <w:numPr>
          <w:ilvl w:val="1"/>
          <w:numId w:val="8"/>
        </w:numPr>
        <w:rPr>
          <w:rFonts w:ascii="Arial" w:cs="Arial" w:eastAsia="Arial" w:hAnsi="Arial"/>
          <w:sz w:val="18"/>
          <w:szCs w:val="18"/>
          <w:color w:val="auto"/>
        </w:rPr>
      </w:pPr>
      <w:r>
        <w:rPr>
          <w:rFonts w:ascii="Times New Roman" w:cs="Times New Roman" w:eastAsia="Times New Roman" w:hAnsi="Times New Roman"/>
          <w:sz w:val="18"/>
          <w:szCs w:val="18"/>
          <w:color w:val="auto"/>
        </w:rPr>
        <w:t>Evaluated on a sample basis, through independent calculation of future policy benefits and amortization of deferred policy acquisition costs, the mathematical accuracy of management’s calculations, the appropriateness of valuation models, and whether these assumptions were properly applied.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Salt Lake City, UT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68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6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Fixed maturity securities, available for sale, at estimated fair value (amortized cost of</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$382,401,293 and $376,012,071 for 2025 and 2024, respectively; net of allowance for credit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losses of $579,450 and $420,993 for 2025 and 2024, respectively)</w:t>
            </w:r>
          </w:p>
        </w:tc>
        <w:tc>
          <w:tcPr>
            <w:tcW w:w="5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382,777,918</w:t>
            </w:r>
          </w:p>
        </w:tc>
        <w:tc>
          <w:tcPr>
            <w:tcW w:w="580" w:type="dxa"/>
            <w:vAlign w:val="bottom"/>
            <w:gridSpan w:val="2"/>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366,546,129</w:t>
            </w:r>
          </w:p>
        </w:tc>
        <w:tc>
          <w:tcPr>
            <w:tcW w:w="80" w:type="dxa"/>
            <w:vAlign w:val="bottom"/>
            <w:shd w:val="clear" w:color="auto" w:fill="CCEEFF"/>
          </w:tcPr>
          <w:p>
            <w:pPr>
              <w:spacing w:after="0"/>
              <w:rPr>
                <w:sz w:val="20"/>
                <w:szCs w:val="20"/>
                <w:color w:val="auto"/>
              </w:rPr>
            </w:pPr>
          </w:p>
        </w:tc>
      </w:tr>
      <w:tr>
        <w:trPr>
          <w:trHeight w:val="198"/>
        </w:trPr>
        <w:tc>
          <w:tcPr>
            <w:tcW w:w="6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Equity securities at estimated fair value (cost of $12,206,559 and $11,386,454 for 2025 and</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2024, respectively)</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18,050,062</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15,771,681</w:t>
            </w:r>
          </w:p>
        </w:tc>
        <w:tc>
          <w:tcPr>
            <w:tcW w:w="80" w:type="dxa"/>
            <w:vAlign w:val="bottom"/>
          </w:tcPr>
          <w:p>
            <w:pPr>
              <w:spacing w:after="0"/>
              <w:rPr>
                <w:sz w:val="20"/>
                <w:szCs w:val="20"/>
                <w:color w:val="auto"/>
              </w:rPr>
            </w:pPr>
          </w:p>
        </w:tc>
      </w:tr>
      <w:tr>
        <w:trPr>
          <w:trHeight w:val="198"/>
        </w:trPr>
        <w:tc>
          <w:tcPr>
            <w:tcW w:w="6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Mortgage loans held for investment (net of allowance for credit losses of $2,588,918 and</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$1,885,390 for 2025 and 2024, respectively)</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322,435,385</w:t>
            </w:r>
          </w:p>
        </w:tc>
        <w:tc>
          <w:tcPr>
            <w:tcW w:w="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301,747,358</w:t>
            </w:r>
          </w:p>
        </w:tc>
        <w:tc>
          <w:tcPr>
            <w:tcW w:w="80" w:type="dxa"/>
            <w:vAlign w:val="bottom"/>
            <w:shd w:val="clear" w:color="auto" w:fill="CCEEFF"/>
          </w:tcPr>
          <w:p>
            <w:pPr>
              <w:spacing w:after="0"/>
              <w:rPr>
                <w:sz w:val="20"/>
                <w:szCs w:val="20"/>
                <w:color w:val="auto"/>
              </w:rPr>
            </w:pPr>
          </w:p>
        </w:tc>
      </w:tr>
      <w:tr>
        <w:trPr>
          <w:trHeight w:val="198"/>
        </w:trPr>
        <w:tc>
          <w:tcPr>
            <w:tcW w:w="6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Real estate held for investment (net of accumulated depreciation of $37,159,212 and</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$31,419,539 for 2025 and 2024, respectively)</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214,897,130</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197,693,338</w:t>
            </w:r>
          </w:p>
        </w:tc>
        <w:tc>
          <w:tcPr>
            <w:tcW w:w="80" w:type="dxa"/>
            <w:vAlign w:val="bottom"/>
          </w:tcPr>
          <w:p>
            <w:pPr>
              <w:spacing w:after="0"/>
              <w:rPr>
                <w:sz w:val="20"/>
                <w:szCs w:val="20"/>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held for sale</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6,424,027</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1,278,033</w:t>
            </w:r>
          </w:p>
        </w:tc>
        <w:tc>
          <w:tcPr>
            <w:tcW w:w="80" w:type="dxa"/>
            <w:vAlign w:val="bottom"/>
            <w:shd w:val="clear" w:color="auto" w:fill="CCEEFF"/>
          </w:tcPr>
          <w:p>
            <w:pPr>
              <w:spacing w:after="0"/>
              <w:rPr>
                <w:sz w:val="18"/>
                <w:szCs w:val="18"/>
                <w:color w:val="auto"/>
              </w:rPr>
            </w:pPr>
          </w:p>
        </w:tc>
      </w:tr>
      <w:tr>
        <w:trPr>
          <w:trHeight w:val="198"/>
        </w:trPr>
        <w:tc>
          <w:tcPr>
            <w:tcW w:w="6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investments and policy loans (net of allowances for credit losses of $1,676,468 and</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$1,536,926 for 2025 and 2024, respectively)</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85,223,293</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74,855,041</w:t>
            </w:r>
          </w:p>
        </w:tc>
        <w:tc>
          <w:tcPr>
            <w:tcW w:w="80" w:type="dxa"/>
            <w:vAlign w:val="bottom"/>
          </w:tcPr>
          <w:p>
            <w:pPr>
              <w:spacing w:after="0"/>
              <w:rPr>
                <w:sz w:val="20"/>
                <w:szCs w:val="20"/>
                <w:color w:val="auto"/>
              </w:rPr>
            </w:pPr>
          </w:p>
        </w:tc>
      </w:tr>
      <w:tr>
        <w:trPr>
          <w:trHeight w:val="229"/>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9,054,645</w:t>
            </w: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8,499,168</w:t>
            </w:r>
          </w:p>
        </w:tc>
        <w:tc>
          <w:tcPr>
            <w:tcW w:w="80" w:type="dxa"/>
            <w:vAlign w:val="bottom"/>
            <w:shd w:val="clear" w:color="auto" w:fill="CCEEFF"/>
          </w:tcPr>
          <w:p>
            <w:pPr>
              <w:spacing w:after="0"/>
              <w:rPr>
                <w:sz w:val="19"/>
                <w:szCs w:val="19"/>
                <w:color w:val="auto"/>
              </w:rPr>
            </w:pPr>
          </w:p>
        </w:tc>
      </w:tr>
      <w:tr>
        <w:trPr>
          <w:trHeight w:val="210"/>
        </w:trPr>
        <w:tc>
          <w:tcPr>
            <w:tcW w:w="6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1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1,038,862,460</w:t>
            </w: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966,390,748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102,256,828</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140,546,421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Loans held for sale at estimated fair value</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155,968,266</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131,181,148</w:t>
            </w:r>
          </w:p>
        </w:tc>
        <w:tc>
          <w:tcPr>
            <w:tcW w:w="80" w:type="dxa"/>
            <w:vAlign w:val="bottom"/>
          </w:tcPr>
          <w:p>
            <w:pPr>
              <w:spacing w:after="0"/>
              <w:rPr>
                <w:sz w:val="18"/>
                <w:szCs w:val="18"/>
                <w:color w:val="auto"/>
              </w:rPr>
            </w:pPr>
          </w:p>
        </w:tc>
      </w:tr>
      <w:tr>
        <w:trPr>
          <w:trHeight w:val="198"/>
        </w:trPr>
        <w:tc>
          <w:tcPr>
            <w:tcW w:w="6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Receivables (net of allowance for credit losses of $1,428,672 and $1,678,531 for 2025 and</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respectively)</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15,611,074</w:t>
            </w:r>
          </w:p>
        </w:tc>
        <w:tc>
          <w:tcPr>
            <w:tcW w:w="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15,858,743</w:t>
            </w:r>
          </w:p>
        </w:tc>
        <w:tc>
          <w:tcPr>
            <w:tcW w:w="80" w:type="dxa"/>
            <w:vAlign w:val="bottom"/>
            <w:shd w:val="clear" w:color="auto" w:fill="CCEEFF"/>
          </w:tcPr>
          <w:p>
            <w:pPr>
              <w:spacing w:after="0"/>
              <w:rPr>
                <w:sz w:val="20"/>
                <w:szCs w:val="20"/>
                <w:color w:val="auto"/>
              </w:rPr>
            </w:pPr>
          </w:p>
        </w:tc>
      </w:tr>
      <w:tr>
        <w:trPr>
          <w:trHeight w:val="198"/>
        </w:trPr>
        <w:tc>
          <w:tcPr>
            <w:tcW w:w="6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Restricted assets (including $16,106,168 and $12,323,535 for 2025 and 2024, respectively, at</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estimated fair value)</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28,805,946</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23,806,836</w:t>
            </w:r>
          </w:p>
        </w:tc>
        <w:tc>
          <w:tcPr>
            <w:tcW w:w="80" w:type="dxa"/>
            <w:vAlign w:val="bottom"/>
          </w:tcPr>
          <w:p>
            <w:pPr>
              <w:spacing w:after="0"/>
              <w:rPr>
                <w:sz w:val="20"/>
                <w:szCs w:val="20"/>
                <w:color w:val="auto"/>
              </w:rPr>
            </w:pPr>
          </w:p>
        </w:tc>
      </w:tr>
      <w:tr>
        <w:trPr>
          <w:trHeight w:val="198"/>
        </w:trPr>
        <w:tc>
          <w:tcPr>
            <w:tcW w:w="6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Cemetery perpetual care trust investments (including $6,575,744 and $5,689,706 for 2025</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2024, respectively, at estimated fair value)</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9,871,947</w:t>
            </w:r>
          </w:p>
        </w:tc>
        <w:tc>
          <w:tcPr>
            <w:tcW w:w="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8,836,503</w:t>
            </w:r>
          </w:p>
        </w:tc>
        <w:tc>
          <w:tcPr>
            <w:tcW w:w="80" w:type="dxa"/>
            <w:vAlign w:val="bottom"/>
            <w:shd w:val="clear" w:color="auto" w:fill="CCEEFF"/>
          </w:tcPr>
          <w:p>
            <w:pPr>
              <w:spacing w:after="0"/>
              <w:rPr>
                <w:sz w:val="20"/>
                <w:szCs w:val="20"/>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Receivable from reinsurers</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13,655,373</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13,816,663</w:t>
            </w: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 land and improvements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11,299,283</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10,594,632</w:t>
            </w: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Mortgage servicing rights, net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2,528,459</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2,939,878</w:t>
            </w: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18,211,717</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19,047,688</w:t>
            </w: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Deferred policy and pre-need contract acquisition costs</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135,978,803</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127,219,907</w:t>
            </w: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 of business acquired</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7,109,186</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7,602,521</w:t>
            </w: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5,253,783</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5,253,783</w:t>
            </w:r>
          </w:p>
        </w:tc>
        <w:tc>
          <w:tcPr>
            <w:tcW w:w="80" w:type="dxa"/>
            <w:vAlign w:val="bottom"/>
          </w:tcPr>
          <w:p>
            <w:pPr>
              <w:spacing w:after="0"/>
              <w:rPr>
                <w:sz w:val="18"/>
                <w:szCs w:val="18"/>
                <w:color w:val="auto"/>
              </w:rPr>
            </w:pPr>
          </w:p>
        </w:tc>
      </w:tr>
      <w:tr>
        <w:trPr>
          <w:trHeight w:val="230"/>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16,431,479</w:t>
            </w: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21,366,843</w:t>
            </w:r>
          </w:p>
        </w:tc>
        <w:tc>
          <w:tcPr>
            <w:tcW w:w="80" w:type="dxa"/>
            <w:vAlign w:val="bottom"/>
            <w:shd w:val="clear" w:color="auto" w:fill="CCEEFF"/>
          </w:tcPr>
          <w:p>
            <w:pPr>
              <w:spacing w:after="0"/>
              <w:rPr>
                <w:sz w:val="19"/>
                <w:szCs w:val="19"/>
                <w:color w:val="auto"/>
              </w:rPr>
            </w:pPr>
          </w:p>
        </w:tc>
      </w:tr>
      <w:tr>
        <w:trPr>
          <w:trHeight w:val="223"/>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1,561,844,604</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1,494,462,314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SHEETS (Continued)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42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10"/>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 policy benefits and unpaid claims</w:t>
            </w:r>
          </w:p>
        </w:tc>
        <w:tc>
          <w:tcPr>
            <w:tcW w:w="200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799,706,946</w:t>
            </w:r>
          </w:p>
        </w:tc>
        <w:tc>
          <w:tcPr>
            <w:tcW w:w="700" w:type="dxa"/>
            <w:vAlign w:val="bottom"/>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752,080,658</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Policyholder account balances</w:t>
            </w:r>
          </w:p>
        </w:tc>
        <w:tc>
          <w:tcPr>
            <w:tcW w:w="1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140,605,750</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142,807,316</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Unearned premium reserve</w:t>
            </w:r>
          </w:p>
        </w:tc>
        <w:tc>
          <w:tcPr>
            <w:tcW w:w="1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1,824,796</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2,013,245</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Bank and other loans payable</w:t>
            </w:r>
          </w:p>
        </w:tc>
        <w:tc>
          <w:tcPr>
            <w:tcW w:w="1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98,387,919</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106,740,104</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pre-need cemetery and mortuary contract revenues</w:t>
            </w:r>
          </w:p>
        </w:tc>
        <w:tc>
          <w:tcPr>
            <w:tcW w:w="1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22,991,603</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20,168,405</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Cemetery perpetual care obligation</w:t>
            </w:r>
          </w:p>
        </w:tc>
        <w:tc>
          <w:tcPr>
            <w:tcW w:w="1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5,918,776</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5,642,693</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4,150,119</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2,937,293</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 and accrued expenses</w:t>
            </w:r>
          </w:p>
        </w:tc>
        <w:tc>
          <w:tcPr>
            <w:tcW w:w="1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51,969,405</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55,633,661</w:t>
            </w:r>
          </w:p>
        </w:tc>
      </w:tr>
      <w:tr>
        <w:trPr>
          <w:trHeight w:val="230"/>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5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25,920,562</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24,540,512</w:t>
            </w:r>
          </w:p>
        </w:tc>
      </w:tr>
      <w:tr>
        <w:trPr>
          <w:trHeight w:val="209"/>
        </w:trPr>
        <w:tc>
          <w:tcPr>
            <w:tcW w:w="5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56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1,151,475,876</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1,112,563,887</w:t>
            </w:r>
          </w:p>
        </w:tc>
        <w:tc>
          <w:tcPr>
            <w:tcW w:w="100" w:type="dxa"/>
            <w:vAlign w:val="bottom"/>
            <w:tcBorders>
              <w:bottom w:val="single" w:sz="8" w:color="CCEEFF"/>
            </w:tcBorders>
          </w:tcPr>
          <w:p>
            <w:pPr>
              <w:spacing w:after="0"/>
              <w:rPr>
                <w:sz w:val="18"/>
                <w:szCs w:val="18"/>
                <w:color w:val="auto"/>
              </w:rPr>
            </w:pPr>
          </w:p>
        </w:tc>
      </w:tr>
      <w:tr>
        <w:trPr>
          <w:trHeight w:val="209"/>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1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stock - non-voting-$1.00 par value; 5,000,000 shares authorized;</w:t>
            </w:r>
          </w:p>
        </w:tc>
        <w:tc>
          <w:tcPr>
            <w:tcW w:w="2000" w:type="dxa"/>
            <w:vAlign w:val="bottom"/>
            <w:gridSpan w:val="2"/>
            <w:shd w:val="clear" w:color="auto" w:fill="CCEEFF"/>
          </w:tcPr>
          <w:p>
            <w:pPr>
              <w:jc w:val="right"/>
              <w:ind w:right="830"/>
              <w:spacing w:after="0" w:line="198" w:lineRule="exact"/>
              <w:rPr>
                <w:sz w:val="20"/>
                <w:szCs w:val="20"/>
                <w:color w:val="auto"/>
              </w:rPr>
            </w:pPr>
            <w:r>
              <w:rPr>
                <w:rFonts w:ascii="Times New Roman" w:cs="Times New Roman" w:eastAsia="Times New Roman" w:hAnsi="Times New Roman"/>
                <w:sz w:val="18"/>
                <w:szCs w:val="18"/>
                <w:color w:val="auto"/>
              </w:rPr>
              <w:t>none issued or</w:t>
            </w: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w:t>
            </w:r>
          </w:p>
        </w:tc>
        <w:tc>
          <w:tcPr>
            <w:tcW w:w="15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42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 - $2.00 par value; 40,000,000 shares authorized; 22,428,625 shares</w:t>
            </w: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and outstanding as of December 31, 2025 and 22,321,559 (1) shares issued and</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5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44,857,250</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42,510,012</w:t>
            </w:r>
          </w:p>
        </w:tc>
      </w:tr>
      <w:tr>
        <w:trPr>
          <w:trHeight w:val="198"/>
        </w:trPr>
        <w:tc>
          <w:tcPr>
            <w:tcW w:w="74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Class B: non-voting common stock - $1.00 par value; 5,000,000 shares authorized; none</w:t>
            </w: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issued or outstanding</w:t>
            </w:r>
          </w:p>
        </w:tc>
        <w:tc>
          <w:tcPr>
            <w:tcW w:w="1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42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C: convertible common stock - $2.00 par value; 6,000,000 shares authorized;</w:t>
            </w: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3,587,237 shares issued and outstanding as of December 31, 2025 and 3,492,674 (1) shares</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and outstanding as of December 31, 2024</w:t>
            </w:r>
          </w:p>
        </w:tc>
        <w:tc>
          <w:tcPr>
            <w:tcW w:w="15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7,174,474</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6,643,666</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89,867,763</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79,698,367</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 net of taxes</w:t>
            </w:r>
          </w:p>
        </w:tc>
        <w:tc>
          <w:tcPr>
            <w:tcW w:w="1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28,762,123</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33,719,629</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248,795,475</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227,804,439</w:t>
            </w:r>
          </w:p>
        </w:tc>
      </w:tr>
      <w:tr>
        <w:trPr>
          <w:trHeight w:val="198"/>
        </w:trPr>
        <w:tc>
          <w:tcPr>
            <w:tcW w:w="742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Treasury stock, at cost - 1,095,964 Class A shares and 104,604 Class C shares as of</w:t>
            </w: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2025; and 1,080,243 (1) Class A shares and 104,604 (1) Class C shares as of</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8"/>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5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(9,088,357)</w:t>
            </w: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(8,477,686)</w:t>
            </w:r>
          </w:p>
        </w:tc>
      </w:tr>
      <w:tr>
        <w:trPr>
          <w:trHeight w:val="210"/>
        </w:trPr>
        <w:tc>
          <w:tcPr>
            <w:tcW w:w="5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56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410,368,728</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381,898,427</w:t>
            </w:r>
          </w:p>
        </w:tc>
        <w:tc>
          <w:tcPr>
            <w:tcW w:w="100" w:type="dxa"/>
            <w:vAlign w:val="bottom"/>
            <w:tcBorders>
              <w:bottom w:val="single" w:sz="8" w:color="CCEEFF"/>
            </w:tcBorders>
          </w:tcPr>
          <w:p>
            <w:pPr>
              <w:spacing w:after="0"/>
              <w:rPr>
                <w:sz w:val="18"/>
                <w:szCs w:val="18"/>
                <w:color w:val="auto"/>
              </w:rPr>
            </w:pPr>
          </w:p>
        </w:tc>
      </w:tr>
      <w:tr>
        <w:trPr>
          <w:trHeight w:val="223"/>
        </w:trPr>
        <w:tc>
          <w:tcPr>
            <w:tcW w:w="5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5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1,561,844,604</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1,494,462,314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right="3500" w:firstLine="8"/>
        <w:spacing w:after="0" w:line="500" w:lineRule="auto"/>
        <w:tabs>
          <w:tab w:leader="none" w:pos="3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and outstanding shares have been adjusted retroactively for the effect of annual stock dividends. See accompanying notes to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EARNINGS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20" w:type="dxa"/>
            <w:vAlign w:val="bottom"/>
            <w:gridSpan w:val="6"/>
          </w:tcPr>
          <w:p>
            <w:pPr>
              <w:jc w:val="right"/>
              <w:ind w:right="114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23"/>
        </w:trPr>
        <w:tc>
          <w:tcPr>
            <w:tcW w:w="68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10"/>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Insurance premiums and other considerations</w:t>
            </w:r>
          </w:p>
        </w:tc>
        <w:tc>
          <w:tcPr>
            <w:tcW w:w="5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119,757,103</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119,655,745</w:t>
            </w: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fee income</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108,209,319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107,558,640</w:t>
            </w: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79,338,512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71,725,249</w:t>
            </w: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mortuary and cemetery sales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28,704,450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29,037,173</w:t>
            </w: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Gains on investments and other assets</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4,636,377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1,941,898</w:t>
            </w:r>
          </w:p>
        </w:tc>
      </w:tr>
      <w:tr>
        <w:trPr>
          <w:trHeight w:val="230"/>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3,941,777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4,603,963</w:t>
            </w:r>
          </w:p>
        </w:tc>
      </w:tr>
      <w:tr>
        <w:trPr>
          <w:trHeight w:val="209"/>
        </w:trPr>
        <w:tc>
          <w:tcPr>
            <w:tcW w:w="6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344,587,538</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334,522,668</w:t>
            </w:r>
          </w:p>
        </w:tc>
        <w:tc>
          <w:tcPr>
            <w:tcW w:w="100" w:type="dxa"/>
            <w:vAlign w:val="bottom"/>
            <w:tcBorders>
              <w:bottom w:val="single" w:sz="8" w:color="CCEEFF"/>
            </w:tcBorders>
          </w:tcPr>
          <w:p>
            <w:pPr>
              <w:spacing w:after="0"/>
              <w:rPr>
                <w:sz w:val="18"/>
                <w:szCs w:val="18"/>
                <w:color w:val="auto"/>
              </w:rPr>
            </w:pPr>
          </w:p>
        </w:tc>
      </w:tr>
      <w:tr>
        <w:trPr>
          <w:trHeight w:val="210"/>
        </w:trPr>
        <w:tc>
          <w:tcPr>
            <w:tcW w:w="6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Benefits and expenses:</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6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Policyholder benefits and claims (including the impact of assumption updates to the liability</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future policy benefits of nil and nil for 2025 and 2024, respectively)</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100,817,674</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100,613,091</w:t>
            </w:r>
          </w:p>
        </w:tc>
      </w:tr>
      <w:tr>
        <w:trPr>
          <w:trHeight w:val="198"/>
        </w:trPr>
        <w:tc>
          <w:tcPr>
            <w:tcW w:w="6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Amortization of deferred policy and pre-need acquisition costs and value of business</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acquired</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11,660,708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11,012,616</w:t>
            </w: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Commissions</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47,048,596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46,972,909</w:t>
            </w:r>
          </w:p>
        </w:tc>
      </w:tr>
      <w:tr>
        <w:trPr>
          <w:trHeight w:val="216"/>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Personnel</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87,151,803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85,084,802</w:t>
            </w:r>
          </w:p>
        </w:tc>
      </w:tr>
      <w:tr>
        <w:trPr>
          <w:trHeight w:val="216"/>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Advertising</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3,514,641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3,115,120</w:t>
            </w:r>
          </w:p>
        </w:tc>
      </w:tr>
      <w:tr>
        <w:trPr>
          <w:trHeight w:val="216"/>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Rent and rent related</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3,760,519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5,147,069</w:t>
            </w:r>
          </w:p>
        </w:tc>
      </w:tr>
      <w:tr>
        <w:trPr>
          <w:trHeight w:val="216"/>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on property and equipment</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2,425,185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2,383,621</w:t>
            </w:r>
          </w:p>
        </w:tc>
      </w:tr>
      <w:tr>
        <w:trPr>
          <w:trHeight w:val="216"/>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Costs related to funding mortgage loans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6,622,489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6,134,709</w:t>
            </w:r>
          </w:p>
        </w:tc>
      </w:tr>
      <w:tr>
        <w:trPr>
          <w:trHeight w:val="216"/>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30,997,264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27,627,210</w:t>
            </w: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4,518,965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4,254,100</w:t>
            </w:r>
          </w:p>
        </w:tc>
      </w:tr>
      <w:tr>
        <w:trPr>
          <w:trHeight w:val="23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and services sold – cemeteries and mortuaries</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4,660,090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4,803,528</w:t>
            </w:r>
          </w:p>
        </w:tc>
      </w:tr>
      <w:tr>
        <w:trPr>
          <w:trHeight w:val="210"/>
        </w:trPr>
        <w:tc>
          <w:tcPr>
            <w:tcW w:w="6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benefits and expenses</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303,177,934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297,148,775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6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before income taxes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41,409,604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37,373,893</w:t>
            </w:r>
          </w:p>
        </w:tc>
      </w:tr>
      <w:tr>
        <w:trPr>
          <w:trHeight w:val="23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(9,257,274)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(8,254,728)</w:t>
            </w:r>
          </w:p>
        </w:tc>
      </w:tr>
      <w:tr>
        <w:trPr>
          <w:trHeight w:val="223"/>
        </w:trPr>
        <w:tc>
          <w:tcPr>
            <w:tcW w:w="6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32,152,330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29,119,165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earnings per Class A equivalent common share (1)</w:t>
            </w:r>
          </w:p>
        </w:tc>
        <w:tc>
          <w:tcPr>
            <w:tcW w:w="5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1.30</w:t>
            </w:r>
          </w:p>
        </w:tc>
        <w:tc>
          <w:tcPr>
            <w:tcW w:w="5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6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earnings per Class A equivalent common share - assuming dilution (1)</w:t>
            </w:r>
          </w:p>
        </w:tc>
        <w:tc>
          <w:tcPr>
            <w:tcW w:w="5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1.26</w:t>
            </w:r>
          </w:p>
        </w:tc>
        <w:tc>
          <w:tcPr>
            <w:tcW w:w="5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6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Class A equivalent common shares outstanding (1)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24,727,498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24,492,597</w:t>
            </w:r>
          </w:p>
        </w:tc>
      </w:tr>
      <w:tr>
        <w:trPr>
          <w:trHeight w:val="216"/>
        </w:trPr>
        <w:tc>
          <w:tcPr>
            <w:tcW w:w="6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Class A equivalent common shares outstanding-assuming dilution (1)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25,484,312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25,186,505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jc w:val="both"/>
        <w:ind w:left="340" w:hanging="332"/>
        <w:spacing w:after="0" w:line="26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earnings per share have been adjusted retroactively for the effect of annual stock dividends. The weighted-average shares outstanding includes the weighted-average Class A common shares and the weighted-average Class C common shares determined on an equivalent Class A Common Stock basis. Net earnings per common share represent net earnings per equivalent Class A common share.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COMPREHENSIVE INCOME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20" w:type="dxa"/>
            <w:vAlign w:val="bottom"/>
            <w:gridSpan w:val="7"/>
          </w:tcPr>
          <w:p>
            <w:pPr>
              <w:jc w:val="right"/>
              <w:ind w:right="114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23"/>
        </w:trPr>
        <w:tc>
          <w:tcPr>
            <w:tcW w:w="614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8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32,152,330</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29,119,165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9"/>
        </w:trPr>
        <w:tc>
          <w:tcPr>
            <w:tcW w:w="6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gains (losses) on fixed maturity securities available for sale</w:t>
            </w: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10,001,025</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(11,042)</w:t>
            </w:r>
          </w:p>
        </w:tc>
      </w:tr>
      <w:tr>
        <w:trPr>
          <w:trHeight w:val="216"/>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gains on restricted assets</w:t>
            </w: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6,386</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841</w:t>
            </w:r>
          </w:p>
        </w:tc>
        <w:tc>
          <w:tcPr>
            <w:tcW w:w="80" w:type="dxa"/>
            <w:vAlign w:val="bottom"/>
          </w:tcPr>
          <w:p>
            <w:pPr>
              <w:spacing w:after="0"/>
              <w:rPr>
                <w:sz w:val="18"/>
                <w:szCs w:val="18"/>
                <w:color w:val="auto"/>
              </w:rPr>
            </w:pPr>
          </w:p>
        </w:tc>
      </w:tr>
      <w:tr>
        <w:trPr>
          <w:trHeight w:val="216"/>
        </w:trPr>
        <w:tc>
          <w:tcPr>
            <w:tcW w:w="6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gains (losses) on cemetery perpetual care trust investments</w:t>
            </w: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4,811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(1,403)</w:t>
            </w:r>
          </w:p>
        </w:tc>
      </w:tr>
      <w:tr>
        <w:trPr>
          <w:trHeight w:val="229"/>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remeasurement of future policy benefits</w:t>
            </w: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(16,285,885)</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44,966,236</w:t>
            </w:r>
          </w:p>
        </w:tc>
        <w:tc>
          <w:tcPr>
            <w:tcW w:w="80" w:type="dxa"/>
            <w:vAlign w:val="bottom"/>
          </w:tcPr>
          <w:p>
            <w:pPr>
              <w:spacing w:after="0"/>
              <w:rPr>
                <w:sz w:val="19"/>
                <w:szCs w:val="19"/>
                <w:color w:val="auto"/>
              </w:rPr>
            </w:pPr>
          </w:p>
        </w:tc>
      </w:tr>
      <w:tr>
        <w:trPr>
          <w:trHeight w:val="209"/>
        </w:trPr>
        <w:tc>
          <w:tcPr>
            <w:tcW w:w="61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 before income tax</w:t>
            </w:r>
          </w:p>
        </w:tc>
        <w:tc>
          <w:tcPr>
            <w:tcW w:w="8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(6,273,663)</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44,954,632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1,316,157</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(9,443,147)</w:t>
            </w:r>
          </w:p>
        </w:tc>
      </w:tr>
      <w:tr>
        <w:trPr>
          <w:trHeight w:val="209"/>
        </w:trPr>
        <w:tc>
          <w:tcPr>
            <w:tcW w:w="61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 net of income tax</w:t>
            </w:r>
          </w:p>
        </w:tc>
        <w:tc>
          <w:tcPr>
            <w:tcW w:w="8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(4,957,506</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35,511,485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6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84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27,194,824</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64,630,650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STOCKHOLDERS’ EQUITY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Class A</w:t>
            </w:r>
          </w:p>
        </w:tc>
        <w:tc>
          <w:tcPr>
            <w:tcW w:w="120" w:type="dxa"/>
            <w:vAlign w:val="bottom"/>
          </w:tcPr>
          <w:p>
            <w:pPr>
              <w:spacing w:after="0"/>
              <w:rPr>
                <w:sz w:val="18"/>
                <w:szCs w:val="18"/>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Class C</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20" w:type="dxa"/>
            <w:vAlign w:val="bottom"/>
          </w:tcPr>
          <w:p>
            <w:pPr>
              <w:spacing w:after="0"/>
              <w:rPr>
                <w:sz w:val="18"/>
                <w:szCs w:val="18"/>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440" w:type="dxa"/>
            <w:vAlign w:val="bottom"/>
            <w:gridSpan w:val="4"/>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Comprehensive</w:t>
            </w:r>
          </w:p>
        </w:tc>
        <w:tc>
          <w:tcPr>
            <w:tcW w:w="8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14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2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20" w:type="dxa"/>
            <w:vAlign w:val="bottom"/>
          </w:tcPr>
          <w:p>
            <w:pPr>
              <w:spacing w:after="0"/>
              <w:rPr>
                <w:sz w:val="20"/>
                <w:szCs w:val="20"/>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0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0" w:type="dxa"/>
            <w:vAlign w:val="bottom"/>
          </w:tcPr>
          <w:p>
            <w:pPr>
              <w:spacing w:after="0"/>
              <w:rPr>
                <w:sz w:val="20"/>
                <w:szCs w:val="20"/>
                <w:color w:val="auto"/>
              </w:rPr>
            </w:pPr>
          </w:p>
        </w:tc>
        <w:tc>
          <w:tcPr>
            <w:tcW w:w="13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80" w:type="dxa"/>
            <w:vAlign w:val="bottom"/>
          </w:tcPr>
          <w:p>
            <w:pPr>
              <w:spacing w:after="0"/>
              <w:rPr>
                <w:sz w:val="20"/>
                <w:szCs w:val="20"/>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14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1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2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$40,096,004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$ 5,943,708</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$72,424,429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(6,885,558)</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$ 206,978,373</w:t>
            </w: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(5,661,737)</w:t>
            </w: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$ 312,895,219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Adoption of ASU 2018-12</w:t>
            </w: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5,093,702</w:t>
            </w:r>
          </w:p>
        </w:tc>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(138,144)</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4,955,558</w:t>
            </w:r>
          </w:p>
        </w:tc>
        <w:tc>
          <w:tcPr>
            <w:tcW w:w="80" w:type="dxa"/>
            <w:vAlign w:val="bottom"/>
          </w:tcPr>
          <w:p>
            <w:pPr>
              <w:spacing w:after="0"/>
              <w:rPr>
                <w:sz w:val="18"/>
                <w:szCs w:val="18"/>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2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29,119,165</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29,119,165</w:t>
            </w:r>
          </w:p>
        </w:tc>
        <w:tc>
          <w:tcPr>
            <w:tcW w:w="80" w:type="dxa"/>
            <w:vAlign w:val="bottom"/>
            <w:shd w:val="clear" w:color="auto" w:fill="CCEEFF"/>
          </w:tcPr>
          <w:p>
            <w:pPr>
              <w:spacing w:after="0"/>
              <w:rPr>
                <w:sz w:val="18"/>
                <w:szCs w:val="18"/>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35,511,485</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35,511,485</w:t>
            </w:r>
          </w:p>
        </w:tc>
        <w:tc>
          <w:tcPr>
            <w:tcW w:w="80" w:type="dxa"/>
            <w:vAlign w:val="bottom"/>
          </w:tcPr>
          <w:p>
            <w:pPr>
              <w:spacing w:after="0"/>
              <w:rPr>
                <w:sz w:val="18"/>
                <w:szCs w:val="18"/>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 expense</w:t>
            </w:r>
          </w:p>
        </w:tc>
        <w:tc>
          <w:tcPr>
            <w:tcW w:w="12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800,820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800,820</w:t>
            </w:r>
          </w:p>
        </w:tc>
        <w:tc>
          <w:tcPr>
            <w:tcW w:w="80" w:type="dxa"/>
            <w:vAlign w:val="bottom"/>
            <w:shd w:val="clear" w:color="auto" w:fill="CCEEFF"/>
          </w:tcPr>
          <w:p>
            <w:pPr>
              <w:spacing w:after="0"/>
              <w:rPr>
                <w:sz w:val="18"/>
                <w:szCs w:val="18"/>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400,144</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403,334</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413,835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(768,191)</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449,122</w:t>
            </w:r>
          </w:p>
        </w:tc>
        <w:tc>
          <w:tcPr>
            <w:tcW w:w="80" w:type="dxa"/>
            <w:vAlign w:val="bottom"/>
          </w:tcPr>
          <w:p>
            <w:pPr>
              <w:spacing w:after="0"/>
              <w:rPr>
                <w:sz w:val="18"/>
                <w:szCs w:val="18"/>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2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3,570</w:t>
            </w: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(3,570)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Sale of treasury stock</w:t>
            </w: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214,816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1,005,748</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1,220,564</w:t>
            </w:r>
          </w:p>
        </w:tc>
        <w:tc>
          <w:tcPr>
            <w:tcW w:w="80" w:type="dxa"/>
            <w:vAlign w:val="bottom"/>
          </w:tcPr>
          <w:p>
            <w:pPr>
              <w:spacing w:after="0"/>
              <w:rPr>
                <w:sz w:val="18"/>
                <w:szCs w:val="18"/>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2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(3,053,506)</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(3,053,506)</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Stock dividends</w:t>
            </w: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2,009,762</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297,156</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5,848,037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(8,154,955)</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30"/>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Class C to Class A</w:t>
            </w:r>
          </w:p>
        </w:tc>
        <w:tc>
          <w:tcPr>
            <w:tcW w:w="12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532</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(532)</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r>
      <w:tr>
        <w:trPr>
          <w:trHeight w:val="209"/>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20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42,510,012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6,643,666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79,698,367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33,719,629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227,804,439</w:t>
            </w:r>
          </w:p>
        </w:tc>
        <w:tc>
          <w:tcPr>
            <w:tcW w:w="24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(8,477,686)</w:t>
            </w:r>
          </w:p>
        </w:tc>
        <w:tc>
          <w:tcPr>
            <w:tcW w:w="26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381,898,427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2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32,152,330</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32,152,330</w:t>
            </w:r>
          </w:p>
        </w:tc>
        <w:tc>
          <w:tcPr>
            <w:tcW w:w="80" w:type="dxa"/>
            <w:vAlign w:val="bottom"/>
            <w:shd w:val="clear" w:color="auto" w:fill="CCEEFF"/>
          </w:tcPr>
          <w:p>
            <w:pPr>
              <w:spacing w:after="0"/>
              <w:rPr>
                <w:sz w:val="18"/>
                <w:szCs w:val="18"/>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(4,957,506)</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(4,957,506)</w:t>
            </w: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 expense</w:t>
            </w:r>
          </w:p>
        </w:tc>
        <w:tc>
          <w:tcPr>
            <w:tcW w:w="12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1,320,497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1,320,497</w:t>
            </w:r>
          </w:p>
        </w:tc>
        <w:tc>
          <w:tcPr>
            <w:tcW w:w="80" w:type="dxa"/>
            <w:vAlign w:val="bottom"/>
            <w:shd w:val="clear" w:color="auto" w:fill="CCEEFF"/>
          </w:tcPr>
          <w:p>
            <w:pPr>
              <w:spacing w:after="0"/>
              <w:rPr>
                <w:sz w:val="18"/>
                <w:szCs w:val="18"/>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193,132</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190,674</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(128,785)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(149,009)</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106,012</w:t>
            </w:r>
          </w:p>
        </w:tc>
        <w:tc>
          <w:tcPr>
            <w:tcW w:w="80" w:type="dxa"/>
            <w:vAlign w:val="bottom"/>
          </w:tcPr>
          <w:p>
            <w:pPr>
              <w:spacing w:after="0"/>
              <w:rPr>
                <w:sz w:val="18"/>
                <w:szCs w:val="18"/>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2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19,452</w:t>
            </w: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(19,452)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Sale of treasury stock</w:t>
            </w: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310,630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1,148,387</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1,459,017</w:t>
            </w:r>
          </w:p>
        </w:tc>
        <w:tc>
          <w:tcPr>
            <w:tcW w:w="80" w:type="dxa"/>
            <w:vAlign w:val="bottom"/>
          </w:tcPr>
          <w:p>
            <w:pPr>
              <w:spacing w:after="0"/>
              <w:rPr>
                <w:sz w:val="18"/>
                <w:szCs w:val="18"/>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2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(1,610,049)</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(1,610,049)</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Stock dividends</w:t>
            </w: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2,133,106</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341,682</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8,686,506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(11,161,294)</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30"/>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Class C to Class A</w:t>
            </w:r>
          </w:p>
        </w:tc>
        <w:tc>
          <w:tcPr>
            <w:tcW w:w="12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1,548</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(1,548)</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r>
      <w:tr>
        <w:trPr>
          <w:trHeight w:val="223"/>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2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44,857,250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$ 7,174,474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89,867,763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28,762,123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248,795,475</w:t>
            </w:r>
          </w:p>
        </w:tc>
        <w:tc>
          <w:tcPr>
            <w:tcW w:w="2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(9,088,357</w:t>
            </w: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410,368,728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20" w:type="dxa"/>
            <w:vAlign w:val="bottom"/>
            <w:gridSpan w:val="6"/>
          </w:tcPr>
          <w:p>
            <w:pPr>
              <w:jc w:val="right"/>
              <w:ind w:right="1061"/>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23"/>
        </w:trPr>
        <w:tc>
          <w:tcPr>
            <w:tcW w:w="67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10"/>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earnings</w:t>
            </w:r>
          </w:p>
        </w:tc>
        <w:tc>
          <w:tcPr>
            <w:tcW w:w="6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32,152,330</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29,119,165</w:t>
            </w:r>
          </w:p>
        </w:tc>
      </w:tr>
      <w:tr>
        <w:trPr>
          <w:trHeight w:val="216"/>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Gains on investments and other assets</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(4,636,377)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(1,941,898)</w:t>
            </w:r>
          </w:p>
        </w:tc>
      </w:tr>
      <w:tr>
        <w:trPr>
          <w:trHeight w:val="216"/>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8,155,965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8,172,446</w:t>
            </w:r>
          </w:p>
        </w:tc>
      </w:tr>
      <w:tr>
        <w:trPr>
          <w:trHeight w:val="216"/>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2,055,026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55,750</w:t>
            </w:r>
          </w:p>
        </w:tc>
      </w:tr>
      <w:tr>
        <w:trPr>
          <w:trHeight w:val="216"/>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amortization of deferred fees and costs, premiums and discounts</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(2,652,873)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(1,992,153)</w:t>
            </w:r>
          </w:p>
        </w:tc>
      </w:tr>
      <w:tr>
        <w:trPr>
          <w:trHeight w:val="216"/>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deferred income taxes</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1,454,181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998,697</w:t>
            </w:r>
          </w:p>
        </w:tc>
      </w:tr>
      <w:tr>
        <w:trPr>
          <w:trHeight w:val="216"/>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Policy and pre-need acquisition costs deferred</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(19,926,269)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(21,343,031)</w:t>
            </w:r>
          </w:p>
        </w:tc>
      </w:tr>
      <w:tr>
        <w:trPr>
          <w:trHeight w:val="216"/>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Policy and pre-need acquisition costs amortized</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11,167,373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10,477,722</w:t>
            </w:r>
          </w:p>
        </w:tc>
      </w:tr>
      <w:tr>
        <w:trPr>
          <w:trHeight w:val="216"/>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Value of business acquired amortized</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493,335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534,894</w:t>
            </w:r>
          </w:p>
        </w:tc>
      </w:tr>
      <w:tr>
        <w:trPr>
          <w:trHeight w:val="216"/>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credited to policyholder account balances</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4,562,615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3,379,614</w:t>
            </w:r>
          </w:p>
        </w:tc>
      </w:tr>
      <w:tr>
        <w:trPr>
          <w:trHeight w:val="216"/>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Policy fees assessed on policyholder account balances</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(2,326,788)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(2,306,993)</w:t>
            </w:r>
          </w:p>
        </w:tc>
      </w:tr>
      <w:tr>
        <w:trPr>
          <w:trHeight w:val="216"/>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Mortgage servicing rights, additions</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(151,056)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(90,370)</w:t>
            </w:r>
          </w:p>
        </w:tc>
      </w:tr>
      <w:tr>
        <w:trPr>
          <w:trHeight w:val="216"/>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mortgage servicing rights</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562,475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611,638</w:t>
            </w:r>
          </w:p>
        </w:tc>
      </w:tr>
      <w:tr>
        <w:trPr>
          <w:trHeight w:val="216"/>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 based compensation expense</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1,320,497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800,820</w:t>
            </w:r>
          </w:p>
        </w:tc>
      </w:tr>
      <w:tr>
        <w:trPr>
          <w:trHeight w:val="216"/>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Benefit plans funded with treasury stock</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1,459,017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1,220,564</w:t>
            </w:r>
          </w:p>
        </w:tc>
      </w:tr>
      <w:tr>
        <w:trPr>
          <w:trHeight w:val="216"/>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change in fair value of loans held for sale</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(615,973)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(2,869,729)</w:t>
            </w:r>
          </w:p>
        </w:tc>
      </w:tr>
      <w:tr>
        <w:trPr>
          <w:trHeight w:val="216"/>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Originations of loans held for sale</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(2,296,054,902)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(2,295,830,408)</w:t>
            </w:r>
          </w:p>
        </w:tc>
      </w:tr>
      <w:tr>
        <w:trPr>
          <w:trHeight w:val="216"/>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sales of loans held for sale</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2,323,112,059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2,338,209,587</w:t>
            </w:r>
          </w:p>
        </w:tc>
      </w:tr>
      <w:tr>
        <w:trPr>
          <w:trHeight w:val="216"/>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gains on sales of loans held for sale</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(52,436,365)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(45,383,321)</w:t>
            </w: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Land and improvements held for sale</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(704,651)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(1,430,941)</w:t>
            </w:r>
          </w:p>
        </w:tc>
      </w:tr>
      <w:tr>
        <w:trPr>
          <w:trHeight w:val="216"/>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Future policy benefits and unpaid claims</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31,232,581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32,180,630</w:t>
            </w:r>
          </w:p>
        </w:tc>
      </w:tr>
      <w:tr>
        <w:trPr>
          <w:trHeight w:val="229"/>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operating assets and liabilities</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7,317,697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4,747,167</w:t>
            </w:r>
          </w:p>
        </w:tc>
      </w:tr>
      <w:tr>
        <w:trPr>
          <w:trHeight w:val="210"/>
        </w:trPr>
        <w:tc>
          <w:tcPr>
            <w:tcW w:w="678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45,539,897</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57,319,850</w:t>
            </w:r>
          </w:p>
        </w:tc>
        <w:tc>
          <w:tcPr>
            <w:tcW w:w="100" w:type="dxa"/>
            <w:vAlign w:val="bottom"/>
            <w:tcBorders>
              <w:bottom w:val="single" w:sz="8" w:color="CCEEFF"/>
            </w:tcBorders>
          </w:tcPr>
          <w:p>
            <w:pPr>
              <w:spacing w:after="0"/>
              <w:rPr>
                <w:sz w:val="18"/>
                <w:szCs w:val="18"/>
                <w:color w:val="auto"/>
              </w:rPr>
            </w:pPr>
          </w:p>
        </w:tc>
      </w:tr>
      <w:tr>
        <w:trPr>
          <w:trHeight w:val="210"/>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fixed maturity securities</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(68,178,727)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(85,235,694)</w:t>
            </w:r>
          </w:p>
        </w:tc>
      </w:tr>
      <w:tr>
        <w:trPr>
          <w:trHeight w:val="216"/>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calls and maturities of fixed maturity securities</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61,228,738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101,038,735</w:t>
            </w: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equity securities</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(5,072,820)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(3,098,448)</w:t>
            </w:r>
          </w:p>
        </w:tc>
      </w:tr>
      <w:tr>
        <w:trPr>
          <w:trHeight w:val="216"/>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of equity securities</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4,545,506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2,321,623</w:t>
            </w: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restricted assets</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(7,620,974)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(6,039,118)</w:t>
            </w:r>
          </w:p>
        </w:tc>
      </w:tr>
      <w:tr>
        <w:trPr>
          <w:trHeight w:val="216"/>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calls and maturities of restricted assets</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4,675,141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1,579,178</w:t>
            </w: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cemetery perpetual care trust investments</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(1,428,243)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(4,615,717)</w:t>
            </w:r>
          </w:p>
        </w:tc>
      </w:tr>
      <w:tr>
        <w:trPr>
          <w:trHeight w:val="216"/>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calls and maturities of cemetery perpetual care trust investments</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1,972,774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2,607,608</w:t>
            </w: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Mortgage loans held for investment, other investments and policy loans made</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(856,738,839)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(740,739,575)</w:t>
            </w:r>
          </w:p>
        </w:tc>
      </w:tr>
      <w:tr>
        <w:trPr>
          <w:trHeight w:val="198"/>
        </w:trPr>
        <w:tc>
          <w:tcPr>
            <w:tcW w:w="67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Payments received for mortgage loans held for investment, other investments and policy</w:t>
            </w: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w:t>
            </w:r>
          </w:p>
        </w:tc>
        <w:tc>
          <w:tcPr>
            <w:tcW w:w="2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826,248,424</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707,194,046</w:t>
            </w: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(1,691,272)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(2,470,032)</w:t>
            </w:r>
          </w:p>
        </w:tc>
      </w:tr>
      <w:tr>
        <w:trPr>
          <w:trHeight w:val="216"/>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of property and equipment</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75,722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365,697</w:t>
            </w: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real estate</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(63,928,088)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(52,348,798)</w:t>
            </w:r>
          </w:p>
        </w:tc>
      </w:tr>
      <w:tr>
        <w:trPr>
          <w:trHeight w:val="230"/>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of real estate</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38,704,832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36,306,431</w:t>
            </w:r>
          </w:p>
        </w:tc>
      </w:tr>
      <w:tr>
        <w:trPr>
          <w:trHeight w:val="209"/>
        </w:trPr>
        <w:tc>
          <w:tcPr>
            <w:tcW w:w="6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(67,207,826</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(43,134,064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426"/>
        </w:trPr>
        <w:tc>
          <w:tcPr>
            <w:tcW w:w="678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 (Continued)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20" w:type="dxa"/>
            <w:vAlign w:val="bottom"/>
            <w:gridSpan w:val="6"/>
          </w:tcPr>
          <w:p>
            <w:pPr>
              <w:jc w:val="right"/>
              <w:ind w:right="1061"/>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23"/>
        </w:trPr>
        <w:tc>
          <w:tcPr>
            <w:tcW w:w="67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10"/>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Policyholder account balances - deposits</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11,980,092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13,302,949</w:t>
            </w:r>
          </w:p>
        </w:tc>
      </w:tr>
      <w:tr>
        <w:trPr>
          <w:trHeight w:val="216"/>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Policyholder account balances - withdrawals</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(16,336,822)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(15,631,260)</w:t>
            </w:r>
          </w:p>
        </w:tc>
      </w:tr>
      <w:tr>
        <w:trPr>
          <w:trHeight w:val="216"/>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stock options exercised</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106,012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449,122</w:t>
            </w:r>
          </w:p>
        </w:tc>
      </w:tr>
      <w:tr>
        <w:trPr>
          <w:trHeight w:val="216"/>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(1,610,049)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(3,053,506)</w:t>
            </w:r>
          </w:p>
        </w:tc>
      </w:tr>
      <w:tr>
        <w:trPr>
          <w:trHeight w:val="216"/>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bank loans</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(71,047,816)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(1,929,346)</w:t>
            </w:r>
          </w:p>
        </w:tc>
      </w:tr>
      <w:tr>
        <w:trPr>
          <w:trHeight w:val="216"/>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bank loans</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69,000,000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change in warehouse line borrowings for loans held for sale</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(6,414,000)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2,855,476</w:t>
            </w:r>
          </w:p>
        </w:tc>
      </w:tr>
      <w:tr>
        <w:trPr>
          <w:trHeight w:val="210"/>
        </w:trPr>
        <w:tc>
          <w:tcPr>
            <w:tcW w:w="67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(14,322,583</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(4,006,565</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6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change in cash, cash equivalents, restricted cash and restricted cash equivalents</w:t>
            </w:r>
          </w:p>
        </w:tc>
        <w:tc>
          <w:tcPr>
            <w:tcW w:w="2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(35,990,512</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10,179,221</w:t>
            </w:r>
          </w:p>
        </w:tc>
        <w:tc>
          <w:tcPr>
            <w:tcW w:w="100" w:type="dxa"/>
            <w:vAlign w:val="bottom"/>
            <w:tcBorders>
              <w:bottom w:val="single" w:sz="8" w:color="CCEEFF"/>
            </w:tcBorders>
          </w:tcPr>
          <w:p>
            <w:pPr>
              <w:spacing w:after="0"/>
              <w:rPr>
                <w:sz w:val="18"/>
                <w:szCs w:val="18"/>
                <w:color w:val="auto"/>
              </w:rPr>
            </w:pPr>
          </w:p>
        </w:tc>
      </w:tr>
      <w:tr>
        <w:trPr>
          <w:trHeight w:val="209"/>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restricted cash and restricted cash equivalents at beginning of year</w:t>
            </w:r>
          </w:p>
        </w:tc>
        <w:tc>
          <w:tcPr>
            <w:tcW w:w="2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150,102,620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139,923,399</w:t>
            </w:r>
          </w:p>
        </w:tc>
        <w:tc>
          <w:tcPr>
            <w:tcW w:w="100" w:type="dxa"/>
            <w:vAlign w:val="bottom"/>
            <w:shd w:val="clear" w:color="auto" w:fill="CCEEFF"/>
          </w:tcPr>
          <w:p>
            <w:pPr>
              <w:spacing w:after="0"/>
              <w:rPr>
                <w:sz w:val="18"/>
                <w:szCs w:val="18"/>
                <w:color w:val="auto"/>
              </w:rPr>
            </w:pPr>
          </w:p>
        </w:tc>
      </w:tr>
      <w:tr>
        <w:trPr>
          <w:trHeight w:val="263"/>
        </w:trPr>
        <w:tc>
          <w:tcPr>
            <w:tcW w:w="6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restricted cash and restricted cash equivalents at end of year</w:t>
            </w:r>
          </w:p>
        </w:tc>
        <w:tc>
          <w:tcPr>
            <w:tcW w:w="24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114,112,108</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150,102,620</w:t>
            </w:r>
          </w:p>
        </w:tc>
        <w:tc>
          <w:tcPr>
            <w:tcW w:w="100" w:type="dxa"/>
            <w:vAlign w:val="bottom"/>
            <w:tcBorders>
              <w:bottom w:val="single" w:sz="8" w:color="CCEEFF"/>
            </w:tcBorders>
          </w:tcPr>
          <w:p>
            <w:pPr>
              <w:spacing w:after="0"/>
              <w:rPr>
                <w:sz w:val="22"/>
                <w:szCs w:val="22"/>
                <w:color w:val="auto"/>
              </w:rPr>
            </w:pPr>
          </w:p>
        </w:tc>
      </w:tr>
      <w:tr>
        <w:trPr>
          <w:trHeight w:val="197"/>
        </w:trPr>
        <w:tc>
          <w:tcPr>
            <w:tcW w:w="6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during the year for:</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6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4,540,371</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4,196,139</w:t>
            </w:r>
          </w:p>
        </w:tc>
      </w:tr>
      <w:tr>
        <w:trPr>
          <w:trHeight w:val="216"/>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 Income taxes</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6,436,909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8,070,000</w:t>
            </w:r>
          </w:p>
        </w:tc>
      </w:tr>
      <w:tr>
        <w:trPr>
          <w:trHeight w:val="216"/>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 Income taxes</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101,596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157,642</w:t>
            </w:r>
          </w:p>
        </w:tc>
      </w:tr>
      <w:tr>
        <w:trPr>
          <w:trHeight w:val="216"/>
        </w:trPr>
        <w:tc>
          <w:tcPr>
            <w:tcW w:w="6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 Cash Investing and Financing Activities:</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liabilities</w:t>
            </w:r>
          </w:p>
        </w:tc>
        <w:tc>
          <w:tcPr>
            <w:tcW w:w="68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2,582,742</w:t>
            </w:r>
          </w:p>
        </w:tc>
        <w:tc>
          <w:tcPr>
            <w:tcW w:w="5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1,770,873</w:t>
            </w:r>
          </w:p>
        </w:tc>
      </w:tr>
      <w:tr>
        <w:trPr>
          <w:trHeight w:val="216"/>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Fixed maturity securities available for sale transferred into other investments</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1,185,603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 loans held for investment foreclosed into real estate held for sale</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874,087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671,480</w:t>
            </w:r>
          </w:p>
        </w:tc>
      </w:tr>
      <w:tr>
        <w:trPr>
          <w:trHeight w:val="216"/>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Loans held for sale foreclosed into real estate held for sale</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380,000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858,977</w:t>
            </w:r>
          </w:p>
        </w:tc>
      </w:tr>
      <w:tr>
        <w:trPr>
          <w:trHeight w:val="216"/>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assets obtained in exchange for finance lease liabilities</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33,500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176,040</w:t>
            </w:r>
          </w:p>
        </w:tc>
      </w:tr>
      <w:tr>
        <w:trPr>
          <w:trHeight w:val="234"/>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Loans held for sale foreclosed into receivables</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382,936</w:t>
            </w: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Reconciliation of cash, cash equivalents, restricted cash and restricted cash equivalents as shown in the consolidated statements of cash flows is presented in the table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20" w:type="dxa"/>
            <w:vAlign w:val="bottom"/>
            <w:gridSpan w:val="7"/>
          </w:tcPr>
          <w:p>
            <w:pPr>
              <w:ind w:left="60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23"/>
        </w:trPr>
        <w:tc>
          <w:tcPr>
            <w:tcW w:w="698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102,256,828</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140,546,421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Restricted assets</w:t>
            </w:r>
          </w:p>
        </w:tc>
        <w:tc>
          <w:tcPr>
            <w:tcW w:w="4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9,919,800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8,553,803</w:t>
            </w:r>
          </w:p>
        </w:tc>
        <w:tc>
          <w:tcPr>
            <w:tcW w:w="80" w:type="dxa"/>
            <w:vAlign w:val="bottom"/>
          </w:tcPr>
          <w:p>
            <w:pPr>
              <w:spacing w:after="0"/>
              <w:rPr>
                <w:sz w:val="18"/>
                <w:szCs w:val="18"/>
                <w:color w:val="auto"/>
              </w:rPr>
            </w:pP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 perpetual care trust investments</w:t>
            </w:r>
          </w:p>
        </w:tc>
        <w:tc>
          <w:tcPr>
            <w:tcW w:w="4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1,935,480</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1,002,396</w:t>
            </w:r>
          </w:p>
        </w:tc>
        <w:tc>
          <w:tcPr>
            <w:tcW w:w="80" w:type="dxa"/>
            <w:vAlign w:val="bottom"/>
            <w:shd w:val="clear" w:color="auto" w:fill="CCEEFF"/>
          </w:tcPr>
          <w:p>
            <w:pPr>
              <w:spacing w:after="0"/>
              <w:rPr>
                <w:sz w:val="19"/>
                <w:szCs w:val="19"/>
                <w:color w:val="auto"/>
              </w:rPr>
            </w:pPr>
          </w:p>
        </w:tc>
      </w:tr>
      <w:tr>
        <w:trPr>
          <w:trHeight w:val="223"/>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Total cash, cash equivalents, restricted cash and restricted cash equivalents</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114,112,108</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150,102,620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9" w:name="page40"/>
    <w:bookmarkEnd w:id="39"/>
    <w:p>
      <w:pPr>
        <w:jc w:val="center"/>
        <w:ind w:right="60"/>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7"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Significant Accounting Policies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Overview of Business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Security National Financial Corporation and its wholly owned subsidiaries (the “Company”) operate in three reportable business segments: life insurance, cemetery and mortuary, and mortgages. The life insurance segment is engaged in the business of selling and servicing selected lines of life insurance and annuity products marketed primarily in the states located in western, mid-western and southern regions of the United States. The cemetery and mortuary segment of the Company consists of eleven mortuaries and five cemeteries in Utah, one cemetery in California, and four mortuaries and one cemetery in New Mexico. The mortgage segment is an approved government and conventional lender that originates and underwrites residential and commercial loans for new construction, existing homes, and real estate projects primarily in Arizona, California, Florida, Texas, and Utah.</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generally accepted accounting principles in the United States of America (“GAAP”).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consolidated financial statements include the financial statements of the Company and its wholly owned subsidiaries. All intercompany transactions and accounts have been eliminated in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of the Company has made several estimates and assumptions related to the reported amounts of assets and liabilities, reported amounts of revenues and expenses, and the disclosure of contingent assets and liabilities to prepare these financial statements in conformity with GAAP. Actual results could differ from those estimates.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Material estimates that are particularly susceptible to significant changes in the near term are those used in determining the value of derivative assets and liabilities; those used in determining deferred acquisition costs and the value of business acquired; those used in determining the liability for future policy benefits; those used in determining the value of loans held for sale; and those used in determining loan loss reserve. Although some variability is inherent in these estimates, management believes the amounts provided are fairly stated in all material respects.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prior-period amounts have been reclassified to conform to the current-period presentation.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management determines the appropriate classifications of investments in fixed maturity securities and equity securities at the acquisition date and re-evaluates the classifications at each balance sheet date.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Fixed maturity securities available for sale</w:t>
      </w:r>
      <w:r>
        <w:rPr>
          <w:rFonts w:ascii="Times New Roman" w:cs="Times New Roman" w:eastAsia="Times New Roman" w:hAnsi="Times New Roman"/>
          <w:sz w:val="18"/>
          <w:szCs w:val="18"/>
          <w:color w:val="auto"/>
        </w:rPr>
        <w:t xml:space="preserve"> are carried at estimated fair value. Changes in fair values are reported as unrealized gains or losses and are recorded in accumulated other comprehensive income (loss).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Equity securities</w:t>
      </w:r>
      <w:r>
        <w:rPr>
          <w:rFonts w:ascii="Times New Roman" w:cs="Times New Roman" w:eastAsia="Times New Roman" w:hAnsi="Times New Roman"/>
          <w:sz w:val="18"/>
          <w:szCs w:val="18"/>
          <w:color w:val="auto"/>
        </w:rPr>
        <w:t xml:space="preserve"> are carried at estimated fair value. Changes in fair values are reported as unrealized gains or losses and are recorded through net earnings as a component of gains (losses) on investments and other assets.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0" w:name="page41"/>
    <w:bookmarkEnd w:id="40"/>
    <w:p>
      <w:pPr>
        <w:jc w:val="center"/>
        <w:ind w:right="60"/>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7"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Significant Accounting Policies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Mortgage loans held for investment</w:t>
      </w:r>
      <w:r>
        <w:rPr>
          <w:rFonts w:ascii="Times New Roman" w:cs="Times New Roman" w:eastAsia="Times New Roman" w:hAnsi="Times New Roman"/>
          <w:sz w:val="18"/>
          <w:szCs w:val="18"/>
          <w:color w:val="auto"/>
        </w:rPr>
        <w:t xml:space="preserve"> are carried at their unpaid principal balances adjusted for net deferred fees, charge-offs, premiums, discounts, and the related allowance for credit losses. Interest income is included in net investment income on the consolidated statements of earnings and is recognized when earned. The Company defers related material loan origination fees, net of related direct loan origination costs, and amortizes the net fees over the term of the loans. Origination fees are included in net investment income on the consolidated statements of earnings. Mortgage loans are secured by the underlying property and require an appraisal at the time of underwriting and funding. Generally, the Company requires that loans not exceed 80% of the fair market value of the respective loan collateral. For loans of more than 80% of the fair market value of the respective loan collateral, additional collateral or mortgage insurance by an approved third-party insurer is required.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Real estate held for investment</w:t>
      </w:r>
      <w:r>
        <w:rPr>
          <w:rFonts w:ascii="Times New Roman" w:cs="Times New Roman" w:eastAsia="Times New Roman" w:hAnsi="Times New Roman"/>
          <w:sz w:val="18"/>
          <w:szCs w:val="18"/>
          <w:color w:val="auto"/>
        </w:rPr>
        <w:t xml:space="preserve"> is carried at cost, less accumulated depreciation provided on a straight-line basis over the estimated useful lives of the properties or is adjusted to a new basis for impairment in value, if any. Included, if any, are foreclosed properties. These properties are recorded at the lower of cost or fair value upon foreclosure. Also, included is residential subdivision land development which is carried at cost.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Real estate held for sale</w:t>
      </w:r>
      <w:r>
        <w:rPr>
          <w:rFonts w:ascii="Times New Roman" w:cs="Times New Roman" w:eastAsia="Times New Roman" w:hAnsi="Times New Roman"/>
          <w:sz w:val="18"/>
          <w:szCs w:val="18"/>
          <w:color w:val="auto"/>
        </w:rPr>
        <w:t xml:space="preserve"> is carried at lower of cost or fair value, less estimated costs to sell. Included, if any, are foreclosed properties. These properties are recorded at the lower of cost or fair value upon foreclosure. Depreciation is not recognized on real estate classified as held for sale.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investments and policy loans</w:t>
      </w:r>
      <w:r>
        <w:rPr>
          <w:rFonts w:ascii="Times New Roman" w:cs="Times New Roman" w:eastAsia="Times New Roman" w:hAnsi="Times New Roman"/>
          <w:sz w:val="18"/>
          <w:szCs w:val="18"/>
          <w:color w:val="auto"/>
        </w:rPr>
        <w:t xml:space="preserve"> are carried at the aggregate unpaid balances, less allowances for credit losses.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Accrued investment income</w:t>
      </w:r>
      <w:r>
        <w:rPr>
          <w:rFonts w:ascii="Times New Roman" w:cs="Times New Roman" w:eastAsia="Times New Roman" w:hAnsi="Times New Roman"/>
          <w:sz w:val="18"/>
          <w:szCs w:val="18"/>
          <w:color w:val="auto"/>
        </w:rPr>
        <w:t xml:space="preserve"> refers to the income earned from investments that has not yet been received by the Company.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Gains (losses) on investments (except for equity securities carried at fair value through net earnings)</w:t>
      </w:r>
      <w:r>
        <w:rPr>
          <w:rFonts w:ascii="Times New Roman" w:cs="Times New Roman" w:eastAsia="Times New Roman" w:hAnsi="Times New Roman"/>
          <w:sz w:val="18"/>
          <w:szCs w:val="18"/>
          <w:color w:val="auto"/>
        </w:rPr>
        <w:t xml:space="preserve"> arise when investments are sold and are recorded on the trade date and the cost of the securities sold is determined using the specific identification method. The provision (release) for credit losses for fixed maturity securities available for sale are also included in gains (losses) on investments. See Note 2 for more information regarding the Company’s evaluation of credit losses.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instruments purchased with an original maturity of three months or less to be cash equivalents. The Company maintains its cash in bank deposit accounts, which at times exceed federally insured limits. The Company has not experienced any losses in such accounts and believes it is not exposed to any significant credit risk on cash and cash equivalents.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Loans Held for Sale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Accounting Standards Codification (“ASC”) No. 825, “Financial Instruments”, allows for the option to report certain financial assets and liabilities at fair value initially and at subsequent measurement dates with changes in fair value included in earnings. The option may be applied instrument by instrument, but it is irrevocable. The Company elected the fair value option for loans held for sale. The Company believes the fair value option most closely aligns the timing of the recognition of gains and costs. These loans are intended for sale and the Company believes that fair value is the best indicator of the resolution of these loans. Electing fair value also reduces certain timing differences and better matches changes in the fair value of these assets with changes in the fair value of the related derivatives used for these assets.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1" w:name="page42"/>
    <w:bookmarkEnd w:id="41"/>
    <w:p>
      <w:pPr>
        <w:jc w:val="center"/>
        <w:ind w:right="40"/>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7"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Significant Accounting Policies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through its mortgage subsidiary, sells mortgage loans to third-party investors without recourse unless defects are identified in the representations and warranties made at loan sale. It may be required, however, to repurchase a loan or pay a fee instead of repurchasing under certain events, which include the following:</w:t>
      </w:r>
    </w:p>
    <w:p>
      <w:pPr>
        <w:spacing w:after="0" w:line="176" w:lineRule="exact"/>
        <w:rPr>
          <w:sz w:val="20"/>
          <w:szCs w:val="20"/>
          <w:color w:val="auto"/>
        </w:rPr>
      </w:pPr>
    </w:p>
    <w:p>
      <w:pPr>
        <w:ind w:left="680" w:hanging="213"/>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deliver original documents specified by the investor,</w:t>
      </w:r>
    </w:p>
    <w:p>
      <w:pPr>
        <w:spacing w:after="0" w:line="27" w:lineRule="exact"/>
        <w:rPr>
          <w:rFonts w:ascii="Times New Roman" w:cs="Times New Roman" w:eastAsia="Times New Roman" w:hAnsi="Times New Roman"/>
          <w:sz w:val="18"/>
          <w:szCs w:val="18"/>
          <w:color w:val="auto"/>
        </w:rPr>
      </w:pPr>
    </w:p>
    <w:p>
      <w:pPr>
        <w:ind w:left="680" w:hanging="213"/>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misrepresentation or fraud in the origination of the loan,</w:t>
      </w:r>
    </w:p>
    <w:p>
      <w:pPr>
        <w:spacing w:after="0" w:line="9" w:lineRule="exact"/>
        <w:rPr>
          <w:rFonts w:ascii="Times New Roman" w:cs="Times New Roman" w:eastAsia="Times New Roman" w:hAnsi="Times New Roman"/>
          <w:sz w:val="18"/>
          <w:szCs w:val="18"/>
          <w:color w:val="auto"/>
        </w:rPr>
      </w:pPr>
    </w:p>
    <w:p>
      <w:pPr>
        <w:ind w:left="680" w:hanging="213"/>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becomes delinquent due to nonpayment during the first several months after it is sold,</w:t>
      </w:r>
    </w:p>
    <w:p>
      <w:pPr>
        <w:spacing w:after="0" w:line="9" w:lineRule="exact"/>
        <w:rPr>
          <w:rFonts w:ascii="Times New Roman" w:cs="Times New Roman" w:eastAsia="Times New Roman" w:hAnsi="Times New Roman"/>
          <w:sz w:val="18"/>
          <w:szCs w:val="18"/>
          <w:color w:val="auto"/>
        </w:rPr>
      </w:pPr>
    </w:p>
    <w:p>
      <w:pPr>
        <w:ind w:left="680" w:hanging="213"/>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Early pay-off of a loan, as defined by the agreements,</w:t>
      </w:r>
    </w:p>
    <w:p>
      <w:pPr>
        <w:spacing w:after="0" w:line="9" w:lineRule="exact"/>
        <w:rPr>
          <w:rFonts w:ascii="Times New Roman" w:cs="Times New Roman" w:eastAsia="Times New Roman" w:hAnsi="Times New Roman"/>
          <w:sz w:val="18"/>
          <w:szCs w:val="18"/>
          <w:color w:val="auto"/>
        </w:rPr>
      </w:pPr>
    </w:p>
    <w:p>
      <w:pPr>
        <w:ind w:left="680" w:hanging="213"/>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Excessive time to settle a loan,</w:t>
      </w:r>
    </w:p>
    <w:p>
      <w:pPr>
        <w:spacing w:after="0" w:line="9" w:lineRule="exact"/>
        <w:rPr>
          <w:rFonts w:ascii="Times New Roman" w:cs="Times New Roman" w:eastAsia="Times New Roman" w:hAnsi="Times New Roman"/>
          <w:sz w:val="18"/>
          <w:szCs w:val="18"/>
          <w:color w:val="auto"/>
        </w:rPr>
      </w:pPr>
    </w:p>
    <w:p>
      <w:pPr>
        <w:ind w:left="680" w:hanging="213"/>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declines purchase, and</w:t>
      </w:r>
    </w:p>
    <w:p>
      <w:pPr>
        <w:spacing w:after="0" w:line="9" w:lineRule="exact"/>
        <w:rPr>
          <w:rFonts w:ascii="Times New Roman" w:cs="Times New Roman" w:eastAsia="Times New Roman" w:hAnsi="Times New Roman"/>
          <w:sz w:val="18"/>
          <w:szCs w:val="18"/>
          <w:color w:val="auto"/>
        </w:rPr>
      </w:pPr>
    </w:p>
    <w:p>
      <w:pPr>
        <w:ind w:left="680" w:hanging="213"/>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Discontinued product and expired commitment.</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Loan purchase commitments generally specify a date 30 to 45 days after delivery upon which the underlying loans should be settled. Depending on market conditions, these commitment settlement dates can be extended at a cost to the Company.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the Company’s policy to cure any documentation problems regarding such loans at a minimal cost for up to a six-month period and to pursue efforts to enforce loan purchase commitments from third-party investors concerning the loans. The Company believes that six months allows adequate time to remedy any documentation issues, to enforce purchase commitments, and to exhaust other alternatives. Remedial methods include the following:</w:t>
      </w:r>
    </w:p>
    <w:p>
      <w:pPr>
        <w:spacing w:after="0" w:line="176" w:lineRule="exact"/>
        <w:rPr>
          <w:sz w:val="20"/>
          <w:szCs w:val="20"/>
          <w:color w:val="auto"/>
        </w:rPr>
      </w:pPr>
    </w:p>
    <w:p>
      <w:pPr>
        <w:ind w:left="680" w:hanging="213"/>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reasons for rejection,</w:t>
      </w:r>
    </w:p>
    <w:p>
      <w:pPr>
        <w:spacing w:after="0" w:line="27" w:lineRule="exact"/>
        <w:rPr>
          <w:rFonts w:ascii="Times New Roman" w:cs="Times New Roman" w:eastAsia="Times New Roman" w:hAnsi="Times New Roman"/>
          <w:sz w:val="18"/>
          <w:szCs w:val="18"/>
          <w:color w:val="auto"/>
        </w:rPr>
      </w:pPr>
    </w:p>
    <w:p>
      <w:pPr>
        <w:ind w:left="680" w:hanging="213"/>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additional documents,</w:t>
      </w:r>
    </w:p>
    <w:p>
      <w:pPr>
        <w:spacing w:after="0" w:line="9" w:lineRule="exact"/>
        <w:rPr>
          <w:rFonts w:ascii="Times New Roman" w:cs="Times New Roman" w:eastAsia="Times New Roman" w:hAnsi="Times New Roman"/>
          <w:sz w:val="18"/>
          <w:szCs w:val="18"/>
          <w:color w:val="auto"/>
        </w:rPr>
      </w:pPr>
    </w:p>
    <w:p>
      <w:pPr>
        <w:ind w:left="680" w:hanging="213"/>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investor exceptions,</w:t>
      </w:r>
    </w:p>
    <w:p>
      <w:pPr>
        <w:spacing w:after="0" w:line="9" w:lineRule="exact"/>
        <w:rPr>
          <w:rFonts w:ascii="Times New Roman" w:cs="Times New Roman" w:eastAsia="Times New Roman" w:hAnsi="Times New Roman"/>
          <w:sz w:val="18"/>
          <w:szCs w:val="18"/>
          <w:color w:val="auto"/>
        </w:rPr>
      </w:pPr>
    </w:p>
    <w:p>
      <w:pPr>
        <w:ind w:left="680" w:hanging="213"/>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Appeal rejection decision to purchase committee, and</w:t>
      </w:r>
    </w:p>
    <w:p>
      <w:pPr>
        <w:spacing w:after="0" w:line="9" w:lineRule="exact"/>
        <w:rPr>
          <w:rFonts w:ascii="Times New Roman" w:cs="Times New Roman" w:eastAsia="Times New Roman" w:hAnsi="Times New Roman"/>
          <w:sz w:val="18"/>
          <w:szCs w:val="18"/>
          <w:color w:val="auto"/>
        </w:rPr>
      </w:pPr>
    </w:p>
    <w:p>
      <w:pPr>
        <w:ind w:left="680" w:hanging="213"/>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 to secondary investors.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Once purchase commitments have expired and other alternatives to remedy are exhausted, which could be earlier than the six-month period, the loans are referred to as scratch and dent, within the loans held for sale portfolio. Any previously recognized gain-on-sale or mortgage fee income related to the loan is reversed through earnings. Scratch and dent loans are recorded at fair value. The Company may reclassify a scratch and dent loan to mortgage loans held for investment. At that time, the Company establishes an allowance for credit losses in accordance with the current expected credit loss (“CECL”) model over the contractual term of the loan. The allowance is updated each reporting period based on changes in credit quality, including delinquency status.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Determining Fair Value</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cost for loans held for sale is equal to the amount paid to the warehouse bank and the amount originally funded by the Company. Fair value is often difficult to determine and may contain significant unobservable inputs, but is based on the following guidelines:</w:t>
      </w:r>
    </w:p>
    <w:p>
      <w:pPr>
        <w:spacing w:after="0" w:line="162" w:lineRule="exact"/>
        <w:rPr>
          <w:sz w:val="20"/>
          <w:szCs w:val="20"/>
          <w:color w:val="auto"/>
        </w:rPr>
      </w:pPr>
    </w:p>
    <w:p>
      <w:pPr>
        <w:ind w:left="680" w:hanging="213"/>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loans that are committed, the Company uses the commitment price.</w:t>
      </w:r>
    </w:p>
    <w:p>
      <w:pPr>
        <w:spacing w:after="0" w:line="27" w:lineRule="exact"/>
        <w:rPr>
          <w:rFonts w:ascii="Times New Roman" w:cs="Times New Roman" w:eastAsia="Times New Roman" w:hAnsi="Times New Roman"/>
          <w:sz w:val="18"/>
          <w:szCs w:val="18"/>
          <w:color w:val="auto"/>
        </w:rPr>
      </w:pPr>
    </w:p>
    <w:p>
      <w:pPr>
        <w:ind w:left="680" w:hanging="213"/>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loans that are non-committed that have an active market, the Company uses the market price.</w:t>
      </w:r>
    </w:p>
    <w:p>
      <w:pPr>
        <w:spacing w:after="0" w:line="9" w:lineRule="exact"/>
        <w:rPr>
          <w:rFonts w:ascii="Times New Roman" w:cs="Times New Roman" w:eastAsia="Times New Roman" w:hAnsi="Times New Roman"/>
          <w:sz w:val="18"/>
          <w:szCs w:val="18"/>
          <w:color w:val="auto"/>
        </w:rPr>
      </w:pPr>
    </w:p>
    <w:p>
      <w:pPr>
        <w:ind w:left="680" w:hanging="213"/>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loans that are non-committed where there is no market but there is a similar product, the Company uses the fair value for the similar product.</w:t>
      </w:r>
    </w:p>
    <w:p>
      <w:pPr>
        <w:spacing w:after="0" w:line="9" w:lineRule="exact"/>
        <w:rPr>
          <w:rFonts w:ascii="Times New Roman" w:cs="Times New Roman" w:eastAsia="Times New Roman" w:hAnsi="Times New Roman"/>
          <w:sz w:val="18"/>
          <w:szCs w:val="18"/>
          <w:color w:val="auto"/>
        </w:rPr>
      </w:pPr>
    </w:p>
    <w:p>
      <w:pPr>
        <w:ind w:left="680" w:right="20" w:hanging="213"/>
        <w:spacing w:after="0" w:line="260"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loans that are non-committed where no active market exists, the Company determines that the unpaid principal balance best approximates the fair value, after considering the fair value of the underlying real estate collateral, estimated future cash flows, and the loan interest rate.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2" w:name="page43"/>
    <w:bookmarkEnd w:id="42"/>
    <w:p>
      <w:pPr>
        <w:jc w:val="center"/>
        <w:ind w:right="40"/>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7"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Significant Accounting Policies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appraised value of the real estate underlying the original mortgage loan adds support to the Company’s determination of fair value because if the loan becomes delinquent the Company has sufficient value to collect the unpaid principal balance or the carrying value of the loan, thus minimizing credit losses. Most loans originated are sold to third-party investors. The amounts expected to be sold to investors are shown on the consolidated balance sheets as loans held for sale.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Mortgage Fee Income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Mortgage fee income consists of origination fees, processing fees, interest income and other income related to the origination and sale of mortgage loans held for sale. All revenues and costs are recognized when the mortgage loan is funded and any changes in fair value are shown as a component of mortgage fee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3 and Note 21 for additional disclosures regarding loans held for sale and mortgage fee income.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 Loss Reserve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loan loss reserve, included in other liabilities and accrued expenses on the consolidated balance sheets, is an estimate of probable losses at the balance sheet date that the Company will realize in the future on loans sold to third-party investors classified as loans held for sale on the consolidated balance sheets. The Company may be required to reimburse third-party investors for costs associated with early payoff of loans within six months of origination of such loans and to repurchase loans where there is a default, in any, of the first four monthly payments to the investors or, in lieu of repurchase, to pay a negotiated fee to the investors. The Company’s estimates are based upon historical loss experience and the best estimate of the probable loan loss liabilities.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Upon completion of a transfer that satisfies the conditions to be accounted for as a sale, the Company initially measures at fair value liabilities incurred in a sale relating to any guarantee or recourse provisions in the event of defects in the representation and warranties made at loan sale. The Company accrues a monthly allowance for indemnification losses to investors based on total production. This estimate is based on the Company’s historical experience and is included as a component of mortgage fee income. Subsequent updates to the recorded liability from changes in assumptions are recorded in selling, general and administrative expenses as a component of provision for loan loss reserve. The estimated liability for indemnification losses is included in other liabilities and accrued expenses.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loan loss reserve analysis involves mortgage loans that have been sold to third-party investors, which were believed to have met investor underwriting guidelines at the time of sale, where the Company has received a demand from the investor. There are generally three types of demands: make whole, repurchase, or indemnification. These types of demands are further described as follows:</w:t>
      </w:r>
    </w:p>
    <w:p>
      <w:pPr>
        <w:spacing w:after="0" w:line="174" w:lineRule="exact"/>
        <w:rPr>
          <w:sz w:val="20"/>
          <w:szCs w:val="20"/>
          <w:color w:val="auto"/>
        </w:rPr>
      </w:pPr>
    </w:p>
    <w:p>
      <w:pPr>
        <w:jc w:val="both"/>
        <w:ind w:left="6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Make whole demand </w:t>
      </w:r>
      <w:r>
        <w:rPr>
          <w:rFonts w:ascii="Times New Roman" w:cs="Times New Roman" w:eastAsia="Times New Roman" w:hAnsi="Times New Roman"/>
          <w:sz w:val="18"/>
          <w:szCs w:val="18"/>
          <w:color w:val="auto"/>
        </w:rPr>
        <w:t>— A make whole demand occurs when an investor forecloses on a property and then sells the property. The make whole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is calculated as the difference between the original unpaid principal balance, payments received, accrued interest and fees, less the sale proceeds.</w:t>
      </w:r>
    </w:p>
    <w:p>
      <w:pPr>
        <w:spacing w:after="0" w:line="173" w:lineRule="exact"/>
        <w:rPr>
          <w:sz w:val="20"/>
          <w:szCs w:val="20"/>
          <w:color w:val="auto"/>
        </w:rPr>
      </w:pPr>
    </w:p>
    <w:p>
      <w:pPr>
        <w:jc w:val="both"/>
        <w:ind w:left="6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Repurchase demand </w:t>
      </w:r>
      <w:r>
        <w:rPr>
          <w:rFonts w:ascii="Times New Roman" w:cs="Times New Roman" w:eastAsia="Times New Roman" w:hAnsi="Times New Roman"/>
          <w:sz w:val="18"/>
          <w:szCs w:val="18"/>
          <w:color w:val="auto"/>
        </w:rPr>
        <w:t>— A repurchase demand usually occurs when there is a significant payment default, error in underwriting or detected loan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fraud.</w:t>
      </w:r>
    </w:p>
    <w:p>
      <w:pPr>
        <w:spacing w:after="0" w:line="158" w:lineRule="exact"/>
        <w:rPr>
          <w:sz w:val="20"/>
          <w:szCs w:val="20"/>
          <w:color w:val="auto"/>
        </w:rPr>
      </w:pPr>
    </w:p>
    <w:p>
      <w:pPr>
        <w:jc w:val="both"/>
        <w:ind w:left="6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Indemnification demand </w:t>
      </w:r>
      <w:r>
        <w:rPr>
          <w:rFonts w:ascii="Times New Roman" w:cs="Times New Roman" w:eastAsia="Times New Roman" w:hAnsi="Times New Roman"/>
          <w:sz w:val="18"/>
          <w:szCs w:val="18"/>
          <w:color w:val="auto"/>
        </w:rPr>
        <w:t>— On certain loans the Company has negotiated a set fee that is to be paid in lieu of repurchase. The fee varies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investor and by loan product type.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believes the loan loss reserve represents probable loan losses incurred as of the balance sheet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related to the Loan Loss Reserve is included in Note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3" w:name="page44"/>
    <w:bookmarkEnd w:id="43"/>
    <w:p>
      <w:pPr>
        <w:jc w:val="center"/>
        <w:ind w:right="40"/>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7"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Significant Accounting Policies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Assets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Restricted assets are assets held in a trust account for future mortuary services and merchandise. Restricted assets also include escrows held for borrowers and investors under servicing and appraisal agreements relating to mortgage loans, funds held by warehouse banks in accordance with loan purchase agreements and funds held in escrow for certain real estate construction development projects. Additionally, the Company funded its medical benefit safe-harbor limit based on the qualified direct costs and has included this amount as a component of restricted cash. Additional information related to restricted assets is included in Notes 2 and 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Cemetery Perpetual Care Trust Investments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Cemetery endowment care trusts have been set up for five of the seven cemeteries owned by the Company. Under endowment care arrangements a portion of the price for each lot sold is withheld and invested in a portfolio of investments like those described in the prior paragraph. The earnings stream from the investments is designed to fund future maintenance and upkeep of the cemetery. Additional information related to cemetery perpetual care trust investments is included in Notes 2 and 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Cemetery Land and Improvements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development of a cemetery involves not only the initial acquisition of raw land but also the installation of roads, water lines, landscaping, and other costs to establish a marketable cemetery lot. The costs of developing the cemetery are shown as an asset on the balance sheet. The amount on the balance sheet is reduced by the total cost assigned to the development of a particular lot when the criterion for recognizing a sale of that lot is met.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Servicing Rights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Mortgage Servicing Rights (“MSR”) arise from contractual agreements between the Company and third-party investors (or their agents) when mortgage loans are sold. Under these contracts, the Company retains and provides loan servicing functions on loans sold, in exchange for fees and other remuneration. The servicing functions typically performed include, among other responsibilities, collecting and remitting loan payments; responding to borrower inquiries; accounting for principal and interest, holding custodial (impound) funds for payment of property taxes and insurance premiums; counseling delinquent mortgagors; and supervising the acquisition of real estate owned and property dispositions.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total residential mortgage loans serviced for others consist primarily of agency conforming fixed-rate mortgage loans. The value of MSRs is derived from the net cash flows associated with the servicing contracts. The Company receives a servicing fee of generally about 0.25% annually on the remaining outstanding principal balances of the loans. Based on the result of the cash flow analysis, an asset or liability is recorded for mortgage servicing rights. The servicing fees are collected from the monthly payments made by the mortgagors. The Company generally receives other remuneration including rights to various mortgagor-contracted fees such as late charges, and collateral reconveyance charges and the Company is generally entitled to retain the interest earned on funds held pending remittance of mortgagor principal, interest, tax, and insurance payments. Contractual servicing fees and late fees are included in other revenues on the consolidated statements of earnings.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subsequent accounting for MSRs is based on the class of MSRs. The Company has identified two classes of MSRs: MSRs backed by mortgage loans with an initial term of 30 years and MSRs backed by mortgage loans with an initial term of 15 years. The Company distinguishes between these classes of MSRs due to their differing sensitivities to change in value as the result of changes in the market. After being initially recorded at fair value, MSRs backed by mortgage loans are accounted for using the amortization method. Amortization expense is included in other expenses on the consolidated statements of earnings. MSR amortization is determined by amortizing the MSR balance in proportion to, and over the period of, the estimated future net servicing income of the underlying financial assets.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jc w:val="center"/>
        <w:ind w:right="40"/>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7"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Significant Accounting Policies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rate risk, prepayment risk, and default risk are inherent risks in MSR valuation. Interest rate changes largely drive prepayment rates. Refinance activity generally increases as rates decline. A significant decrease in rates beyond expectation could cause a decline in the value of the MSR. On the contrary, if rates increase borrowers are less likely to refinance or prepay their mortgage, which extends the duration of the loan and MSR values are likely to rise. Because of these risks, discount rates and prepayment speeds are used to estimate the fair value.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periodically assesses MSRs for impairment. Impairment occurs when the current fair value of the MSR falls below the carrying value (carrying value is the amortized cost reduced by any related valuation allowance). If MSRs are impaired, the impairment is recognized in current period earnings and the carrying value of the MSRs is adjusted through a valuation allowance.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periodically reviews the various loan strata to determine whether the value of the MSRs in each stratum is impaired and likely to recover. When management deems recovery of the value to be unlikely in the foreseeable future, a write-down of the cost of the MSRs for that stratum to its estimated recoverable value is charged to the valuation allowance.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related to MSRs is included in Note 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Property and equipment are recorded at cost. Depreciation is calculated principally on the straight-line method over the estimated useful lives of the assets which range from three to forty years. Leasehold improvements paid for by the Company as a lessee are amortized over the lesser of the useful life or remaining lease terms. Additional information related to property and equipment is included in Note 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Long-lived Assets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Long-lived assets to be held and used, including property and equipment and real estate held for investment, are reviewed for impairment whenever events or changes in circumstances indicate that the related carrying amount may not be recoverable. When required, impairment losses on assets to be held and used are recognized based on the fair value of the asset, and long-lived assets to be disposed of are reported at the lower of carrying amount or fair value less costs to sell. Additional information related to long-lived assets is included in Notes 2 and 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Policy Acquisition Costs and Value of Business Acquired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Commissions and other acquisition costs, net of commission and expense allowances for reinsurance ceded, that vary with and are primarily related to the production of new insurance business that have been incurred are deferred. For traditional long-duration life insurance products, deferred policy acquisition costs (“DAC”) are amortized on a constant-level basis established on a cohort-grouped contract basis over the expected term of the related contracts, with the amortization basis being units in force using assumptions consistent with those used in computing the liability for future policy benefits. For policyholder account balance insurance products, DAC is amortized using the policy counts for annuities and units in-force for interest sensitive life products. Deferred acquisition costs are written off when policies terminate.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5" w:name="page46"/>
    <w:bookmarkEnd w:id="45"/>
    <w:p>
      <w:pPr>
        <w:jc w:val="center"/>
        <w:ind w:right="60"/>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7"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Significant Accounting Policies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When accounting for DAC, the Company considers internal replacements of insurance and investment contracts. An internal replacement is a modification in product benefits, features, rights, or coverage that occurs by the exchange of a contract for a new contract, or by amendment, endorsement, or rider to contract, or by the election of a feature or coverage within a contract. Modifications that result in a replacement contract that is substantially changed from the replaced contract are accounted for as an extinguishment of the replaced contract. Unamortized DAC and unearned revenue liabilities from the replaced contract are written-off. Modifications that result in a contract that is substantially unchanged from the replaced contract are accounted for as a continuation of the replaced contract.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 of business acquired (“VOBA”) is the present value of estimated future profits of the acquired business and is amortized in the same way as DAC.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related to DAC and VOBA is included in Note 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Other Intangible Assets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Previous acquisitions have been accounted for as purchases under which assets acquired, and liabilities assumed were recorded at their fair values with the excess purchase price recognized as goodwill. The Company evaluates annually or when changes in circumstances warrant the recoverability of goodwill and if there is a decrease in value, the related impairment is recognized as a charge against income.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intangibles are recognized apart from goodwill whenever an acquired intangible asset arises from contractual or other legal rights, or whenever it is capable of being separated or divided from the acquired entity and sold, transferred, licensed, rented, or exchanged, either individually or in combination with a related contract, asset, or liability. The Company engages a third-party valuation firm to analyze the value of the intangible assets that result from significant acquisitions. The value of the intangible assets that result from these acquisitions are included in Other Assets and are determined using the income approach, relying on a relief from the royalty method.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related to goodwill and other intangible assets is included in Note 10.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Mortgage Banking Derivatives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Loan Commitments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exposed to price risk due to the potential impact of changes in interest rates on the values of loan commitments from the time a loan commitment is made to an applicant to the time the loan that would result from the exercise of that loan commitment is funded. Managing price risk is complicated by the fact that the ultimate percentage of loan commitments that will be exercised (i.e., the number of loans that will be funded) fluctuates. The probability that a loan will not be funded, or the loan application is denied or withdrawn within the terms of the commitment is driven by several factors, particularly the change, if any, in mortgage rates following the issuance of the loan commitment.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6" w:name="page47"/>
    <w:bookmarkEnd w:id="46"/>
    <w:p>
      <w:pPr>
        <w:jc w:val="center"/>
        <w:ind w:right="60"/>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7"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Significant Accounting Policies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general, the probability of funding increases if mortgage rates rise and decreases if mortgage rates fall. This is due primarily to the relative attractiveness of current mortgage rates compared to the applicant’s committed rate. The probability that a loan will not be funded within the terms of the mortgage loan commitment also is influenced by the source of the applications (retail, broker, or correspondent channels), proximity to rate lock expiration, purpose for the loan (purchase or refinance), product type and the application approval status. The Company has developed fallout estimates using historical data that consider all the variables, as well as renegotiations of rate and point commitments that tend to occur when mortgage rates fall. These fallout estimates are used to estimate the number of loans that the Company expects to be funded within the terms of the loan commitments and are updated periodically to reflect the most current data.</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estimates the fair value of a loan commitment based on the change in estimated fair value of the underlying mortgage loan, quoted mortgage-backed securities (“MBS”) prices, estimates of the fair value of mortgage servicing rights, and an estimate of the probability that the mortgage loan will fund within the terms of the commitment net of estimated commission expense. The change in fair value of the underlying mortgage loan is measured from the date the loan commitment is issued and is shown net of related expenses. Following issuance, the value of a loan commitment can be either positive or negative depending upon the change in value of the underlying mortgage loans. Fallout rates and other factors from the Company’s recent historical data are used to estimate the quantity and value of mortgage loans that will fund within the terms of the commitments.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Forward Sale Commitments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utilizes forward commitments to economically hedge the price risk associated with its outstanding mortgage loan commitments. A forward commitment protects the Company from losses on sales of the loans arising from the exercise of the loan commitments. Management expects these types of commitments will experience changes in fair value in contrast to changes in fair value of the loan commitments, thereby reducing earnings volatility related to the recognition in earnings of changes in the values of the commitments.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net changes in fair value of loan commitments and forward sale commitments are shown in current earnings as a component of mortgage fee income on the consolidated statements of earnings. Mortgage banking derivatives are shown in other assets and other liabilities and accrued expenses on the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related to derivative instruments is included in Note 11.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Allowances for Credit Losses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records allowances for current expected credit losses from fixed maturity securities available for sale, mortgage loans held for investment, other investments, and receivables in accordance with GAAP. The allowances for credit losses are valuation accounts that are reported as a reduction of the financial asset’s cost basis and are measured on a pool basis when similar risk characteristics exist. The Company estimates allowances for credit losses using relevant available information from both internal and external sources. The Company considers its historical loss experience, analyzes current market conditions and forecasts and uses third-party assistance to arrive at current expected credit losses. Amounts are written off against the allowance for credit losses when determined to be uncollectible. See Notes 2 and 4 regarding the Company’s evaluation of allowances for credit losses.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7" w:name="page48"/>
    <w:bookmarkEnd w:id="47"/>
    <w:p>
      <w:pPr>
        <w:jc w:val="center"/>
        <w:ind w:right="40"/>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7"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Significant Accounting Policies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Policy Benefits and Unpaid Claims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 liability for future policy benefits is accrued as premium revenue is recognized, which is the present value of expected future policy benefits to be paid to or on behalf of policyholders less the present value of expected future net premiums to be collected from policyholders. This liability is calculated using a discount rate assumption that is an upper-medium grade fixed-income instrument yield as provided by Bloomberg’s Evaluated Pricing (“BVAL”) methodology. This discount rate for a particular cohort is locked-in when that cohort is closed to new contracts and is used for purposes of interest accretion for the future policy benefits liability and is reflected in policyholder benefits and claims on the consolidated statements of earnings. The current rate as of each reporting date is used to calculate an adjusted future policy benefit liability and is recognized through accumulated other comprehensive income (“AOCI”). Other assumptions include best-estimate mortality and lapse rates that are based on the company’s historical experience, industry data, and other factors; also estimates of expected non-level costs, such as termination or settlement costs. Routine policy maintenance costs are not included. These assumptions are reviewed at least annually. Any changes to these assumptions will be reflected in policyholder benefits and claims on the consolidated statements of earnings. Cohorts are established based on differences in Company (Acquisition), Direct Business v. Acquired, Market (Final Expense v. Pre-need v. Ordinary), Limited-Payment v. Whole Life v. Term, issue year, and significant reinsurance. A deferred profit liability (“DPL”) is also held. The DPL equals accumulated deferrals (prior to and including the valuation date) minus accumulated amortization, where “deferrals” equals the difference between gross and net premium, and “amortization” equals the product of the measure of in force policies (units in force) and an amortization ratio which is updated at the same time as the net premium ratio.</w:t>
      </w:r>
    </w:p>
    <w:p>
      <w:pPr>
        <w:spacing w:after="0" w:line="1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records an unpaid claims liability for claims in the course of settlement equal to the death benefit amount and records a reinsurance recoverable receivable amount, if any, for claims reported. There is also an unpaid claims liability for claims incurred but not reported. This liability is based on the historical experience of the net amount of claims that were reported in reporting periods subsequent to the reporting period when claims were incurred.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 information related to future policy benefits and unpaid claims is included in Note 1 for the adoption of Accounting Standards Update (“ASU”) 2018-12 and in Note 12.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Policyholder Account Balances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Policyholder account balances for interest-sensitive insurance products are computed under a retrospective deposit method and represent policy account balances before applicable surrender charges. Policy benefits and claims that are charged to expense include benefit claims incurred in the period more than related policy account balances. Interest credit rates for interest-sensitive insurance products ranged from 3% to 6.5%. Additional information related to policyholder account balances is included in Note 13.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Unearned Premium Reserve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Policy initiation fees (front end loads) assessed on universal life–type contracts that are not related to future services are deferred as an unearned revenue liability. The deferred amount is amortized into earnings analogous to the amortization of the deferred acquisition costs of this block of business. Additional information related to the unearned premium reserve is included in Note 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Participating Insurance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Participating business constituted less than 1% of insurance in force for the years ended 2025 and 2024. The provision for policyholders’ dividends included in policyholder obligations is based on dividend scales anticipated by management. The amounts to be paid are determined by the Company’s Board of Directors. The expense recognized for policyholder dividends is included in policyholder benefits and claims on the consolidated statements of earnings and is immaterial.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8" w:name="page49"/>
    <w:bookmarkEnd w:id="48"/>
    <w:p>
      <w:pPr>
        <w:jc w:val="center"/>
        <w:ind w:right="60"/>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7"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Significant Accounting Policies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Premiums and Other Considerations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Premiums and other considerations for traditional life insurance products (which include those products with fixed and guaranteed premiums and benefits and consist principally of whole life insurance policies, limited-payment life insurance policies, and certain annuities with life contingencies) are recognized as revenues when due from policyholders. Premiums and other consideration for interest-sensitive insurance policies (which include universal life policies, interest-sensitive life policies, deferred annuities, and annuities without life contingencies) are reflected as increases in liabilities for policyholder account balances and not as revenues. Revenues reported for these products consist of policy charges for the cost of insurance, administration charges, amortization of policy initiation fees and surrender charges assessed against policyholder account balances. Surrender benefits paid relating to these products are reflected as decreases in liabilities for policyholder account balances and not as expenses. The Company receives investment income earned from the funds deposited into account balances, a portion of which is passed through to the policyholders in the form of interest credited. Interest credited to policyholder account balances and benefit claims more than policyholder account balances are reported as expenses, included in policyholder benefits and claims, in the consolidated financial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Reinsurance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follows the procedure of reinsuring risks of more than $100,000 to provide for greater diversification of business to allow management to control exposure to potential losses arising from large risks and provide additional capacity for growth. The Company remains liable for amounts ceded in the event the reinsurers are unable to meet their obligations.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entered into coinsurance agreements with unaffiliated insurance companies under which the Company assumed 100% of the risk for certain life insurance policies and certain other policy-related liabilities of the insurance company.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Reinsurance premiums, commissions, expense reimbursements, and reserves related to reinsured business are accounted for on a basis consistent with those used in accounting for the original policies issued and the terms of the reinsurance contracts. Expense allowances received in connection with reinsurance ceded are accounted for as a reduction of the related policy acquisition costs and are deferred and amortized accordingly. Additional information related to reinsurance is included in Note 14.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Pre-need Sales and Costs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Pre-need contract sales of funeral services and caskets</w:t>
      </w:r>
      <w:r>
        <w:rPr>
          <w:rFonts w:ascii="Times New Roman" w:cs="Times New Roman" w:eastAsia="Times New Roman" w:hAnsi="Times New Roman"/>
          <w:sz w:val="18"/>
          <w:szCs w:val="18"/>
          <w:color w:val="auto"/>
        </w:rPr>
        <w:t xml:space="preserve"> - revenue and costs associated with the sales of pre-need funeral services and caskets are deferred until the performance obligations are fulfilled (services are performed or the caskets are delivered).</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Sales of cemetery interment rights (cemetery burial property)</w:t>
      </w:r>
      <w:r>
        <w:rPr>
          <w:rFonts w:ascii="Times New Roman" w:cs="Times New Roman" w:eastAsia="Times New Roman" w:hAnsi="Times New Roman"/>
          <w:sz w:val="18"/>
          <w:szCs w:val="18"/>
          <w:color w:val="auto"/>
        </w:rPr>
        <w:t xml:space="preserve"> - revenue and costs associated with the sale of cemetery interment rights are deferred until 10% of the sales price has been collected.</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Pre-need contract sales of cemetery merchandise (primarily markers and vaults)</w:t>
      </w:r>
      <w:r>
        <w:rPr>
          <w:rFonts w:ascii="Times New Roman" w:cs="Times New Roman" w:eastAsia="Times New Roman" w:hAnsi="Times New Roman"/>
          <w:sz w:val="18"/>
          <w:szCs w:val="18"/>
          <w:color w:val="auto"/>
        </w:rPr>
        <w:t xml:space="preserve"> - revenue and costs associated with the sale of pre-need cemetery merchandise is deferred until the merchandise is delivered to the Company.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9" w:name="page50"/>
    <w:bookmarkEnd w:id="49"/>
    <w:p>
      <w:pPr>
        <w:jc w:val="center"/>
        <w:ind w:right="60"/>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7"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Significant Accounting Policies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Pre-need contract sales of cemetery services (primarily merchandise delivery, installation fees and burial opening and closing fees)</w:t>
      </w:r>
      <w:r>
        <w:rPr>
          <w:rFonts w:ascii="Times New Roman" w:cs="Times New Roman" w:eastAsia="Times New Roman" w:hAnsi="Times New Roman"/>
          <w:sz w:val="18"/>
          <w:szCs w:val="18"/>
          <w:color w:val="auto"/>
        </w:rPr>
        <w:t xml:space="preserve"> - revenue and costs associated with the sales of pre-need cemetery services are deferred until the services are performed.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Prearranged funeral and pre-need cemetery customer acquisition costs</w:t>
      </w:r>
      <w:r>
        <w:rPr>
          <w:rFonts w:ascii="Times New Roman" w:cs="Times New Roman" w:eastAsia="Times New Roman" w:hAnsi="Times New Roman"/>
          <w:sz w:val="18"/>
          <w:szCs w:val="18"/>
          <w:color w:val="auto"/>
        </w:rPr>
        <w:t xml:space="preserve"> - costs incurred related to obtaining new pre-need contract cemetery and prearranged funeral services, which include only costs that vary with and are primarily related to the acquisition of new pre-need cemetery and prearranged funeral services, are deferred until the merchandise is delivered or services are performed.</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Revenues and costs for at-need sales are recorded when a valid contract exists, the services are performed, collection is reasonably assured and there are no significant performance obligations remaining.</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through its cemetery and mortuary operations, provides guaranteed funeral arrangements wherein a prospective customer can receive future goods and services at guaranteed prices. To accomplish this, the Company, through its life insurance operations, sells to the customer an increasing benefit life insurance policy that is assigned to the mortuaries. If, at the time of need, the policyholder/potential mortuary customer utilizes one of the Company’s facilities, the guaranteed funeral arrangement contract that has been assigned will provide the funeral goods and services at the contracted price. The increasing life insurance policy will cover the difference between the original contract prices and current prices. Risks may arise if the difference cannot be fully met by the life insurance policy. However, management believes that given current inflation rates and related price increases of goods and services, the risk of exposure is minimal.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related to pre-need sales and costs is included in Note 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Income taxes include taxes currently payable plus deferred taxes. Deferred tax assets and liabilities are recognized for the future tax consequences attributable to the temporary differences in the financial reporting basis and tax basis of assets and liabilities and operating loss carry-forwards. Deferred tax assets are measured using enacted tax rates expected to apply to taxable income in the years in which these temporary differences are expected to be recovered or settled. Liabilities are established for uncertain tax positions expected to be taken in income tax returns when such positions are judged to meet the “more-likely-than-not” threshold based on the technical merits of the positions. Deferred tax assets and liabilities require various estimates and judgments and may be affected favorably or unfavorably by various internal and external factors. Factors affecting the deferred tax assets and liabilities include, but are not limited to, changes in tax laws, regulations and/or rates, changing interpretations of existing tax laws or regulations, and changes to overall levels of pre-tax earnings. Changes in these estimates, judgments or factors may result in an increase or decrease to the Company’s deferred tax assets and liabilities with a related increase or decrease in the Company’s provision for income taxes. Estimated interest and penalties related to uncertain tax penalties are included as a component of income tax expense. Additional information related to income taxes is included in Note 1 for the adoption of ASU 2023-09 and Note 17.</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computes earnings per share, which requires a presentation of basic and diluted earnings per share. Basic earnings per equivalent Class A common share are computed by dividing net earnings by the weighted-average number of Class A common shares outstanding during each year presented, after the effect of the assumed conversion of Class C Common Stock to Class A Common Stock. Diluted earnings per share is computed by dividing net earnings by the weighted-average number of common shares outstanding during the year used to compute basic earnings per share plus dilutive potential incremental shares by application of the treasury stock method. Basic and diluted earnings per share amounts have been adjusted retroactively for the effect of annual stock dividends. Additional information related to earnings per share is included in Note 19.</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Based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cost of employee services received in exchange for an award of equity instruments is recognized in the financial statements and is measured based on the fair value on the grant date of the award. The fair value of stock options is calculated using the Black Scholes Option Pricing Model. Stock option compensation expense is recognized over the period during which an employee is required to provide service in exchange for the award and is included in personnel expenses on the consolidated statements of earnings. Additional information related to stock-based compensation is included in Note 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description of the concentration risk regarding available for sale debt securities, mortgage loans held for investment and real estate held for investment, refer to Note 2, and for receivables from reinsurers, refer to Note 14 of the Notes to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expenses advertising costs as incurred.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122" w:gutter="0" w:footer="0" w:header="0"/>
        </w:sectPr>
      </w:pPr>
    </w:p>
    <w:bookmarkStart w:id="50" w:name="page51"/>
    <w:bookmarkEnd w:id="50"/>
    <w:p>
      <w:pPr>
        <w:jc w:val="center"/>
        <w:ind w:right="60"/>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7"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Significant Accounting Policies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Standards Adopted in 2025</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u w:val="single" w:color="auto"/>
          <w:color w:val="auto"/>
        </w:rPr>
        <w:t>ASU No. 2018-12: “Financial Services – Insurance (Topic 944): Targeted Improvements to the Accounting for Long-Duration Contracts”</w:t>
      </w:r>
      <w:r>
        <w:rPr>
          <w:rFonts w:ascii="Times New Roman" w:cs="Times New Roman" w:eastAsia="Times New Roman" w:hAnsi="Times New Roman"/>
          <w:sz w:val="18"/>
          <w:szCs w:val="18"/>
          <w:color w:val="auto"/>
        </w:rPr>
        <w:t xml:space="preserve"> — Issued in August 2018, ASU 2018-12 is intended to improve the timeliness of recognizing changes in the liability for future policy benefits on traditional long-duration contracts by requiring that assumptions be updated after contract inception and by modifying the rate used to discount future cash flows. The standard is aimed at improving the accounting for certain market-based options or guarantees associated with deposit or account balance contracts, simplifying amortization of deferred acquisition costs while improving and expanding required disclosures. In November 2020, ASU No. 2020-11: “Financial Services – Insurance (Topic 944): Effective Date and Early Application,” was issued. This ASU was issued to provide additional time for the implementation of ASU No. 2018-12 by deferring the effective date by one year. For smaller reporting companies, this update is effective for annual reporting periods beginning after December 15, 2024, and interim reporting periods beginning after December 15, 2025. On December 31, 2025, the Company adopted ASU No. 2018-12, using the modified retrospective approach, for changes to the liability for future policy benefits and deferred policy acquisition costs. The Company applied the guidance as of a transition date of January 1, 2024, and retrospectively adjusted prior period amounts to reflect the new guidance. The Company’s consolidated financial statements are presented under the new guidance for reporting periods beginning January 1, 2024.</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After adoption, cash flow assumptions, such as mortality, lapse, and expense, will be reviewed at least annually and, if necessary, they will be updated to reflect actual experience and current expectations in the calculation of the Company’s future policy benefits. Historically, cash flow assumptions were locked in at policy issuance and remained in place for the life of the business—even when material variances emerged between assumptions and actual experience—except in the case of a premium deficiency. Under the new guidance, net premiums are capped at 100 percent of gross premiums at the cohort level. Adoption of this standard also requires changes in the future treatment of the Company’s Deferred Acquisition Cost (“DAC”) asset.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Historically, the interest rate used to calculate the Company’s future policy benefits was set at policy issuance and remained in effect for the life of the policy. The Company used an expected investment portfolio rate of return based on a conservative experience assumption. The new guidance seeks to improve reporting on the financial impact associated with interest rate sensitivity. To accomplish this, future policy benefits are calculated using a discount rate based on an upper-medium-grade (A-rated) fixed income instrument.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initial future policy benefit for each cohort is calculated using the original discount rate and then remeasured using the current discount rate curve. The original rate is used to determine interest accretion on the liability—which is included in net earnings—as well as to calculate the net premiums in both scenarios. The impact of remeasurement, from the original locked-in discount rate to the current rate, is reported as a component of the Company’s AOCI. This original discount rate is locked in at the cohort’s inception or at the Transition Date and will continue to be used in determining the impact on future net earnings associated with that contract.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DAC is used by insurance companies to defer costs related to acquiring insurance policies. Under the new guidance, amortization methods are simplified, and DAC for all insurance contracts will be subject to constant-level basis amortization over the lifetime of the policy. Historically, traditional life contracts were amortized in proportion to premiums over the expected premium-paying period. Additionally, shadow DAC is no longer reported.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requirements of the new guidance did not impact capital and surplus or net income under statutory accounting practices, cash flows on the Company’s policies, or the underlying economics of the Company’s business.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1" w:name="page52"/>
    <w:bookmarkEnd w:id="51"/>
    <w:p>
      <w:pPr>
        <w:jc w:val="center"/>
        <w:ind w:right="40"/>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7"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Significant Accounting Policies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the January 1, 2024 transition date impact by providing a roll forward of the ending reported balances as of December 31, 2023, to the opening balances as of January 1, 2024 for the impacted consolidated balance sheet line items.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Deferred</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Future Policy</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7"/>
              </w:rPr>
              <w:t>Accumulated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Receivable</w:t>
            </w: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Policy</w:t>
            </w: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Value of</w:t>
            </w: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Benefits and</w:t>
            </w:r>
          </w:p>
        </w:tc>
        <w:tc>
          <w:tcPr>
            <w:tcW w:w="60" w:type="dxa"/>
            <w:vAlign w:val="bottom"/>
          </w:tcPr>
          <w:p>
            <w:pPr>
              <w:spacing w:after="0"/>
              <w:rPr>
                <w:sz w:val="18"/>
                <w:szCs w:val="18"/>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Unearned</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from</w:t>
            </w: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Acquistion</w:t>
            </w: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Business</w:t>
            </w: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Unpaid</w:t>
            </w:r>
          </w:p>
        </w:tc>
        <w:tc>
          <w:tcPr>
            <w:tcW w:w="60" w:type="dxa"/>
            <w:vAlign w:val="bottom"/>
          </w:tcPr>
          <w:p>
            <w:pPr>
              <w:spacing w:after="0"/>
              <w:rPr>
                <w:sz w:val="18"/>
                <w:szCs w:val="18"/>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Premium</w:t>
            </w: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Income</w:t>
            </w:r>
          </w:p>
        </w:tc>
        <w:tc>
          <w:tcPr>
            <w:tcW w:w="13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Comprehensive</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Retained</w:t>
            </w:r>
          </w:p>
        </w:tc>
      </w:tr>
      <w:tr>
        <w:trPr>
          <w:trHeight w:val="234"/>
        </w:trPr>
        <w:tc>
          <w:tcPr>
            <w:tcW w:w="198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Reinsurers</w:t>
            </w: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Costs</w:t>
            </w: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Acquired</w:t>
            </w: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Claims</w:t>
            </w:r>
          </w:p>
        </w:tc>
        <w:tc>
          <w:tcPr>
            <w:tcW w:w="60" w:type="dxa"/>
            <w:vAlign w:val="bottom"/>
          </w:tcPr>
          <w:p>
            <w:pPr>
              <w:spacing w:after="0"/>
              <w:rPr>
                <w:sz w:val="20"/>
                <w:szCs w:val="20"/>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Reserve</w:t>
            </w: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Taxes</w:t>
            </w:r>
          </w:p>
        </w:tc>
        <w:tc>
          <w:tcPr>
            <w:tcW w:w="13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Income (loss)</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Earnings</w:t>
            </w:r>
          </w:p>
        </w:tc>
      </w:tr>
      <w:tr>
        <w:trPr>
          <w:trHeight w:val="178"/>
        </w:trPr>
        <w:tc>
          <w:tcPr>
            <w:tcW w:w="198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Balance as reported,</w:t>
            </w:r>
          </w:p>
        </w:tc>
        <w:tc>
          <w:tcPr>
            <w:tcW w:w="9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4"/>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$14,857,059</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4"/>
              </w:rPr>
              <w:t>$ 116,351,067</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$ 8,467,613</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6"/>
              </w:rPr>
              <w:t>$ 916,038,616</w:t>
            </w:r>
          </w:p>
        </w:tc>
        <w:tc>
          <w:tcPr>
            <w:tcW w:w="11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$ 2,543,822</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$13,752,981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(6,885,558)</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4"/>
              </w:rPr>
              <w:t>$ 206,978,373</w:t>
            </w:r>
          </w:p>
        </w:tc>
      </w:tr>
      <w:tr>
        <w:trPr>
          <w:trHeight w:val="198"/>
        </w:trPr>
        <w:tc>
          <w:tcPr>
            <w:tcW w:w="1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Effect of discount rate</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of future</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policy benefits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(6,775,997)</w:t>
            </w: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1,422,959</w:t>
            </w: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5,353,038</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Removal of related</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in accumulated</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3,531</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(330,494)</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1,310</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(68,937)</w:t>
            </w: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(259,336)</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balance sheet</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reclassifications and</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8"/>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(164,530)</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296</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10,632</w:t>
            </w: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(36,722)</w:t>
            </w: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(138,144)</w:t>
            </w:r>
          </w:p>
        </w:tc>
      </w:tr>
      <w:tr>
        <w:trPr>
          <w:trHeight w:val="178"/>
        </w:trPr>
        <w:tc>
          <w:tcPr>
            <w:tcW w:w="198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Balance as adjusted,</w:t>
            </w:r>
          </w:p>
        </w:tc>
        <w:tc>
          <w:tcPr>
            <w:tcW w:w="9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61"/>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2024</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14,692,529</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4"/>
              </w:rPr>
              <w:t>$ 116,354,598</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$ 8,137,415</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909,273,251</w:t>
            </w:r>
          </w:p>
        </w:tc>
        <w:tc>
          <w:tcPr>
            <w:tcW w:w="11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$ 2,545,132</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15,070,281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(1,791,856)</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206,840,229</w:t>
            </w: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transition date impacts associated with the adoption of ASU No. 2018-12 were applied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Future Policy Benefits (“FPB”) (See Note 12)</w:t>
      </w:r>
    </w:p>
    <w:p>
      <w:pPr>
        <w:spacing w:after="0" w:line="225" w:lineRule="exact"/>
        <w:rPr>
          <w:sz w:val="20"/>
          <w:szCs w:val="20"/>
          <w:color w:val="auto"/>
        </w:rPr>
      </w:pPr>
    </w:p>
    <w:p>
      <w:pPr>
        <w:jc w:val="both"/>
        <w:ind w:left="980" w:hanging="324"/>
        <w:spacing w:after="0" w:line="254"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in-force as of the transition date were grouped into cohorts; a revised NPR was calculated for each cohort using the existing transition date balance, best estimate cash flow assumptions without a provision for adverse deviation, and the historical discount rates used for the contracts within the cohort prior to the adoption of ASU No. 2018-12 (the “locked-in” discount rate). For any cohorts where the net premiums exceeded gross premiums (NPR exceeded 100%), the FPB was increased by $10,214 for the excess of net premiums over gross premiums, with a corresponding adjustment recorded to opening retained earnings as of the transition date;</w:t>
      </w:r>
    </w:p>
    <w:p>
      <w:pPr>
        <w:spacing w:after="0" w:line="3"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between the FPB calculated at the current upper-medium grade discount rate and the FPB calculated at the locked-in discount rate was recorded as an adjustment to opening accumulated other comprehensive income as of the transition date; and</w:t>
      </w: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Corresponding adjustments were made to ceded reinsurance balances.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Limited-payment long-duration products transition follows a similar approach to traditional non-participating products, except that these product cohorts may have a deferred profit liability (“DPL”) which is adjusted at the transition date. If an increase to FPB depleted the DPL, the remaining adjustment was recorded to opening retained earnings as of the transition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Deferred Acquisition Costs (“DAC”) and Value of Business Acquired (“VOBA”) (See Note 9)</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opening balances of these accounts were adjusted for the removal of the related amounts in accumulated other comprehensive income, as these balances are no longer amortized using expected future gross premiums, margins, profits or earned premiums.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2" w:name="page53"/>
    <w:bookmarkEnd w:id="52"/>
    <w:p>
      <w:pPr>
        <w:jc w:val="center"/>
        <w:ind w:right="40"/>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7" w:lineRule="exact"/>
        <w:rPr>
          <w:sz w:val="20"/>
          <w:szCs w:val="20"/>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Significant Accounting Policies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present amounts as previously reported in 2024, the effect upon those amounts from the adoption of the new guidance under ASU No. 2018-12, and the resulting adjusted amounts that are reflected in the consolidated financial statements included herein. The following tables only include those line items impacted by the adoption of the new guidance.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2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December 31, 2024</w:t>
            </w:r>
          </w:p>
        </w:tc>
        <w:tc>
          <w:tcPr>
            <w:tcW w:w="2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1"/>
        </w:trPr>
        <w:tc>
          <w:tcPr>
            <w:tcW w:w="5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gridSpan w:val="2"/>
          </w:tcPr>
          <w:p>
            <w:pPr>
              <w:jc w:val="center"/>
              <w:ind w:right="470"/>
              <w:spacing w:after="0" w:line="191" w:lineRule="exact"/>
              <w:rPr>
                <w:sz w:val="20"/>
                <w:szCs w:val="20"/>
                <w:color w:val="auto"/>
              </w:rPr>
            </w:pPr>
            <w:r>
              <w:rPr>
                <w:rFonts w:ascii="Times New Roman" w:cs="Times New Roman" w:eastAsia="Times New Roman" w:hAnsi="Times New Roman"/>
                <w:sz w:val="18"/>
                <w:szCs w:val="18"/>
                <w:color w:val="auto"/>
                <w:w w:val="98"/>
              </w:rPr>
              <w:t>As Previously</w:t>
            </w:r>
          </w:p>
        </w:tc>
        <w:tc>
          <w:tcPr>
            <w:tcW w:w="100" w:type="dxa"/>
            <w:vAlign w:val="bottom"/>
          </w:tcPr>
          <w:p>
            <w:pPr>
              <w:spacing w:after="0"/>
              <w:rPr>
                <w:sz w:val="16"/>
                <w:szCs w:val="16"/>
                <w:color w:val="auto"/>
              </w:rPr>
            </w:pPr>
          </w:p>
        </w:tc>
        <w:tc>
          <w:tcPr>
            <w:tcW w:w="1900" w:type="dxa"/>
            <w:vAlign w:val="bottom"/>
            <w:gridSpan w:val="2"/>
          </w:tcPr>
          <w:p>
            <w:pPr>
              <w:jc w:val="center"/>
              <w:ind w:right="460"/>
              <w:spacing w:after="0" w:line="191" w:lineRule="exact"/>
              <w:rPr>
                <w:sz w:val="20"/>
                <w:szCs w:val="20"/>
                <w:color w:val="auto"/>
              </w:rPr>
            </w:pPr>
            <w:r>
              <w:rPr>
                <w:rFonts w:ascii="Times New Roman" w:cs="Times New Roman" w:eastAsia="Times New Roman" w:hAnsi="Times New Roman"/>
                <w:sz w:val="18"/>
                <w:szCs w:val="18"/>
                <w:color w:val="auto"/>
              </w:rPr>
              <w:t>Effect of</w:t>
            </w:r>
          </w:p>
        </w:tc>
        <w:tc>
          <w:tcPr>
            <w:tcW w:w="220" w:type="dxa"/>
            <w:vAlign w:val="bottom"/>
          </w:tcPr>
          <w:p>
            <w:pPr>
              <w:spacing w:after="0"/>
              <w:rPr>
                <w:sz w:val="16"/>
                <w:szCs w:val="16"/>
                <w:color w:val="auto"/>
              </w:rPr>
            </w:pPr>
          </w:p>
        </w:tc>
        <w:tc>
          <w:tcPr>
            <w:tcW w:w="1460" w:type="dxa"/>
            <w:vAlign w:val="bottom"/>
          </w:tcPr>
          <w:p>
            <w:pPr>
              <w:jc w:val="center"/>
              <w:ind w:right="150"/>
              <w:spacing w:after="0" w:line="191" w:lineRule="exact"/>
              <w:rPr>
                <w:sz w:val="20"/>
                <w:szCs w:val="20"/>
                <w:color w:val="auto"/>
              </w:rPr>
            </w:pPr>
            <w:r>
              <w:rPr>
                <w:rFonts w:ascii="Times New Roman" w:cs="Times New Roman" w:eastAsia="Times New Roman" w:hAnsi="Times New Roman"/>
                <w:sz w:val="18"/>
                <w:szCs w:val="18"/>
                <w:color w:val="auto"/>
              </w:rPr>
              <w:t>As Currently</w:t>
            </w:r>
          </w:p>
        </w:tc>
        <w:tc>
          <w:tcPr>
            <w:tcW w:w="100" w:type="dxa"/>
            <w:vAlign w:val="bottom"/>
          </w:tcPr>
          <w:p>
            <w:pPr>
              <w:spacing w:after="0"/>
              <w:rPr>
                <w:sz w:val="16"/>
                <w:szCs w:val="16"/>
                <w:color w:val="auto"/>
              </w:rPr>
            </w:pPr>
          </w:p>
        </w:tc>
      </w:tr>
      <w:tr>
        <w:trPr>
          <w:trHeight w:val="234"/>
        </w:trPr>
        <w:tc>
          <w:tcPr>
            <w:tcW w:w="5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gridSpan w:val="2"/>
          </w:tcPr>
          <w:p>
            <w:pPr>
              <w:jc w:val="center"/>
              <w:ind w:right="490"/>
              <w:spacing w:after="0"/>
              <w:rPr>
                <w:sz w:val="20"/>
                <w:szCs w:val="20"/>
                <w:color w:val="auto"/>
              </w:rPr>
            </w:pPr>
            <w:r>
              <w:rPr>
                <w:rFonts w:ascii="Times New Roman" w:cs="Times New Roman" w:eastAsia="Times New Roman" w:hAnsi="Times New Roman"/>
                <w:sz w:val="18"/>
                <w:szCs w:val="18"/>
                <w:color w:val="auto"/>
                <w:w w:val="99"/>
              </w:rPr>
              <w:t>Reported</w:t>
            </w:r>
          </w:p>
        </w:tc>
        <w:tc>
          <w:tcPr>
            <w:tcW w:w="100" w:type="dxa"/>
            <w:vAlign w:val="bottom"/>
          </w:tcPr>
          <w:p>
            <w:pPr>
              <w:spacing w:after="0"/>
              <w:rPr>
                <w:sz w:val="20"/>
                <w:szCs w:val="20"/>
                <w:color w:val="auto"/>
              </w:rPr>
            </w:pPr>
          </w:p>
        </w:tc>
        <w:tc>
          <w:tcPr>
            <w:tcW w:w="190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Change</w:t>
            </w:r>
          </w:p>
        </w:tc>
        <w:tc>
          <w:tcPr>
            <w:tcW w:w="220" w:type="dxa"/>
            <w:vAlign w:val="bottom"/>
          </w:tcPr>
          <w:p>
            <w:pPr>
              <w:spacing w:after="0"/>
              <w:rPr>
                <w:sz w:val="20"/>
                <w:szCs w:val="20"/>
                <w:color w:val="auto"/>
              </w:rPr>
            </w:pP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Reported</w:t>
            </w:r>
          </w:p>
        </w:tc>
      </w:tr>
      <w:tr>
        <w:trPr>
          <w:trHeight w:val="209"/>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Receivable from reinsurers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13,831,093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(14,430)</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13,816,663</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policy and pre-need contract acquisition costs</w:t>
            </w:r>
          </w:p>
        </w:tc>
        <w:tc>
          <w:tcPr>
            <w:tcW w:w="2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122,661,298</w:t>
            </w:r>
          </w:p>
        </w:tc>
        <w:tc>
          <w:tcPr>
            <w:tcW w:w="1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4,558,609</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127,219,907</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Value of business acquired</w:t>
            </w:r>
          </w:p>
        </w:tc>
        <w:tc>
          <w:tcPr>
            <w:tcW w:w="220" w:type="dxa"/>
            <w:vAlign w:val="bottom"/>
          </w:tcPr>
          <w:p>
            <w:pPr>
              <w:spacing w:after="0"/>
              <w:rPr>
                <w:sz w:val="18"/>
                <w:szCs w:val="18"/>
                <w:color w:val="auto"/>
              </w:rPr>
            </w:pPr>
          </w:p>
        </w:tc>
        <w:tc>
          <w:tcPr>
            <w:tcW w:w="18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7,491,600</w:t>
            </w:r>
          </w:p>
        </w:tc>
        <w:tc>
          <w:tcPr>
            <w:tcW w:w="100" w:type="dxa"/>
            <w:vAlign w:val="bottom"/>
          </w:tcPr>
          <w:p>
            <w:pPr>
              <w:spacing w:after="0"/>
              <w:rPr>
                <w:sz w:val="18"/>
                <w:szCs w:val="18"/>
                <w:color w:val="auto"/>
              </w:rPr>
            </w:pP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110,921</w:t>
            </w:r>
          </w:p>
        </w:tc>
        <w:tc>
          <w:tcPr>
            <w:tcW w:w="2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7,602,521</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1,489,807,214</w:t>
            </w:r>
          </w:p>
        </w:tc>
        <w:tc>
          <w:tcPr>
            <w:tcW w:w="1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4,655,100</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1,494,462,314</w:t>
            </w:r>
          </w:p>
        </w:tc>
      </w:tr>
      <w:tr>
        <w:trPr>
          <w:trHeight w:val="216"/>
        </w:trPr>
        <w:tc>
          <w:tcPr>
            <w:tcW w:w="5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Future policy benefits and unpaid claims</w:t>
            </w:r>
          </w:p>
        </w:tc>
        <w:tc>
          <w:tcPr>
            <w:tcW w:w="220" w:type="dxa"/>
            <w:vAlign w:val="bottom"/>
          </w:tcPr>
          <w:p>
            <w:pPr>
              <w:spacing w:after="0"/>
              <w:rPr>
                <w:sz w:val="18"/>
                <w:szCs w:val="18"/>
                <w:color w:val="auto"/>
              </w:rPr>
            </w:pPr>
          </w:p>
        </w:tc>
        <w:tc>
          <w:tcPr>
            <w:tcW w:w="18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802,004,527</w:t>
            </w:r>
          </w:p>
        </w:tc>
        <w:tc>
          <w:tcPr>
            <w:tcW w:w="100" w:type="dxa"/>
            <w:vAlign w:val="bottom"/>
          </w:tcPr>
          <w:p>
            <w:pPr>
              <w:spacing w:after="0"/>
              <w:rPr>
                <w:sz w:val="18"/>
                <w:szCs w:val="18"/>
                <w:color w:val="auto"/>
              </w:rPr>
            </w:pPr>
          </w:p>
        </w:tc>
        <w:tc>
          <w:tcPr>
            <w:tcW w:w="1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(49,923,869)</w:t>
            </w:r>
          </w:p>
        </w:tc>
        <w:tc>
          <w:tcPr>
            <w:tcW w:w="2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752,080,658</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Unearned premium reserve</w:t>
            </w:r>
          </w:p>
        </w:tc>
        <w:tc>
          <w:tcPr>
            <w:tcW w:w="2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2,011,679</w:t>
            </w:r>
          </w:p>
        </w:tc>
        <w:tc>
          <w:tcPr>
            <w:tcW w:w="1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1,566</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2,013,245</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20" w:type="dxa"/>
            <w:vAlign w:val="bottom"/>
          </w:tcPr>
          <w:p>
            <w:pPr>
              <w:spacing w:after="0"/>
              <w:rPr>
                <w:sz w:val="18"/>
                <w:szCs w:val="18"/>
                <w:color w:val="auto"/>
              </w:rPr>
            </w:pPr>
          </w:p>
        </w:tc>
        <w:tc>
          <w:tcPr>
            <w:tcW w:w="18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13,079,257</w:t>
            </w:r>
          </w:p>
        </w:tc>
        <w:tc>
          <w:tcPr>
            <w:tcW w:w="100" w:type="dxa"/>
            <w:vAlign w:val="bottom"/>
          </w:tcPr>
          <w:p>
            <w:pPr>
              <w:spacing w:after="0"/>
              <w:rPr>
                <w:sz w:val="18"/>
                <w:szCs w:val="18"/>
                <w:color w:val="auto"/>
              </w:rPr>
            </w:pP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11,461,255</w:t>
            </w:r>
          </w:p>
        </w:tc>
        <w:tc>
          <w:tcPr>
            <w:tcW w:w="2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24,540,512</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1,151,024,935</w:t>
            </w:r>
          </w:p>
        </w:tc>
        <w:tc>
          <w:tcPr>
            <w:tcW w:w="1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(38,461,048)</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1,112,563,887</w:t>
            </w:r>
          </w:p>
        </w:tc>
      </w:tr>
      <w:tr>
        <w:trPr>
          <w:trHeight w:val="216"/>
        </w:trPr>
        <w:tc>
          <w:tcPr>
            <w:tcW w:w="5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income (loss), net of taxes</w:t>
            </w:r>
          </w:p>
        </w:tc>
        <w:tc>
          <w:tcPr>
            <w:tcW w:w="220" w:type="dxa"/>
            <w:vAlign w:val="bottom"/>
          </w:tcPr>
          <w:p>
            <w:pPr>
              <w:spacing w:after="0"/>
              <w:rPr>
                <w:sz w:val="18"/>
                <w:szCs w:val="18"/>
                <w:color w:val="auto"/>
              </w:rPr>
            </w:pPr>
          </w:p>
        </w:tc>
        <w:tc>
          <w:tcPr>
            <w:tcW w:w="18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(6,951,266)</w:t>
            </w:r>
          </w:p>
        </w:tc>
        <w:tc>
          <w:tcPr>
            <w:tcW w:w="100" w:type="dxa"/>
            <w:vAlign w:val="bottom"/>
          </w:tcPr>
          <w:p>
            <w:pPr>
              <w:spacing w:after="0"/>
              <w:rPr>
                <w:sz w:val="18"/>
                <w:szCs w:val="18"/>
                <w:color w:val="auto"/>
              </w:rPr>
            </w:pP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40,670,895</w:t>
            </w:r>
          </w:p>
        </w:tc>
        <w:tc>
          <w:tcPr>
            <w:tcW w:w="2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33,719,629</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225,359,186</w:t>
            </w:r>
          </w:p>
        </w:tc>
        <w:tc>
          <w:tcPr>
            <w:tcW w:w="1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2,445,253</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227,804,439</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Pr>
          <w:p>
            <w:pPr>
              <w:spacing w:after="0"/>
              <w:rPr>
                <w:sz w:val="18"/>
                <w:szCs w:val="18"/>
                <w:color w:val="auto"/>
              </w:rPr>
            </w:pPr>
          </w:p>
        </w:tc>
        <w:tc>
          <w:tcPr>
            <w:tcW w:w="18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338,782,279</w:t>
            </w:r>
          </w:p>
        </w:tc>
        <w:tc>
          <w:tcPr>
            <w:tcW w:w="100" w:type="dxa"/>
            <w:vAlign w:val="bottom"/>
          </w:tcPr>
          <w:p>
            <w:pPr>
              <w:spacing w:after="0"/>
              <w:rPr>
                <w:sz w:val="18"/>
                <w:szCs w:val="18"/>
                <w:color w:val="auto"/>
              </w:rPr>
            </w:pP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43,116,148</w:t>
            </w:r>
          </w:p>
        </w:tc>
        <w:tc>
          <w:tcPr>
            <w:tcW w:w="2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381,898,427</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1,489,807,214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4,655,100</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1,494,462,314</w:t>
            </w:r>
          </w:p>
        </w:tc>
      </w:tr>
      <w:tr>
        <w:trPr>
          <w:trHeight w:val="445"/>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Earnings:</w:t>
            </w: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8"/>
                <w:szCs w:val="18"/>
                <w:color w:val="auto"/>
                <w:w w:val="99"/>
              </w:rPr>
              <w:t>Year Ended December 31, 2024</w:t>
            </w: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5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gridSpan w:val="2"/>
          </w:tcPr>
          <w:p>
            <w:pPr>
              <w:jc w:val="center"/>
              <w:ind w:right="470"/>
              <w:spacing w:after="0" w:line="191" w:lineRule="exact"/>
              <w:rPr>
                <w:sz w:val="20"/>
                <w:szCs w:val="20"/>
                <w:color w:val="auto"/>
              </w:rPr>
            </w:pPr>
            <w:r>
              <w:rPr>
                <w:rFonts w:ascii="Times New Roman" w:cs="Times New Roman" w:eastAsia="Times New Roman" w:hAnsi="Times New Roman"/>
                <w:sz w:val="18"/>
                <w:szCs w:val="18"/>
                <w:color w:val="auto"/>
                <w:w w:val="98"/>
              </w:rPr>
              <w:t>As Previously</w:t>
            </w:r>
          </w:p>
        </w:tc>
        <w:tc>
          <w:tcPr>
            <w:tcW w:w="100" w:type="dxa"/>
            <w:vAlign w:val="bottom"/>
          </w:tcPr>
          <w:p>
            <w:pPr>
              <w:spacing w:after="0"/>
              <w:rPr>
                <w:sz w:val="16"/>
                <w:szCs w:val="16"/>
                <w:color w:val="auto"/>
              </w:rPr>
            </w:pPr>
          </w:p>
        </w:tc>
        <w:tc>
          <w:tcPr>
            <w:tcW w:w="1900" w:type="dxa"/>
            <w:vAlign w:val="bottom"/>
            <w:gridSpan w:val="2"/>
          </w:tcPr>
          <w:p>
            <w:pPr>
              <w:jc w:val="center"/>
              <w:ind w:right="460"/>
              <w:spacing w:after="0" w:line="191" w:lineRule="exact"/>
              <w:rPr>
                <w:sz w:val="20"/>
                <w:szCs w:val="20"/>
                <w:color w:val="auto"/>
              </w:rPr>
            </w:pPr>
            <w:r>
              <w:rPr>
                <w:rFonts w:ascii="Times New Roman" w:cs="Times New Roman" w:eastAsia="Times New Roman" w:hAnsi="Times New Roman"/>
                <w:sz w:val="18"/>
                <w:szCs w:val="18"/>
                <w:color w:val="auto"/>
              </w:rPr>
              <w:t>Effect of</w:t>
            </w:r>
          </w:p>
        </w:tc>
        <w:tc>
          <w:tcPr>
            <w:tcW w:w="220" w:type="dxa"/>
            <w:vAlign w:val="bottom"/>
          </w:tcPr>
          <w:p>
            <w:pPr>
              <w:spacing w:after="0"/>
              <w:rPr>
                <w:sz w:val="16"/>
                <w:szCs w:val="16"/>
                <w:color w:val="auto"/>
              </w:rPr>
            </w:pPr>
          </w:p>
        </w:tc>
        <w:tc>
          <w:tcPr>
            <w:tcW w:w="1460" w:type="dxa"/>
            <w:vAlign w:val="bottom"/>
          </w:tcPr>
          <w:p>
            <w:pPr>
              <w:jc w:val="center"/>
              <w:ind w:right="150"/>
              <w:spacing w:after="0" w:line="191" w:lineRule="exact"/>
              <w:rPr>
                <w:sz w:val="20"/>
                <w:szCs w:val="20"/>
                <w:color w:val="auto"/>
              </w:rPr>
            </w:pPr>
            <w:r>
              <w:rPr>
                <w:rFonts w:ascii="Times New Roman" w:cs="Times New Roman" w:eastAsia="Times New Roman" w:hAnsi="Times New Roman"/>
                <w:sz w:val="18"/>
                <w:szCs w:val="18"/>
                <w:color w:val="auto"/>
              </w:rPr>
              <w:t>As Currently</w:t>
            </w:r>
          </w:p>
        </w:tc>
        <w:tc>
          <w:tcPr>
            <w:tcW w:w="100" w:type="dxa"/>
            <w:vAlign w:val="bottom"/>
          </w:tcPr>
          <w:p>
            <w:pPr>
              <w:spacing w:after="0"/>
              <w:rPr>
                <w:sz w:val="16"/>
                <w:szCs w:val="16"/>
                <w:color w:val="auto"/>
              </w:rPr>
            </w:pPr>
          </w:p>
        </w:tc>
      </w:tr>
      <w:tr>
        <w:trPr>
          <w:trHeight w:val="234"/>
        </w:trPr>
        <w:tc>
          <w:tcPr>
            <w:tcW w:w="5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gridSpan w:val="2"/>
          </w:tcPr>
          <w:p>
            <w:pPr>
              <w:jc w:val="center"/>
              <w:ind w:right="490"/>
              <w:spacing w:after="0"/>
              <w:rPr>
                <w:sz w:val="20"/>
                <w:szCs w:val="20"/>
                <w:color w:val="auto"/>
              </w:rPr>
            </w:pPr>
            <w:r>
              <w:rPr>
                <w:rFonts w:ascii="Times New Roman" w:cs="Times New Roman" w:eastAsia="Times New Roman" w:hAnsi="Times New Roman"/>
                <w:sz w:val="18"/>
                <w:szCs w:val="18"/>
                <w:color w:val="auto"/>
                <w:w w:val="99"/>
              </w:rPr>
              <w:t>Reported</w:t>
            </w:r>
          </w:p>
        </w:tc>
        <w:tc>
          <w:tcPr>
            <w:tcW w:w="100" w:type="dxa"/>
            <w:vAlign w:val="bottom"/>
          </w:tcPr>
          <w:p>
            <w:pPr>
              <w:spacing w:after="0"/>
              <w:rPr>
                <w:sz w:val="20"/>
                <w:szCs w:val="20"/>
                <w:color w:val="auto"/>
              </w:rPr>
            </w:pPr>
          </w:p>
        </w:tc>
        <w:tc>
          <w:tcPr>
            <w:tcW w:w="190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Change</w:t>
            </w:r>
          </w:p>
        </w:tc>
        <w:tc>
          <w:tcPr>
            <w:tcW w:w="220" w:type="dxa"/>
            <w:vAlign w:val="bottom"/>
          </w:tcPr>
          <w:p>
            <w:pPr>
              <w:spacing w:after="0"/>
              <w:rPr>
                <w:sz w:val="20"/>
                <w:szCs w:val="20"/>
                <w:color w:val="auto"/>
              </w:rPr>
            </w:pP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Reported</w:t>
            </w: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Benefits and expenses:</w:t>
            </w:r>
          </w:p>
        </w:tc>
        <w:tc>
          <w:tcPr>
            <w:tcW w:w="2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Policyholder benefits and claims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98,955,459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1,657,632</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100,613,091</w:t>
            </w:r>
          </w:p>
        </w:tc>
      </w:tr>
      <w:tr>
        <w:trPr>
          <w:trHeight w:val="198"/>
        </w:trPr>
        <w:tc>
          <w:tcPr>
            <w:tcW w:w="5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Amortization of deferred policy and pre-need acquisition</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costs and value of business acquired</w:t>
            </w:r>
          </w:p>
        </w:tc>
        <w:tc>
          <w:tcPr>
            <w:tcW w:w="22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15,940,371</w:t>
            </w:r>
          </w:p>
        </w:tc>
        <w:tc>
          <w:tcPr>
            <w:tcW w:w="10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(4,927,755)</w:t>
            </w:r>
          </w:p>
        </w:tc>
        <w:tc>
          <w:tcPr>
            <w:tcW w:w="22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11,012,616</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Total benefits and expenses</w:t>
            </w:r>
          </w:p>
        </w:tc>
        <w:tc>
          <w:tcPr>
            <w:tcW w:w="220" w:type="dxa"/>
            <w:vAlign w:val="bottom"/>
          </w:tcPr>
          <w:p>
            <w:pPr>
              <w:spacing w:after="0"/>
              <w:rPr>
                <w:sz w:val="18"/>
                <w:szCs w:val="18"/>
                <w:color w:val="auto"/>
              </w:rPr>
            </w:pPr>
          </w:p>
        </w:tc>
        <w:tc>
          <w:tcPr>
            <w:tcW w:w="18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300,418,898</w:t>
            </w:r>
          </w:p>
        </w:tc>
        <w:tc>
          <w:tcPr>
            <w:tcW w:w="100" w:type="dxa"/>
            <w:vAlign w:val="bottom"/>
          </w:tcPr>
          <w:p>
            <w:pPr>
              <w:spacing w:after="0"/>
              <w:rPr>
                <w:sz w:val="18"/>
                <w:szCs w:val="18"/>
                <w:color w:val="auto"/>
              </w:rPr>
            </w:pPr>
          </w:p>
        </w:tc>
        <w:tc>
          <w:tcPr>
            <w:tcW w:w="1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(3,270,123)</w:t>
            </w:r>
          </w:p>
        </w:tc>
        <w:tc>
          <w:tcPr>
            <w:tcW w:w="2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297,148,775</w:t>
            </w:r>
          </w:p>
        </w:tc>
      </w:tr>
      <w:tr>
        <w:trPr>
          <w:trHeight w:val="216"/>
        </w:trPr>
        <w:tc>
          <w:tcPr>
            <w:tcW w:w="5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20" w:type="dxa"/>
            <w:vAlign w:val="bottom"/>
          </w:tcPr>
          <w:p>
            <w:pPr>
              <w:spacing w:after="0"/>
              <w:rPr>
                <w:sz w:val="18"/>
                <w:szCs w:val="18"/>
                <w:color w:val="auto"/>
              </w:rPr>
            </w:pPr>
          </w:p>
        </w:tc>
        <w:tc>
          <w:tcPr>
            <w:tcW w:w="18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34,103,770</w:t>
            </w:r>
          </w:p>
        </w:tc>
        <w:tc>
          <w:tcPr>
            <w:tcW w:w="100" w:type="dxa"/>
            <w:vAlign w:val="bottom"/>
          </w:tcPr>
          <w:p>
            <w:pPr>
              <w:spacing w:after="0"/>
              <w:rPr>
                <w:sz w:val="18"/>
                <w:szCs w:val="18"/>
                <w:color w:val="auto"/>
              </w:rPr>
            </w:pP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3,270,123</w:t>
            </w:r>
          </w:p>
        </w:tc>
        <w:tc>
          <w:tcPr>
            <w:tcW w:w="2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37,373,893</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(7,568,002)</w:t>
            </w:r>
          </w:p>
        </w:tc>
        <w:tc>
          <w:tcPr>
            <w:tcW w:w="1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(686,726)</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(8,254,728)</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26,535,768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2,583,397</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29,119,165</w:t>
            </w:r>
          </w:p>
        </w:tc>
      </w:tr>
      <w:tr>
        <w:trPr>
          <w:trHeight w:val="216"/>
        </w:trPr>
        <w:tc>
          <w:tcPr>
            <w:tcW w:w="5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earnings per Class A equivalent common share (1)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0.11</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5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5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earnings per Class A equivalent common share -</w:t>
            </w: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assuming dilution (1)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0.11</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Adjusted retroactively for the effect of annual stock dividends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3" w:name="page54"/>
    <w:bookmarkEnd w:id="53"/>
    <w:p>
      <w:pPr>
        <w:jc w:val="center"/>
        <w:ind w:right="40"/>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tcPr>
          <w:p>
            <w:pPr>
              <w:spacing w:after="0"/>
              <w:rPr>
                <w:sz w:val="17"/>
                <w:szCs w:val="17"/>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Significant Accounting Policies (Continued)</w:t>
            </w: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660" w:type="dxa"/>
            <w:vAlign w:val="bottom"/>
            <w:gridSpan w:val="2"/>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6"/>
        </w:trPr>
        <w:tc>
          <w:tcPr>
            <w:tcW w:w="54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8"/>
                <w:szCs w:val="18"/>
                <w:color w:val="auto"/>
                <w:w w:val="99"/>
              </w:rPr>
              <w:t>Year Ended December 31, 2024</w:t>
            </w: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gridSpan w:val="2"/>
          </w:tcPr>
          <w:p>
            <w:pPr>
              <w:jc w:val="center"/>
              <w:ind w:right="470"/>
              <w:spacing w:after="0" w:line="191" w:lineRule="exact"/>
              <w:rPr>
                <w:sz w:val="20"/>
                <w:szCs w:val="20"/>
                <w:color w:val="auto"/>
              </w:rPr>
            </w:pPr>
            <w:r>
              <w:rPr>
                <w:rFonts w:ascii="Times New Roman" w:cs="Times New Roman" w:eastAsia="Times New Roman" w:hAnsi="Times New Roman"/>
                <w:sz w:val="18"/>
                <w:szCs w:val="18"/>
                <w:color w:val="auto"/>
                <w:w w:val="98"/>
              </w:rPr>
              <w:t>As Previously</w:t>
            </w:r>
          </w:p>
        </w:tc>
        <w:tc>
          <w:tcPr>
            <w:tcW w:w="300" w:type="dxa"/>
            <w:vAlign w:val="bottom"/>
          </w:tcPr>
          <w:p>
            <w:pPr>
              <w:spacing w:after="0"/>
              <w:rPr>
                <w:sz w:val="16"/>
                <w:szCs w:val="16"/>
                <w:color w:val="auto"/>
              </w:rPr>
            </w:pPr>
          </w:p>
        </w:tc>
        <w:tc>
          <w:tcPr>
            <w:tcW w:w="1700" w:type="dxa"/>
            <w:vAlign w:val="bottom"/>
            <w:gridSpan w:val="2"/>
          </w:tcPr>
          <w:p>
            <w:pPr>
              <w:jc w:val="center"/>
              <w:ind w:right="660"/>
              <w:spacing w:after="0" w:line="191" w:lineRule="exact"/>
              <w:rPr>
                <w:sz w:val="20"/>
                <w:szCs w:val="20"/>
                <w:color w:val="auto"/>
              </w:rPr>
            </w:pPr>
            <w:r>
              <w:rPr>
                <w:rFonts w:ascii="Times New Roman" w:cs="Times New Roman" w:eastAsia="Times New Roman" w:hAnsi="Times New Roman"/>
                <w:sz w:val="18"/>
                <w:szCs w:val="18"/>
                <w:color w:val="auto"/>
              </w:rPr>
              <w:t>Effect of</w:t>
            </w:r>
          </w:p>
        </w:tc>
        <w:tc>
          <w:tcPr>
            <w:tcW w:w="220" w:type="dxa"/>
            <w:vAlign w:val="bottom"/>
          </w:tcPr>
          <w:p>
            <w:pPr>
              <w:spacing w:after="0"/>
              <w:rPr>
                <w:sz w:val="16"/>
                <w:szCs w:val="16"/>
                <w:color w:val="auto"/>
              </w:rPr>
            </w:pPr>
          </w:p>
        </w:tc>
        <w:tc>
          <w:tcPr>
            <w:tcW w:w="1460" w:type="dxa"/>
            <w:vAlign w:val="bottom"/>
          </w:tcPr>
          <w:p>
            <w:pPr>
              <w:jc w:val="center"/>
              <w:ind w:right="150"/>
              <w:spacing w:after="0" w:line="191" w:lineRule="exact"/>
              <w:rPr>
                <w:sz w:val="20"/>
                <w:szCs w:val="20"/>
                <w:color w:val="auto"/>
              </w:rPr>
            </w:pPr>
            <w:r>
              <w:rPr>
                <w:rFonts w:ascii="Times New Roman" w:cs="Times New Roman" w:eastAsia="Times New Roman" w:hAnsi="Times New Roman"/>
                <w:sz w:val="18"/>
                <w:szCs w:val="18"/>
                <w:color w:val="auto"/>
              </w:rPr>
              <w:t>As Currently</w:t>
            </w:r>
          </w:p>
        </w:tc>
        <w:tc>
          <w:tcPr>
            <w:tcW w:w="100" w:type="dxa"/>
            <w:vAlign w:val="bottom"/>
          </w:tcPr>
          <w:p>
            <w:pPr>
              <w:spacing w:after="0"/>
              <w:rPr>
                <w:sz w:val="16"/>
                <w:szCs w:val="16"/>
                <w:color w:val="auto"/>
              </w:rPr>
            </w:pPr>
          </w:p>
        </w:tc>
      </w:tr>
      <w:tr>
        <w:trPr>
          <w:trHeight w:val="234"/>
        </w:trPr>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gridSpan w:val="2"/>
          </w:tcPr>
          <w:p>
            <w:pPr>
              <w:jc w:val="center"/>
              <w:ind w:right="490"/>
              <w:spacing w:after="0"/>
              <w:rPr>
                <w:sz w:val="20"/>
                <w:szCs w:val="20"/>
                <w:color w:val="auto"/>
              </w:rPr>
            </w:pPr>
            <w:r>
              <w:rPr>
                <w:rFonts w:ascii="Times New Roman" w:cs="Times New Roman" w:eastAsia="Times New Roman" w:hAnsi="Times New Roman"/>
                <w:sz w:val="18"/>
                <w:szCs w:val="18"/>
                <w:color w:val="auto"/>
                <w:w w:val="99"/>
              </w:rPr>
              <w:t>Reported</w:t>
            </w:r>
          </w:p>
        </w:tc>
        <w:tc>
          <w:tcPr>
            <w:tcW w:w="300" w:type="dxa"/>
            <w:vAlign w:val="bottom"/>
          </w:tcPr>
          <w:p>
            <w:pPr>
              <w:spacing w:after="0"/>
              <w:rPr>
                <w:sz w:val="20"/>
                <w:szCs w:val="20"/>
                <w:color w:val="auto"/>
              </w:rPr>
            </w:pPr>
          </w:p>
        </w:tc>
        <w:tc>
          <w:tcPr>
            <w:tcW w:w="170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Change</w:t>
            </w:r>
          </w:p>
        </w:tc>
        <w:tc>
          <w:tcPr>
            <w:tcW w:w="220" w:type="dxa"/>
            <w:vAlign w:val="bottom"/>
          </w:tcPr>
          <w:p>
            <w:pPr>
              <w:spacing w:after="0"/>
              <w:rPr>
                <w:sz w:val="20"/>
                <w:szCs w:val="20"/>
                <w:color w:val="auto"/>
              </w:rPr>
            </w:pP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Reported</w:t>
            </w:r>
          </w:p>
        </w:tc>
      </w:tr>
      <w:tr>
        <w:trPr>
          <w:trHeight w:val="210"/>
        </w:trPr>
        <w:tc>
          <w:tcPr>
            <w:tcW w:w="540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26,535,768</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2,583,397</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29,119,165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180" w:type="dxa"/>
            <w:vAlign w:val="bottom"/>
            <w:shd w:val="clear" w:color="auto" w:fill="CCEEFF"/>
          </w:tcPr>
          <w:p>
            <w:pPr>
              <w:spacing w:after="0"/>
              <w:rPr>
                <w:sz w:val="17"/>
                <w:szCs w:val="17"/>
                <w:color w:val="auto"/>
              </w:rPr>
            </w:pPr>
          </w:p>
        </w:tc>
        <w:tc>
          <w:tcPr>
            <w:tcW w:w="522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Unrealized gains (losses) on fixed maturity securities</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80" w:type="dxa"/>
            <w:vAlign w:val="bottom"/>
            <w:shd w:val="clear" w:color="auto" w:fill="CCEEFF"/>
          </w:tcPr>
          <w:p>
            <w:pPr>
              <w:spacing w:after="0"/>
              <w:rPr>
                <w:sz w:val="20"/>
                <w:szCs w:val="20"/>
                <w:color w:val="auto"/>
              </w:rPr>
            </w:pPr>
          </w:p>
        </w:tc>
        <w:tc>
          <w:tcPr>
            <w:tcW w:w="5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for sale</w:t>
            </w:r>
          </w:p>
        </w:tc>
        <w:tc>
          <w:tcPr>
            <w:tcW w:w="22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(79,228)</w:t>
            </w:r>
          </w:p>
        </w:tc>
        <w:tc>
          <w:tcPr>
            <w:tcW w:w="30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68,186</w:t>
            </w:r>
          </w:p>
        </w:tc>
        <w:tc>
          <w:tcPr>
            <w:tcW w:w="22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(11,042)</w:t>
            </w:r>
          </w:p>
        </w:tc>
      </w:tr>
      <w:tr>
        <w:trPr>
          <w:trHeight w:val="216"/>
        </w:trPr>
        <w:tc>
          <w:tcPr>
            <w:tcW w:w="180" w:type="dxa"/>
            <w:vAlign w:val="bottom"/>
          </w:tcPr>
          <w:p>
            <w:pPr>
              <w:spacing w:after="0"/>
              <w:rPr>
                <w:sz w:val="18"/>
                <w:szCs w:val="18"/>
                <w:color w:val="auto"/>
              </w:rPr>
            </w:pPr>
          </w:p>
        </w:tc>
        <w:tc>
          <w:tcPr>
            <w:tcW w:w="5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rate remeasurement of future policy benefits</w:t>
            </w:r>
          </w:p>
        </w:tc>
        <w:tc>
          <w:tcPr>
            <w:tcW w:w="220" w:type="dxa"/>
            <w:vAlign w:val="bottom"/>
          </w:tcPr>
          <w:p>
            <w:pPr>
              <w:spacing w:after="0"/>
              <w:rPr>
                <w:sz w:val="18"/>
                <w:szCs w:val="18"/>
                <w:color w:val="auto"/>
              </w:rPr>
            </w:pPr>
          </w:p>
        </w:tc>
        <w:tc>
          <w:tcPr>
            <w:tcW w:w="18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44,966,236</w:t>
            </w:r>
          </w:p>
        </w:tc>
        <w:tc>
          <w:tcPr>
            <w:tcW w:w="2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44,966,236</w:t>
            </w:r>
          </w:p>
        </w:tc>
      </w:tr>
      <w:tr>
        <w:trPr>
          <w:trHeight w:val="216"/>
        </w:trPr>
        <w:tc>
          <w:tcPr>
            <w:tcW w:w="180" w:type="dxa"/>
            <w:vAlign w:val="bottom"/>
            <w:shd w:val="clear" w:color="auto" w:fill="CCEEFF"/>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before income tax</w:t>
            </w:r>
          </w:p>
        </w:tc>
        <w:tc>
          <w:tcPr>
            <w:tcW w:w="2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(79,790)</w:t>
            </w:r>
          </w:p>
        </w:tc>
        <w:tc>
          <w:tcPr>
            <w:tcW w:w="3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45,034,422</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44,954,632</w:t>
            </w:r>
          </w:p>
        </w:tc>
      </w:tr>
      <w:tr>
        <w:trPr>
          <w:trHeight w:val="216"/>
        </w:trPr>
        <w:tc>
          <w:tcPr>
            <w:tcW w:w="180" w:type="dxa"/>
            <w:vAlign w:val="bottom"/>
          </w:tcPr>
          <w:p>
            <w:pPr>
              <w:spacing w:after="0"/>
              <w:rPr>
                <w:sz w:val="18"/>
                <w:szCs w:val="18"/>
                <w:color w:val="auto"/>
              </w:rPr>
            </w:pPr>
          </w:p>
        </w:tc>
        <w:tc>
          <w:tcPr>
            <w:tcW w:w="5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20" w:type="dxa"/>
            <w:vAlign w:val="bottom"/>
          </w:tcPr>
          <w:p>
            <w:pPr>
              <w:spacing w:after="0"/>
              <w:rPr>
                <w:sz w:val="18"/>
                <w:szCs w:val="18"/>
                <w:color w:val="auto"/>
              </w:rPr>
            </w:pPr>
          </w:p>
        </w:tc>
        <w:tc>
          <w:tcPr>
            <w:tcW w:w="18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14,082</w:t>
            </w:r>
          </w:p>
        </w:tc>
        <w:tc>
          <w:tcPr>
            <w:tcW w:w="300" w:type="dxa"/>
            <w:vAlign w:val="bottom"/>
          </w:tcPr>
          <w:p>
            <w:pPr>
              <w:spacing w:after="0"/>
              <w:rPr>
                <w:sz w:val="18"/>
                <w:szCs w:val="18"/>
                <w:color w:val="auto"/>
              </w:rPr>
            </w:pPr>
          </w:p>
        </w:tc>
        <w:tc>
          <w:tcPr>
            <w:tcW w:w="1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(9,457,229)</w:t>
            </w:r>
          </w:p>
        </w:tc>
        <w:tc>
          <w:tcPr>
            <w:tcW w:w="22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(9,443,147)</w:t>
            </w:r>
          </w:p>
        </w:tc>
      </w:tr>
      <w:tr>
        <w:trPr>
          <w:trHeight w:val="216"/>
        </w:trPr>
        <w:tc>
          <w:tcPr>
            <w:tcW w:w="180" w:type="dxa"/>
            <w:vAlign w:val="bottom"/>
            <w:shd w:val="clear" w:color="auto" w:fill="CCEEFF"/>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net of income tax</w:t>
            </w:r>
          </w:p>
        </w:tc>
        <w:tc>
          <w:tcPr>
            <w:tcW w:w="2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(65,708)</w:t>
            </w:r>
          </w:p>
        </w:tc>
        <w:tc>
          <w:tcPr>
            <w:tcW w:w="3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35,577,193</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35,511,485</w:t>
            </w:r>
          </w:p>
        </w:tc>
      </w:tr>
      <w:tr>
        <w:trPr>
          <w:trHeight w:val="234"/>
        </w:trPr>
        <w:tc>
          <w:tcPr>
            <w:tcW w:w="5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26,470,060</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38,160,590</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64,630,650</w:t>
            </w:r>
          </w:p>
        </w:tc>
      </w:tr>
      <w:tr>
        <w:trPr>
          <w:trHeight w:val="427"/>
        </w:trPr>
        <w:tc>
          <w:tcPr>
            <w:tcW w:w="54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 of Stockholders’ Equity:</w:t>
            </w: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8"/>
                <w:szCs w:val="18"/>
                <w:color w:val="auto"/>
                <w:w w:val="99"/>
              </w:rPr>
              <w:t>Year Ended December 31, 2024</w:t>
            </w: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gridSpan w:val="2"/>
          </w:tcPr>
          <w:p>
            <w:pPr>
              <w:jc w:val="center"/>
              <w:ind w:right="470"/>
              <w:spacing w:after="0" w:line="191" w:lineRule="exact"/>
              <w:rPr>
                <w:sz w:val="20"/>
                <w:szCs w:val="20"/>
                <w:color w:val="auto"/>
              </w:rPr>
            </w:pPr>
            <w:r>
              <w:rPr>
                <w:rFonts w:ascii="Times New Roman" w:cs="Times New Roman" w:eastAsia="Times New Roman" w:hAnsi="Times New Roman"/>
                <w:sz w:val="18"/>
                <w:szCs w:val="18"/>
                <w:color w:val="auto"/>
                <w:w w:val="98"/>
              </w:rPr>
              <w:t>As Previously</w:t>
            </w:r>
          </w:p>
        </w:tc>
        <w:tc>
          <w:tcPr>
            <w:tcW w:w="300" w:type="dxa"/>
            <w:vAlign w:val="bottom"/>
          </w:tcPr>
          <w:p>
            <w:pPr>
              <w:spacing w:after="0"/>
              <w:rPr>
                <w:sz w:val="16"/>
                <w:szCs w:val="16"/>
                <w:color w:val="auto"/>
              </w:rPr>
            </w:pPr>
          </w:p>
        </w:tc>
        <w:tc>
          <w:tcPr>
            <w:tcW w:w="1700" w:type="dxa"/>
            <w:vAlign w:val="bottom"/>
            <w:gridSpan w:val="2"/>
          </w:tcPr>
          <w:p>
            <w:pPr>
              <w:jc w:val="center"/>
              <w:ind w:right="660"/>
              <w:spacing w:after="0" w:line="191" w:lineRule="exact"/>
              <w:rPr>
                <w:sz w:val="20"/>
                <w:szCs w:val="20"/>
                <w:color w:val="auto"/>
              </w:rPr>
            </w:pPr>
            <w:r>
              <w:rPr>
                <w:rFonts w:ascii="Times New Roman" w:cs="Times New Roman" w:eastAsia="Times New Roman" w:hAnsi="Times New Roman"/>
                <w:sz w:val="18"/>
                <w:szCs w:val="18"/>
                <w:color w:val="auto"/>
              </w:rPr>
              <w:t>Effect of</w:t>
            </w:r>
          </w:p>
        </w:tc>
        <w:tc>
          <w:tcPr>
            <w:tcW w:w="220" w:type="dxa"/>
            <w:vAlign w:val="bottom"/>
          </w:tcPr>
          <w:p>
            <w:pPr>
              <w:spacing w:after="0"/>
              <w:rPr>
                <w:sz w:val="16"/>
                <w:szCs w:val="16"/>
                <w:color w:val="auto"/>
              </w:rPr>
            </w:pPr>
          </w:p>
        </w:tc>
        <w:tc>
          <w:tcPr>
            <w:tcW w:w="1460" w:type="dxa"/>
            <w:vAlign w:val="bottom"/>
          </w:tcPr>
          <w:p>
            <w:pPr>
              <w:jc w:val="center"/>
              <w:ind w:right="150"/>
              <w:spacing w:after="0" w:line="191" w:lineRule="exact"/>
              <w:rPr>
                <w:sz w:val="20"/>
                <w:szCs w:val="20"/>
                <w:color w:val="auto"/>
              </w:rPr>
            </w:pPr>
            <w:r>
              <w:rPr>
                <w:rFonts w:ascii="Times New Roman" w:cs="Times New Roman" w:eastAsia="Times New Roman" w:hAnsi="Times New Roman"/>
                <w:sz w:val="18"/>
                <w:szCs w:val="18"/>
                <w:color w:val="auto"/>
              </w:rPr>
              <w:t>As Currently</w:t>
            </w:r>
          </w:p>
        </w:tc>
        <w:tc>
          <w:tcPr>
            <w:tcW w:w="100" w:type="dxa"/>
            <w:vAlign w:val="bottom"/>
          </w:tcPr>
          <w:p>
            <w:pPr>
              <w:spacing w:after="0"/>
              <w:rPr>
                <w:sz w:val="16"/>
                <w:szCs w:val="16"/>
                <w:color w:val="auto"/>
              </w:rPr>
            </w:pPr>
          </w:p>
        </w:tc>
      </w:tr>
      <w:tr>
        <w:trPr>
          <w:trHeight w:val="234"/>
        </w:trPr>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gridSpan w:val="2"/>
          </w:tcPr>
          <w:p>
            <w:pPr>
              <w:jc w:val="center"/>
              <w:ind w:right="490"/>
              <w:spacing w:after="0"/>
              <w:rPr>
                <w:sz w:val="20"/>
                <w:szCs w:val="20"/>
                <w:color w:val="auto"/>
              </w:rPr>
            </w:pPr>
            <w:r>
              <w:rPr>
                <w:rFonts w:ascii="Times New Roman" w:cs="Times New Roman" w:eastAsia="Times New Roman" w:hAnsi="Times New Roman"/>
                <w:sz w:val="18"/>
                <w:szCs w:val="18"/>
                <w:color w:val="auto"/>
                <w:w w:val="99"/>
              </w:rPr>
              <w:t>Reported</w:t>
            </w:r>
          </w:p>
        </w:tc>
        <w:tc>
          <w:tcPr>
            <w:tcW w:w="300" w:type="dxa"/>
            <w:vAlign w:val="bottom"/>
          </w:tcPr>
          <w:p>
            <w:pPr>
              <w:spacing w:after="0"/>
              <w:rPr>
                <w:sz w:val="20"/>
                <w:szCs w:val="20"/>
                <w:color w:val="auto"/>
              </w:rPr>
            </w:pPr>
          </w:p>
        </w:tc>
        <w:tc>
          <w:tcPr>
            <w:tcW w:w="170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Change</w:t>
            </w:r>
          </w:p>
        </w:tc>
        <w:tc>
          <w:tcPr>
            <w:tcW w:w="220" w:type="dxa"/>
            <w:vAlign w:val="bottom"/>
          </w:tcPr>
          <w:p>
            <w:pPr>
              <w:spacing w:after="0"/>
              <w:rPr>
                <w:sz w:val="20"/>
                <w:szCs w:val="20"/>
                <w:color w:val="auto"/>
              </w:rPr>
            </w:pP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Reported</w:t>
            </w:r>
          </w:p>
        </w:tc>
      </w:tr>
      <w:tr>
        <w:trPr>
          <w:trHeight w:val="209"/>
        </w:trPr>
        <w:tc>
          <w:tcPr>
            <w:tcW w:w="540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(6,951,266)</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40,670,895</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33,719,629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Pr>
          <w:p>
            <w:pPr>
              <w:spacing w:after="0"/>
              <w:rPr>
                <w:sz w:val="18"/>
                <w:szCs w:val="18"/>
                <w:color w:val="auto"/>
              </w:rPr>
            </w:pPr>
          </w:p>
        </w:tc>
        <w:tc>
          <w:tcPr>
            <w:tcW w:w="18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225,359,186</w:t>
            </w:r>
          </w:p>
        </w:tc>
        <w:tc>
          <w:tcPr>
            <w:tcW w:w="300" w:type="dxa"/>
            <w:vAlign w:val="bottom"/>
          </w:tcPr>
          <w:p>
            <w:pPr>
              <w:spacing w:after="0"/>
              <w:rPr>
                <w:sz w:val="18"/>
                <w:szCs w:val="18"/>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2,445,253</w:t>
            </w:r>
          </w:p>
        </w:tc>
        <w:tc>
          <w:tcPr>
            <w:tcW w:w="2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227,804,439</w:t>
            </w:r>
          </w:p>
        </w:tc>
      </w:tr>
      <w:tr>
        <w:trPr>
          <w:trHeight w:val="216"/>
        </w:trPr>
        <w:tc>
          <w:tcPr>
            <w:tcW w:w="54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338,782,279</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43,116,148</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381,898,427</w:t>
            </w:r>
          </w:p>
        </w:tc>
      </w:tr>
      <w:tr>
        <w:trPr>
          <w:trHeight w:val="445"/>
        </w:trPr>
        <w:tc>
          <w:tcPr>
            <w:tcW w:w="54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8"/>
                <w:szCs w:val="18"/>
                <w:color w:val="auto"/>
                <w:w w:val="99"/>
              </w:rPr>
              <w:t>Year Ended December 31, 2024</w:t>
            </w: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gridSpan w:val="2"/>
          </w:tcPr>
          <w:p>
            <w:pPr>
              <w:jc w:val="center"/>
              <w:ind w:right="470"/>
              <w:spacing w:after="0" w:line="191" w:lineRule="exact"/>
              <w:rPr>
                <w:sz w:val="20"/>
                <w:szCs w:val="20"/>
                <w:color w:val="auto"/>
              </w:rPr>
            </w:pPr>
            <w:r>
              <w:rPr>
                <w:rFonts w:ascii="Times New Roman" w:cs="Times New Roman" w:eastAsia="Times New Roman" w:hAnsi="Times New Roman"/>
                <w:sz w:val="18"/>
                <w:szCs w:val="18"/>
                <w:color w:val="auto"/>
                <w:w w:val="98"/>
              </w:rPr>
              <w:t>As Previously</w:t>
            </w:r>
          </w:p>
        </w:tc>
        <w:tc>
          <w:tcPr>
            <w:tcW w:w="300" w:type="dxa"/>
            <w:vAlign w:val="bottom"/>
          </w:tcPr>
          <w:p>
            <w:pPr>
              <w:spacing w:after="0"/>
              <w:rPr>
                <w:sz w:val="16"/>
                <w:szCs w:val="16"/>
                <w:color w:val="auto"/>
              </w:rPr>
            </w:pPr>
          </w:p>
        </w:tc>
        <w:tc>
          <w:tcPr>
            <w:tcW w:w="1700" w:type="dxa"/>
            <w:vAlign w:val="bottom"/>
            <w:gridSpan w:val="2"/>
          </w:tcPr>
          <w:p>
            <w:pPr>
              <w:jc w:val="center"/>
              <w:ind w:right="660"/>
              <w:spacing w:after="0" w:line="191" w:lineRule="exact"/>
              <w:rPr>
                <w:sz w:val="20"/>
                <w:szCs w:val="20"/>
                <w:color w:val="auto"/>
              </w:rPr>
            </w:pPr>
            <w:r>
              <w:rPr>
                <w:rFonts w:ascii="Times New Roman" w:cs="Times New Roman" w:eastAsia="Times New Roman" w:hAnsi="Times New Roman"/>
                <w:sz w:val="18"/>
                <w:szCs w:val="18"/>
                <w:color w:val="auto"/>
              </w:rPr>
              <w:t>Effect of</w:t>
            </w:r>
          </w:p>
        </w:tc>
        <w:tc>
          <w:tcPr>
            <w:tcW w:w="220" w:type="dxa"/>
            <w:vAlign w:val="bottom"/>
          </w:tcPr>
          <w:p>
            <w:pPr>
              <w:spacing w:after="0"/>
              <w:rPr>
                <w:sz w:val="16"/>
                <w:szCs w:val="16"/>
                <w:color w:val="auto"/>
              </w:rPr>
            </w:pPr>
          </w:p>
        </w:tc>
        <w:tc>
          <w:tcPr>
            <w:tcW w:w="1460" w:type="dxa"/>
            <w:vAlign w:val="bottom"/>
          </w:tcPr>
          <w:p>
            <w:pPr>
              <w:jc w:val="center"/>
              <w:ind w:right="150"/>
              <w:spacing w:after="0" w:line="191" w:lineRule="exact"/>
              <w:rPr>
                <w:sz w:val="20"/>
                <w:szCs w:val="20"/>
                <w:color w:val="auto"/>
              </w:rPr>
            </w:pPr>
            <w:r>
              <w:rPr>
                <w:rFonts w:ascii="Times New Roman" w:cs="Times New Roman" w:eastAsia="Times New Roman" w:hAnsi="Times New Roman"/>
                <w:sz w:val="18"/>
                <w:szCs w:val="18"/>
                <w:color w:val="auto"/>
              </w:rPr>
              <w:t>As Currently</w:t>
            </w:r>
          </w:p>
        </w:tc>
        <w:tc>
          <w:tcPr>
            <w:tcW w:w="100" w:type="dxa"/>
            <w:vAlign w:val="bottom"/>
          </w:tcPr>
          <w:p>
            <w:pPr>
              <w:spacing w:after="0"/>
              <w:rPr>
                <w:sz w:val="16"/>
                <w:szCs w:val="16"/>
                <w:color w:val="auto"/>
              </w:rPr>
            </w:pPr>
          </w:p>
        </w:tc>
      </w:tr>
      <w:tr>
        <w:trPr>
          <w:trHeight w:val="234"/>
        </w:trPr>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gridSpan w:val="2"/>
          </w:tcPr>
          <w:p>
            <w:pPr>
              <w:jc w:val="center"/>
              <w:ind w:right="490"/>
              <w:spacing w:after="0"/>
              <w:rPr>
                <w:sz w:val="20"/>
                <w:szCs w:val="20"/>
                <w:color w:val="auto"/>
              </w:rPr>
            </w:pPr>
            <w:r>
              <w:rPr>
                <w:rFonts w:ascii="Times New Roman" w:cs="Times New Roman" w:eastAsia="Times New Roman" w:hAnsi="Times New Roman"/>
                <w:sz w:val="18"/>
                <w:szCs w:val="18"/>
                <w:color w:val="auto"/>
                <w:w w:val="99"/>
              </w:rPr>
              <w:t>Reported</w:t>
            </w:r>
          </w:p>
        </w:tc>
        <w:tc>
          <w:tcPr>
            <w:tcW w:w="300" w:type="dxa"/>
            <w:vAlign w:val="bottom"/>
          </w:tcPr>
          <w:p>
            <w:pPr>
              <w:spacing w:after="0"/>
              <w:rPr>
                <w:sz w:val="20"/>
                <w:szCs w:val="20"/>
                <w:color w:val="auto"/>
              </w:rPr>
            </w:pPr>
          </w:p>
        </w:tc>
        <w:tc>
          <w:tcPr>
            <w:tcW w:w="170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Change</w:t>
            </w:r>
          </w:p>
        </w:tc>
        <w:tc>
          <w:tcPr>
            <w:tcW w:w="220" w:type="dxa"/>
            <w:vAlign w:val="bottom"/>
          </w:tcPr>
          <w:p>
            <w:pPr>
              <w:spacing w:after="0"/>
              <w:rPr>
                <w:sz w:val="20"/>
                <w:szCs w:val="20"/>
                <w:color w:val="auto"/>
              </w:rPr>
            </w:pP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Reported</w:t>
            </w:r>
          </w:p>
        </w:tc>
      </w:tr>
      <w:tr>
        <w:trPr>
          <w:trHeight w:val="210"/>
        </w:trPr>
        <w:tc>
          <w:tcPr>
            <w:tcW w:w="540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26,535,768</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2,583,397</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29,119,165</w:t>
            </w:r>
          </w:p>
        </w:tc>
      </w:tr>
      <w:tr>
        <w:trPr>
          <w:trHeight w:val="216"/>
        </w:trPr>
        <w:tc>
          <w:tcPr>
            <w:tcW w:w="54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deferred income taxes</w:t>
            </w:r>
          </w:p>
        </w:tc>
        <w:tc>
          <w:tcPr>
            <w:tcW w:w="2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311,971</w:t>
            </w:r>
          </w:p>
        </w:tc>
        <w:tc>
          <w:tcPr>
            <w:tcW w:w="3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686,726</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998,697</w:t>
            </w:r>
          </w:p>
        </w:tc>
      </w:tr>
      <w:tr>
        <w:trPr>
          <w:trHeight w:val="216"/>
        </w:trPr>
        <w:tc>
          <w:tcPr>
            <w:tcW w:w="5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Policy and pre-need acquisition costs amortized</w:t>
            </w:r>
          </w:p>
        </w:tc>
        <w:tc>
          <w:tcPr>
            <w:tcW w:w="220" w:type="dxa"/>
            <w:vAlign w:val="bottom"/>
          </w:tcPr>
          <w:p>
            <w:pPr>
              <w:spacing w:after="0"/>
              <w:rPr>
                <w:sz w:val="18"/>
                <w:szCs w:val="18"/>
                <w:color w:val="auto"/>
              </w:rPr>
            </w:pPr>
          </w:p>
        </w:tc>
        <w:tc>
          <w:tcPr>
            <w:tcW w:w="18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15,032,413</w:t>
            </w:r>
          </w:p>
        </w:tc>
        <w:tc>
          <w:tcPr>
            <w:tcW w:w="300" w:type="dxa"/>
            <w:vAlign w:val="bottom"/>
          </w:tcPr>
          <w:p>
            <w:pPr>
              <w:spacing w:after="0"/>
              <w:rPr>
                <w:sz w:val="18"/>
                <w:szCs w:val="18"/>
                <w:color w:val="auto"/>
              </w:rPr>
            </w:pPr>
          </w:p>
        </w:tc>
        <w:tc>
          <w:tcPr>
            <w:tcW w:w="1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(4,554,691)</w:t>
            </w:r>
          </w:p>
        </w:tc>
        <w:tc>
          <w:tcPr>
            <w:tcW w:w="2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10,477,722</w:t>
            </w:r>
          </w:p>
        </w:tc>
      </w:tr>
      <w:tr>
        <w:trPr>
          <w:trHeight w:val="216"/>
        </w:trPr>
        <w:tc>
          <w:tcPr>
            <w:tcW w:w="54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 of business acquired amortized</w:t>
            </w:r>
          </w:p>
        </w:tc>
        <w:tc>
          <w:tcPr>
            <w:tcW w:w="2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907,958</w:t>
            </w:r>
          </w:p>
        </w:tc>
        <w:tc>
          <w:tcPr>
            <w:tcW w:w="3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(373,064)</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534,894</w:t>
            </w:r>
          </w:p>
        </w:tc>
      </w:tr>
      <w:tr>
        <w:trPr>
          <w:trHeight w:val="234"/>
        </w:trPr>
        <w:tc>
          <w:tcPr>
            <w:tcW w:w="5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Future policy benefits and unpaid claims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30,522,998</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1,657,632</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32,180,630</w:t>
            </w:r>
          </w:p>
        </w:tc>
      </w:tr>
    </w:tbl>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ASU No. 2023-09: “Income Taxes (Topic 740): Improvements to Income Tax Disclosures”</w:t>
      </w:r>
      <w:r>
        <w:rPr>
          <w:rFonts w:ascii="Times New Roman" w:cs="Times New Roman" w:eastAsia="Times New Roman" w:hAnsi="Times New Roman"/>
          <w:sz w:val="18"/>
          <w:szCs w:val="18"/>
          <w:color w:val="auto"/>
        </w:rPr>
        <w:t xml:space="preserve"> — Issued in December 2023, ASU 2023-09 requires that public business entities, on an annual basis: (i) disclose specific categories in the rate reconciliation and (ii) provide additional information for reconciling items that meet a quantitative threshold. In addition, the amendments in this update require that all entities disclose on an annual basis the following information about income taxes paid: (i) the amount of income taxes paid (net of refunds received) disaggregated by federal (national), state, and foreign taxes and (ii) the amount of income taxes paid (net of refunds received) disaggregated by individual jurisdictions in which income taxes paid (net of refunds received) is equal to or greater than 5 percent of total income taxes paid (net of refunds received). The Company adopted ASU 2023-09 retrospectively for the annual period beginning January 1, 2025. The adoption of this standard did not affect the Company’s financial position or results of operations. Refer to Note 16 for the disclosures regarding income taxes.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4" w:name="page55"/>
    <w:bookmarkEnd w:id="54"/>
    <w:p>
      <w:pPr>
        <w:jc w:val="center"/>
        <w:ind w:right="40"/>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7" w:lineRule="exact"/>
        <w:rPr>
          <w:sz w:val="20"/>
          <w:szCs w:val="20"/>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Significant Accounting Policies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Standards Issued But Not Yet Adopted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ASU No. 2024-03: “Income Statement-Reporting Comprehensive Income- Expense Disaggregation Disclosures (Subtopic 220-40): Disaggregation of Income Statement Expenses”</w:t>
      </w:r>
      <w:r>
        <w:rPr>
          <w:rFonts w:ascii="Times New Roman" w:cs="Times New Roman" w:eastAsia="Times New Roman" w:hAnsi="Times New Roman"/>
          <w:sz w:val="18"/>
          <w:szCs w:val="18"/>
          <w:color w:val="auto"/>
        </w:rPr>
        <w:t xml:space="preserve"> — Issued in November 2024, ASU 2024-03 requires public business entities to disclose, in the notes to the consolidated financial statements, specified information about certain expenses at each interim and annual reporting period. ASU 2024-03 requires disclosures about specific types of expenses (i.e., (a) purchases of inventory, (b) employee compensation, (c) depreciation and (d) intangible asset amortization) included in the expense captions presented on the face of the statement of earnings as well as disclosures about selling expenses. ASU 2024-03 does not change the requirements for the presentation of expenses on the statement of earnings. ASU 2024-03 is effective for annual reporting periods beginning after December 15, 2026, and interim reporting periods beginning after December 15, 2027. Accordingly, the Company will adopt the standard commencing with its annual reporting period ending December 31, 2027. The Company is in the process of estimating the potential impact of this new standard on the consolidated financial statements.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u w:val="single" w:color="auto"/>
          <w:color w:val="auto"/>
        </w:rPr>
        <w:t>ASU No. 2025-11: “Interim Reporting (Topic 270): Narrow-Scope Improvements”</w:t>
      </w:r>
      <w:r>
        <w:rPr>
          <w:rFonts w:ascii="Times New Roman" w:cs="Times New Roman" w:eastAsia="Times New Roman" w:hAnsi="Times New Roman"/>
          <w:sz w:val="18"/>
          <w:szCs w:val="18"/>
          <w:color w:val="auto"/>
        </w:rPr>
        <w:t xml:space="preserve"> — Issued in December 2025, ASU 2025-11 clarifies the form, content, and disclosure requirements for interim financial statements and the application of Topic 270. The update differentiates requirements by entity type: SEC registrants must continue to follow SEC rules for condensed financial statements; non-SEC registrants may present either full or condensed statements, using either the ASU’s guidance or SEC-style condensed guidance; and not-for-profit entities follow the non-SEC model with additional presentation considerations specific to NFP reporting. The ASU also compiles a comprehensive list of required interim disclosures for condensed statements from across the Codification, supported by conforming edits, to improve usability (while not replacing underlying guidance). In addition, the ASU reinforces a disclosure principle requiring entities to provide interim disclosures for significant events or transactions that have had a material effect since the most recent year-end, such as changes in accounting principles, key estimates, financing arrangements, long-term contracts, or the reporting entity. The amendments are effective for public business entities for interim periods within annual periods beginning after December 15, 2027, with early adoption permitted. The guidance may be applied prospectively or retrospectively. The Company is in the process of estimating the potential impact of this new standard on the consolidated financial statements.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reviewed other recent accounting pronouncements and has determined that they will not significantly impact the Company’s results of operations or financial position.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5" w:name="page56"/>
    <w:bookmarkEnd w:id="55"/>
    <w:p>
      <w:pPr>
        <w:spacing w:after="0" w:line="5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7" w:lineRule="exact"/>
        <w:rPr>
          <w:sz w:val="20"/>
          <w:szCs w:val="20"/>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investments as of December 31, 2025, are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Gross</w:t>
            </w:r>
          </w:p>
        </w:tc>
        <w:tc>
          <w:tcPr>
            <w:tcW w:w="120" w:type="dxa"/>
            <w:vAlign w:val="bottom"/>
          </w:tcPr>
          <w:p>
            <w:pPr>
              <w:spacing w:after="0"/>
              <w:rPr>
                <w:sz w:val="18"/>
                <w:szCs w:val="18"/>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Gross</w:t>
            </w:r>
          </w:p>
        </w:tc>
        <w:tc>
          <w:tcPr>
            <w:tcW w:w="120" w:type="dxa"/>
            <w:vAlign w:val="bottom"/>
          </w:tcPr>
          <w:p>
            <w:pPr>
              <w:spacing w:after="0"/>
              <w:rPr>
                <w:sz w:val="18"/>
                <w:szCs w:val="18"/>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Allowance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8"/>
              </w:rPr>
              <w:t>Unrealized</w:t>
            </w:r>
          </w:p>
        </w:tc>
        <w:tc>
          <w:tcPr>
            <w:tcW w:w="120" w:type="dxa"/>
            <w:vAlign w:val="bottom"/>
          </w:tcPr>
          <w:p>
            <w:pPr>
              <w:spacing w:after="0"/>
              <w:rPr>
                <w:sz w:val="18"/>
                <w:szCs w:val="18"/>
                <w:color w:val="auto"/>
              </w:rPr>
            </w:pP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Unrealized</w:t>
            </w:r>
          </w:p>
        </w:tc>
        <w:tc>
          <w:tcPr>
            <w:tcW w:w="120" w:type="dxa"/>
            <w:vAlign w:val="bottom"/>
          </w:tcPr>
          <w:p>
            <w:pPr>
              <w:spacing w:after="0"/>
              <w:rPr>
                <w:sz w:val="18"/>
                <w:szCs w:val="18"/>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for Credit</w:t>
            </w: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Estimated Fair</w:t>
            </w:r>
          </w:p>
        </w:tc>
      </w:tr>
      <w:tr>
        <w:trPr>
          <w:trHeight w:val="234"/>
        </w:trPr>
        <w:tc>
          <w:tcPr>
            <w:tcW w:w="14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Amortized Cost</w:t>
            </w:r>
          </w:p>
        </w:tc>
        <w:tc>
          <w:tcPr>
            <w:tcW w:w="140" w:type="dxa"/>
            <w:vAlign w:val="bottom"/>
          </w:tcPr>
          <w:p>
            <w:pPr>
              <w:spacing w:after="0"/>
              <w:rPr>
                <w:sz w:val="20"/>
                <w:szCs w:val="20"/>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Gains</w:t>
            </w:r>
          </w:p>
        </w:tc>
        <w:tc>
          <w:tcPr>
            <w:tcW w:w="120" w:type="dxa"/>
            <w:vAlign w:val="bottom"/>
          </w:tcPr>
          <w:p>
            <w:pPr>
              <w:spacing w:after="0"/>
              <w:rPr>
                <w:sz w:val="20"/>
                <w:szCs w:val="20"/>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Losses (1)</w:t>
            </w:r>
          </w:p>
        </w:tc>
        <w:tc>
          <w:tcPr>
            <w:tcW w:w="120" w:type="dxa"/>
            <w:vAlign w:val="bottom"/>
          </w:tcPr>
          <w:p>
            <w:pPr>
              <w:spacing w:after="0"/>
              <w:rPr>
                <w:sz w:val="20"/>
                <w:szCs w:val="20"/>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Losses</w:t>
            </w:r>
          </w:p>
        </w:tc>
        <w:tc>
          <w:tcPr>
            <w:tcW w:w="160" w:type="dxa"/>
            <w:vAlign w:val="bottom"/>
          </w:tcPr>
          <w:p>
            <w:pPr>
              <w:spacing w:after="0"/>
              <w:rPr>
                <w:sz w:val="20"/>
                <w:szCs w:val="20"/>
                <w:color w:val="auto"/>
              </w:rPr>
            </w:pP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Value</w:t>
            </w:r>
          </w:p>
        </w:tc>
      </w:tr>
      <w:tr>
        <w:trPr>
          <w:trHeight w:val="190"/>
        </w:trPr>
        <w:tc>
          <w:tcPr>
            <w:tcW w:w="148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9"/>
              </w:rPr>
              <w:t>December 31, 2025:</w:t>
            </w:r>
          </w:p>
        </w:tc>
        <w:tc>
          <w:tcPr>
            <w:tcW w:w="25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CCEEFF"/>
            </w:tcBorders>
            <w:shd w:val="clear" w:color="auto" w:fill="CCEEFF"/>
          </w:tcPr>
          <w:p>
            <w:pPr>
              <w:spacing w:after="0"/>
              <w:rPr>
                <w:sz w:val="16"/>
                <w:szCs w:val="16"/>
                <w:color w:val="auto"/>
              </w:rPr>
            </w:pP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CCEEFF"/>
            </w:tcBorders>
            <w:shd w:val="clear" w:color="auto" w:fill="CCEEFF"/>
          </w:tcPr>
          <w:p>
            <w:pPr>
              <w:spacing w:after="0"/>
              <w:rPr>
                <w:sz w:val="16"/>
                <w:szCs w:val="16"/>
                <w:color w:val="auto"/>
              </w:rPr>
            </w:pP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98"/>
        </w:trPr>
        <w:tc>
          <w:tcPr>
            <w:tcW w:w="40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Fixed maturity securities, available for sale, at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fair value: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06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Government agencies</w:t>
            </w:r>
          </w:p>
        </w:tc>
        <w:tc>
          <w:tcPr>
            <w:tcW w:w="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75,713,307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982,769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(89,550)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76,606,526</w:t>
            </w:r>
          </w:p>
        </w:tc>
      </w:tr>
      <w:tr>
        <w:trPr>
          <w:trHeight w:val="216"/>
        </w:trPr>
        <w:tc>
          <w:tcPr>
            <w:tcW w:w="1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3,396,999</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11,662</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(172,184)</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3,236,477</w:t>
            </w:r>
          </w:p>
        </w:tc>
      </w:tr>
      <w:tr>
        <w:trPr>
          <w:trHeight w:val="216"/>
        </w:trPr>
        <w:tc>
          <w:tcPr>
            <w:tcW w:w="1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securities including public utilities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277,708,638</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7,029,453</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(3,387,651)</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(425,401)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280,925,039</w:t>
            </w:r>
          </w:p>
        </w:tc>
      </w:tr>
      <w:tr>
        <w:trPr>
          <w:trHeight w:val="216"/>
        </w:trPr>
        <w:tc>
          <w:tcPr>
            <w:tcW w:w="1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24,832,349</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161,348</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(3,553,214)</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(154,049)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21,286,434</w:t>
            </w:r>
          </w:p>
        </w:tc>
      </w:tr>
      <w:tr>
        <w:trPr>
          <w:trHeight w:val="216"/>
        </w:trPr>
        <w:tc>
          <w:tcPr>
            <w:tcW w:w="1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750,000</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10,942</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(37,500)</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723,442</w:t>
            </w:r>
          </w:p>
        </w:tc>
      </w:tr>
      <w:tr>
        <w:trPr>
          <w:trHeight w:val="209"/>
        </w:trPr>
        <w:tc>
          <w:tcPr>
            <w:tcW w:w="1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fixed maturity securities available for sale</w:t>
            </w:r>
          </w:p>
        </w:tc>
        <w:tc>
          <w:tcPr>
            <w:tcW w:w="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382,401,293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8,196,174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(7,240,099)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(579,450)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382,777,918</w:t>
            </w: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 at estimated fair value: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miscellaneous and all other</w:t>
            </w:r>
          </w:p>
        </w:tc>
        <w:tc>
          <w:tcPr>
            <w:tcW w:w="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12,206,559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6,176,440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(332,937)</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18,050,062</w:t>
            </w:r>
          </w:p>
        </w:tc>
      </w:tr>
      <w:tr>
        <w:trPr>
          <w:trHeight w:val="209"/>
        </w:trPr>
        <w:tc>
          <w:tcPr>
            <w:tcW w:w="1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equity securities at estimated fair value</w:t>
            </w:r>
          </w:p>
        </w:tc>
        <w:tc>
          <w:tcPr>
            <w:tcW w:w="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12,206,559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6,176,440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(332,937)</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18,050,062</w:t>
            </w: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14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held for investment at amortized cost: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90,644,590</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157,398,705</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79,231,786</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Unamortized deferred loan fees, net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(1,995,795)</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(2,588,918)</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Net discounts</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(254,983)</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0"/>
        </w:trPr>
        <w:tc>
          <w:tcPr>
            <w:tcW w:w="1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mortgage loans held for investment</w:t>
            </w:r>
          </w:p>
        </w:tc>
        <w:tc>
          <w:tcPr>
            <w:tcW w:w="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322,435,385</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40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Real estate held for investment - net of accumulated</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4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93,638,938</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121,258,192</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0"/>
        </w:trPr>
        <w:tc>
          <w:tcPr>
            <w:tcW w:w="1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real estate held for investment</w:t>
            </w:r>
          </w:p>
        </w:tc>
        <w:tc>
          <w:tcPr>
            <w:tcW w:w="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214,897,130</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held for sale: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6,272,474</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151,553</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0"/>
        </w:trPr>
        <w:tc>
          <w:tcPr>
            <w:tcW w:w="1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real estate held for sale</w:t>
            </w:r>
          </w:p>
        </w:tc>
        <w:tc>
          <w:tcPr>
            <w:tcW w:w="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6,424,027</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investments and policy loans at amortized cost: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Policy loans</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14,467,357</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Insurance assignments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46,183,999</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Federal Home Loan Bank stock (2)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646,500</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investments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25,601,905</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4060" w:type="dxa"/>
            <w:vAlign w:val="bottom"/>
            <w:gridSpan w:val="2"/>
          </w:tcPr>
          <w:p>
            <w:pPr>
              <w:ind w:left="360"/>
              <w:spacing w:after="0" w:line="198" w:lineRule="exact"/>
              <w:rPr>
                <w:sz w:val="20"/>
                <w:szCs w:val="20"/>
                <w:color w:val="auto"/>
              </w:rPr>
            </w:pPr>
            <w:r>
              <w:rPr>
                <w:rFonts w:ascii="Times New Roman" w:cs="Times New Roman" w:eastAsia="Times New Roman" w:hAnsi="Times New Roman"/>
                <w:sz w:val="18"/>
                <w:szCs w:val="18"/>
                <w:color w:val="auto"/>
              </w:rPr>
              <w:t>Less: Allowance for credit losses for insurance</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8"/>
        </w:trPr>
        <w:tc>
          <w:tcPr>
            <w:tcW w:w="4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assignments</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(1,676,468)</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9"/>
        </w:trPr>
        <w:tc>
          <w:tcPr>
            <w:tcW w:w="148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83"/>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policy loans and other investments</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85,223,293</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1480" w:type="dxa"/>
            <w:vAlign w:val="bottom"/>
            <w:tcBorders>
              <w:top w:val="single" w:sz="8" w:color="CCEEFF"/>
            </w:tcBorders>
            <w:shd w:val="clear" w:color="auto" w:fill="CCEEFF"/>
          </w:tcPr>
          <w:p>
            <w:pPr>
              <w:spacing w:after="0"/>
              <w:rPr>
                <w:sz w:val="17"/>
                <w:szCs w:val="17"/>
                <w:color w:val="auto"/>
              </w:rPr>
            </w:pPr>
          </w:p>
        </w:tc>
        <w:tc>
          <w:tcPr>
            <w:tcW w:w="25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83"/>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investment income</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9,054,645</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480" w:type="dxa"/>
            <w:vAlign w:val="bottom"/>
            <w:tcBorders>
              <w:top w:val="single" w:sz="8" w:color="CCEEFF"/>
            </w:tcBorders>
            <w:shd w:val="clear" w:color="auto" w:fill="CCEEFF"/>
          </w:tcPr>
          <w:p>
            <w:pPr>
              <w:spacing w:after="0"/>
              <w:rPr>
                <w:sz w:val="17"/>
                <w:szCs w:val="17"/>
                <w:color w:val="auto"/>
              </w:rPr>
            </w:pPr>
          </w:p>
        </w:tc>
        <w:tc>
          <w:tcPr>
            <w:tcW w:w="25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bl>
    <w:p>
      <w:pPr>
        <w:sectPr>
          <w:pgSz w:w="11900" w:h="16891" w:orient="portrait"/>
          <w:cols w:equalWidth="0" w:num="1">
            <w:col w:w="11240"/>
          </w:cols>
          <w:pgMar w:left="320" w:top="688" w:right="339" w:bottom="0" w:gutter="0" w:footer="0" w:header="0"/>
        </w:sectPr>
      </w:pPr>
    </w:p>
    <w:bookmarkStart w:id="56" w:name="page57"/>
    <w:bookmarkEnd w:id="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$ 1,038,862,460</w:t>
            </w:r>
          </w:p>
        </w:tc>
      </w:tr>
      <w:tr>
        <w:trPr>
          <w:trHeight w:val="27"/>
        </w:trPr>
        <w:tc>
          <w:tcPr>
            <w:tcW w:w="41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41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unrealized losses are net of allowance for credit losses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$581,600 of Membership stock and $64,900 of Activity stock due to short-term advances and letters of credit.</w:t>
      </w:r>
    </w:p>
    <w:p>
      <w:pPr>
        <w:spacing w:after="0" w:line="21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57" w:name="page58"/>
    <w:bookmarkEnd w:id="57"/>
    <w:p>
      <w:pPr>
        <w:spacing w:after="0" w:line="5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7" w:lineRule="exact"/>
        <w:rPr>
          <w:sz w:val="20"/>
          <w:szCs w:val="20"/>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investments as of December 31, 2024, are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Gross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Gross</w:t>
            </w:r>
          </w:p>
        </w:tc>
        <w:tc>
          <w:tcPr>
            <w:tcW w:w="120" w:type="dxa"/>
            <w:vAlign w:val="bottom"/>
          </w:tcPr>
          <w:p>
            <w:pPr>
              <w:spacing w:after="0"/>
              <w:rPr>
                <w:sz w:val="18"/>
                <w:szCs w:val="18"/>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Allowance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Amortized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Unrealized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8"/>
              </w:rPr>
              <w:t>Unrealized</w:t>
            </w:r>
          </w:p>
        </w:tc>
        <w:tc>
          <w:tcPr>
            <w:tcW w:w="120" w:type="dxa"/>
            <w:vAlign w:val="bottom"/>
          </w:tcPr>
          <w:p>
            <w:pPr>
              <w:spacing w:after="0"/>
              <w:rPr>
                <w:sz w:val="18"/>
                <w:szCs w:val="18"/>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for Credit</w:t>
            </w: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Estimated Fair</w:t>
            </w:r>
          </w:p>
        </w:tc>
      </w:tr>
      <w:tr>
        <w:trPr>
          <w:trHeight w:val="234"/>
        </w:trPr>
        <w:tc>
          <w:tcPr>
            <w:tcW w:w="14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Cost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Gains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Losses (1)</w:t>
            </w:r>
          </w:p>
        </w:tc>
        <w:tc>
          <w:tcPr>
            <w:tcW w:w="120" w:type="dxa"/>
            <w:vAlign w:val="bottom"/>
          </w:tcPr>
          <w:p>
            <w:pPr>
              <w:spacing w:after="0"/>
              <w:rPr>
                <w:sz w:val="20"/>
                <w:szCs w:val="20"/>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Losses</w:t>
            </w:r>
          </w:p>
        </w:tc>
        <w:tc>
          <w:tcPr>
            <w:tcW w:w="160" w:type="dxa"/>
            <w:vAlign w:val="bottom"/>
          </w:tcPr>
          <w:p>
            <w:pPr>
              <w:spacing w:after="0"/>
              <w:rPr>
                <w:sz w:val="20"/>
                <w:szCs w:val="20"/>
                <w:color w:val="auto"/>
              </w:rPr>
            </w:pP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Value</w:t>
            </w:r>
          </w:p>
        </w:tc>
      </w:tr>
      <w:tr>
        <w:trPr>
          <w:trHeight w:val="190"/>
        </w:trPr>
        <w:tc>
          <w:tcPr>
            <w:tcW w:w="148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9"/>
              </w:rPr>
              <w:t>December 31, 2024:</w:t>
            </w:r>
          </w:p>
        </w:tc>
        <w:tc>
          <w:tcPr>
            <w:tcW w:w="25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CCEEFF"/>
            </w:tcBorders>
            <w:shd w:val="clear" w:color="auto" w:fill="CCEEFF"/>
          </w:tcPr>
          <w:p>
            <w:pPr>
              <w:spacing w:after="0"/>
              <w:rPr>
                <w:sz w:val="16"/>
                <w:szCs w:val="16"/>
                <w:color w:val="auto"/>
              </w:rPr>
            </w:pP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98"/>
        </w:trPr>
        <w:tc>
          <w:tcPr>
            <w:tcW w:w="40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Fixed maturity securities, available for sale, at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fair value: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06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Government agencies</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74,680,606</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327,618</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(486,976)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74,521,248</w:t>
            </w:r>
          </w:p>
        </w:tc>
      </w:tr>
      <w:tr>
        <w:trPr>
          <w:trHeight w:val="216"/>
        </w:trPr>
        <w:tc>
          <w:tcPr>
            <w:tcW w:w="1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6,416,751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1,762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(290,448)</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6,128,065</w:t>
            </w:r>
          </w:p>
        </w:tc>
      </w:tr>
      <w:tr>
        <w:trPr>
          <w:trHeight w:val="216"/>
        </w:trPr>
        <w:tc>
          <w:tcPr>
            <w:tcW w:w="1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securities including public utilities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262,954,278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2,444,842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(6,922,871)</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(408,944)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258,067,305</w:t>
            </w:r>
          </w:p>
        </w:tc>
      </w:tr>
      <w:tr>
        <w:trPr>
          <w:trHeight w:val="216"/>
        </w:trPr>
        <w:tc>
          <w:tcPr>
            <w:tcW w:w="1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31,710,436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125,764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(4,244,640)</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(12,049)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27,579,511</w:t>
            </w:r>
          </w:p>
        </w:tc>
      </w:tr>
      <w:tr>
        <w:trPr>
          <w:trHeight w:val="216"/>
        </w:trPr>
        <w:tc>
          <w:tcPr>
            <w:tcW w:w="1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250,000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250,000</w:t>
            </w:r>
          </w:p>
        </w:tc>
      </w:tr>
      <w:tr>
        <w:trPr>
          <w:trHeight w:val="209"/>
        </w:trPr>
        <w:tc>
          <w:tcPr>
            <w:tcW w:w="1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fixed maturity securities available for sale</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376,012,071</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2,899,986</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(11,944,935)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(420,993)</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366,546,129</w:t>
            </w: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 at estimated fair value: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miscellaneous and all other</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11,386,454</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4,976,567</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(591,340)</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15,771,681</w:t>
            </w:r>
          </w:p>
        </w:tc>
      </w:tr>
      <w:tr>
        <w:trPr>
          <w:trHeight w:val="209"/>
        </w:trPr>
        <w:tc>
          <w:tcPr>
            <w:tcW w:w="1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equity securities at estimated fair value</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11,386,454</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4,976,567</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(591,340)</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15,771,681</w:t>
            </w: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held for investment at amortized cost: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92,061,787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151,172,733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62,753,085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Unamortized deferred loan fees, net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(2,082,241)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(1,885,390)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Net discounts</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(272,616)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0"/>
        </w:trPr>
        <w:tc>
          <w:tcPr>
            <w:tcW w:w="1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mortgage loans held for investment</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301,747,358</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40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Real estate held for investment - net of accumulated</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4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71,618,410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126,074,928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9"/>
        </w:trPr>
        <w:tc>
          <w:tcPr>
            <w:tcW w:w="1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real estate held for investment</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197,693,338</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14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held for sale: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1,126,480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151,553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9"/>
        </w:trPr>
        <w:tc>
          <w:tcPr>
            <w:tcW w:w="1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real estate held for sale</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1,278,033</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investments and policy loans at amortized cost: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Policy loans</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14,019,248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Insurance assignments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48,493,858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Federal Home Loan Bank stock (2)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2,404,900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investments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11,473,961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4060" w:type="dxa"/>
            <w:vAlign w:val="bottom"/>
            <w:gridSpan w:val="2"/>
          </w:tcPr>
          <w:p>
            <w:pPr>
              <w:ind w:left="360"/>
              <w:spacing w:after="0" w:line="198" w:lineRule="exact"/>
              <w:rPr>
                <w:sz w:val="20"/>
                <w:szCs w:val="20"/>
                <w:color w:val="auto"/>
              </w:rPr>
            </w:pPr>
            <w:r>
              <w:rPr>
                <w:rFonts w:ascii="Times New Roman" w:cs="Times New Roman" w:eastAsia="Times New Roman" w:hAnsi="Times New Roman"/>
                <w:sz w:val="18"/>
                <w:szCs w:val="18"/>
                <w:color w:val="auto"/>
              </w:rPr>
              <w:t>Less: Allowance for credit losses for insurance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8"/>
        </w:trPr>
        <w:tc>
          <w:tcPr>
            <w:tcW w:w="4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assignments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(1,536,926)</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0"/>
        </w:trPr>
        <w:tc>
          <w:tcPr>
            <w:tcW w:w="148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83"/>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policy loans and other investments</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74,855,041</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480" w:type="dxa"/>
            <w:vAlign w:val="bottom"/>
            <w:tcBorders>
              <w:top w:val="single" w:sz="8" w:color="CCEEFF"/>
            </w:tcBorders>
            <w:shd w:val="clear" w:color="auto" w:fill="CCEEFF"/>
          </w:tcPr>
          <w:p>
            <w:pPr>
              <w:spacing w:after="0"/>
              <w:rPr>
                <w:sz w:val="17"/>
                <w:szCs w:val="17"/>
                <w:color w:val="auto"/>
              </w:rPr>
            </w:pPr>
          </w:p>
        </w:tc>
        <w:tc>
          <w:tcPr>
            <w:tcW w:w="25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83"/>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investment income</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8,499,168</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480" w:type="dxa"/>
            <w:vAlign w:val="bottom"/>
            <w:tcBorders>
              <w:top w:val="single" w:sz="8" w:color="CCEEFF"/>
            </w:tcBorders>
            <w:shd w:val="clear" w:color="auto" w:fill="CCEEFF"/>
          </w:tcPr>
          <w:p>
            <w:pPr>
              <w:spacing w:after="0"/>
              <w:rPr>
                <w:sz w:val="17"/>
                <w:szCs w:val="17"/>
                <w:color w:val="auto"/>
              </w:rPr>
            </w:pPr>
          </w:p>
        </w:tc>
        <w:tc>
          <w:tcPr>
            <w:tcW w:w="25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bl>
    <w:p>
      <w:pPr>
        <w:sectPr>
          <w:pgSz w:w="11900" w:h="16891" w:orient="portrait"/>
          <w:cols w:equalWidth="0" w:num="1">
            <w:col w:w="11240"/>
          </w:cols>
          <w:pgMar w:left="320" w:top="688" w:right="339" w:bottom="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966,390,748</w:t>
            </w:r>
          </w:p>
        </w:tc>
      </w:tr>
      <w:tr>
        <w:trPr>
          <w:trHeight w:val="27"/>
        </w:trPr>
        <w:tc>
          <w:tcPr>
            <w:tcW w:w="41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4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unrealized losses are net of allowance for credit losses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$553,900 of Membership stock and $1,851,000 of Activity stock due to short-term advances and letters of credit.</w:t>
      </w:r>
    </w:p>
    <w:p>
      <w:pPr>
        <w:spacing w:after="0" w:line="21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59" w:name="page60"/>
    <w:bookmarkEnd w:id="59"/>
    <w:p>
      <w:pPr>
        <w:jc w:val="center"/>
        <w:ind w:right="40"/>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7" w:lineRule="exact"/>
        <w:rPr>
          <w:sz w:val="20"/>
          <w:szCs w:val="20"/>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investments in fixed maturity or equity securities, aggregated by issuer, of more than 10% of shareholders’ equity (before net unrealized gains and losses on equity securities and fixed maturity securities) as of December 31, 2025, other than investments issued or guaranteed by the United States Government.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Fixed Maturity Securities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table below summarizes unrealized losses on fixed maturities securities available for sale that were carried at estimated fair value as of December 31, 2025, and 2024. The fair values of fixed maturity securities that are actively traded are based on quoted market prices. For fixed maturity securities not actively traded, fair values are estimated using values obtained from independent pricing services, or in the case of private placements, are estimated by discounting expected future cash flows using a current market value applicable to the coupon rate, credit, and maturity of the investments. The tables set forth unrealized losses by duration with the fair value of the related fixed maturity securities.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rPr>
              <w:t>Unrealized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8"/>
              </w:rPr>
              <w:t>Unrealized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Losses for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Losses for</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Less than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More than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Total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6"/>
              </w:rPr>
              <w:t>Twelve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6"/>
              </w:rPr>
              <w:t>Twelve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8"/>
              </w:rPr>
              <w:t>Unrealized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16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Months</w:t>
            </w:r>
          </w:p>
        </w:tc>
        <w:tc>
          <w:tcPr>
            <w:tcW w:w="160" w:type="dxa"/>
            <w:vAlign w:val="bottom"/>
          </w:tcPr>
          <w:p>
            <w:pPr>
              <w:spacing w:after="0"/>
              <w:rPr>
                <w:sz w:val="20"/>
                <w:szCs w:val="20"/>
                <w:color w:val="auto"/>
              </w:rPr>
            </w:pPr>
          </w:p>
        </w:tc>
        <w:tc>
          <w:tcPr>
            <w:tcW w:w="10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Fair Value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Months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Fair Value</w:t>
            </w:r>
          </w:p>
        </w:tc>
        <w:tc>
          <w:tcPr>
            <w:tcW w:w="100" w:type="dxa"/>
            <w:vAlign w:val="bottom"/>
          </w:tcPr>
          <w:p>
            <w:pPr>
              <w:spacing w:after="0"/>
              <w:rPr>
                <w:sz w:val="20"/>
                <w:szCs w:val="20"/>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Loss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Fair Value</w:t>
            </w:r>
          </w:p>
        </w:tc>
      </w:tr>
      <w:tr>
        <w:trPr>
          <w:trHeight w:val="169"/>
        </w:trPr>
        <w:tc>
          <w:tcPr>
            <w:tcW w:w="3720" w:type="dxa"/>
            <w:vAlign w:val="bottom"/>
            <w:tcBorders>
              <w:top w:val="single" w:sz="8" w:color="CCEEFF"/>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At December 31, 2025</w:t>
            </w:r>
          </w:p>
        </w:tc>
        <w:tc>
          <w:tcPr>
            <w:tcW w:w="3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r>
      <w:tr>
        <w:trPr>
          <w:trHeight w:val="21"/>
        </w:trPr>
        <w:tc>
          <w:tcPr>
            <w:tcW w:w="1640" w:type="dxa"/>
            <w:vAlign w:val="bottom"/>
            <w:tcBorders>
              <w:top w:val="single" w:sz="8" w:color="auto"/>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98"/>
        </w:trPr>
        <w:tc>
          <w:tcPr>
            <w:tcW w:w="37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Government agencies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2,591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2,047,280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86,959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11,033,603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89,550</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13,080,883</w:t>
            </w: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4,884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195,116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167,300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2,095,220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172,184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2,290,336</w:t>
            </w:r>
          </w:p>
        </w:tc>
        <w:tc>
          <w:tcPr>
            <w:tcW w:w="80" w:type="dxa"/>
            <w:vAlign w:val="bottom"/>
            <w:shd w:val="clear" w:color="auto" w:fill="CCEEFF"/>
          </w:tcPr>
          <w:p>
            <w:pPr>
              <w:spacing w:after="0"/>
              <w:rPr>
                <w:sz w:val="18"/>
                <w:szCs w:val="18"/>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securities including public utilities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638,436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6"/>
              </w:rPr>
              <w:t>30,085,561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2,749,214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42,688,720</w:t>
            </w: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3,387,650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72,774,281</w:t>
            </w: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4,353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192,242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3,548,862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17,504,265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3,553,215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17,696,507</w:t>
            </w:r>
          </w:p>
        </w:tc>
      </w:tr>
      <w:tr>
        <w:trPr>
          <w:trHeight w:val="229"/>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37,500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212,500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37,500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212,500</w:t>
            </w:r>
          </w:p>
        </w:tc>
        <w:tc>
          <w:tcPr>
            <w:tcW w:w="80" w:type="dxa"/>
            <w:vAlign w:val="bottom"/>
          </w:tcPr>
          <w:p>
            <w:pPr>
              <w:spacing w:after="0"/>
              <w:rPr>
                <w:sz w:val="19"/>
                <w:szCs w:val="19"/>
                <w:color w:val="auto"/>
              </w:rPr>
            </w:pPr>
          </w:p>
        </w:tc>
      </w:tr>
      <w:tr>
        <w:trPr>
          <w:trHeight w:val="223"/>
        </w:trPr>
        <w:tc>
          <w:tcPr>
            <w:tcW w:w="37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Totals</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687,764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6"/>
              </w:rPr>
              <w:t>32,732,699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6,552,335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73,321,808</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7,240,099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106,054,507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6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16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75"/>
        </w:trPr>
        <w:tc>
          <w:tcPr>
            <w:tcW w:w="37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At December 31, 2024</w:t>
            </w: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0"/>
        </w:trPr>
        <w:tc>
          <w:tcPr>
            <w:tcW w:w="1640" w:type="dxa"/>
            <w:vAlign w:val="bottom"/>
            <w:tcBorders>
              <w:top w:val="single" w:sz="8" w:color="auto"/>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98"/>
        </w:trPr>
        <w:tc>
          <w:tcPr>
            <w:tcW w:w="37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Government agencies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8,737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986,365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478,239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22,110,495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486,976</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23,096,860</w:t>
            </w: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15,003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2,167,918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275,445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3,008,385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290,448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5,176,303</w:t>
            </w:r>
          </w:p>
        </w:tc>
        <w:tc>
          <w:tcPr>
            <w:tcW w:w="80" w:type="dxa"/>
            <w:vAlign w:val="bottom"/>
            <w:shd w:val="clear" w:color="auto" w:fill="CCEEFF"/>
          </w:tcPr>
          <w:p>
            <w:pPr>
              <w:spacing w:after="0"/>
              <w:rPr>
                <w:sz w:val="18"/>
                <w:szCs w:val="18"/>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securities including public utilities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1,888,022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6"/>
              </w:rPr>
              <w:t>93,562,219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5,034,849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77,975,776</w:t>
            </w: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6,922,871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171,537,995</w:t>
            </w:r>
          </w:p>
        </w:tc>
        <w:tc>
          <w:tcPr>
            <w:tcW w:w="80" w:type="dxa"/>
            <w:vAlign w:val="bottom"/>
          </w:tcPr>
          <w:p>
            <w:pPr>
              <w:spacing w:after="0"/>
              <w:rPr>
                <w:sz w:val="18"/>
                <w:szCs w:val="18"/>
                <w:color w:val="auto"/>
              </w:rPr>
            </w:pPr>
          </w:p>
        </w:tc>
      </w:tr>
      <w:tr>
        <w:trPr>
          <w:trHeight w:val="230"/>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32,150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2,915,192</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4,212,490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19,041,442</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4,244,640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21,956,634</w:t>
            </w:r>
          </w:p>
        </w:tc>
      </w:tr>
      <w:tr>
        <w:trPr>
          <w:trHeight w:val="223"/>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Totals</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1,943,912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6"/>
              </w:rPr>
              <w:t>99,631,694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10,001,023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122,136,098</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11,944,935</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221,767,792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6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Relevant holdings were comprised of 338 securities with fair values aggregating 93.6% of the aggregated amortized cost as of December 31, 2025 compared to 706 securities with fair values aggregating 94.9% of the aggregated amortized cost as of December 31, 2024. A credit loss provision of $342,957 and $106,444 have been recognized for 2025, and 2024, respectively. Credit losses are included in gains (losses) on investments and other assets on the consolidated statements of earnings. Other unrealized losses for which no credit loss was recognized are primarily the result of increases in interest rates.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0" w:name="page61"/>
    <w:bookmarkEnd w:id="60"/>
    <w:p>
      <w:pPr>
        <w:jc w:val="center"/>
        <w:ind w:right="40"/>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7" w:lineRule="exact"/>
        <w:rPr>
          <w:sz w:val="20"/>
          <w:szCs w:val="20"/>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Allowance for Credit Losses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evaluates its fixed maturity securities classified as available for sale on a quarterly basis to identify any potential credit losses. This evaluation includes a review of current ratings by the National Association of Insurance Commissions (“NAIC”) and other industry rating agencies. Securities with a NAIC rating of 1 or 2 are considered investment grade and are only reviewed for credit loss if current market data or recent company news could lead to a credit downgrade. Securities with NAIC ratings of 3 to 5 are considered non-investment grade and are evaluated for credit loss. The evaluation involves assessing all facts and circumstances surrounding each security including, but not limited to, historical values, interest payment history, projected earnings, and revenue growth rates as well as a review of the reason for a downgrade in the NAIC rating. Based on the analysis of a security that is rated 3 to 5, a determination is made whether the security will likely make payments in accordance with the terms of the financial instrument. Securities with a rating of 6 are automatically determined to be impaired, and a credit loss is recognized in earnings.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Where the decline in fair value of fixed maturity securities is attributable to changes in market interest rates or to factors such as market volatility, liquidity and spread widening, and the Company anticipates recovery of all contractual or expected cash flows, the Company does not consider these securities to have credit loss because the Company does not intend to sell these securities and it is not more likely than not the Company will be required to sell these securities before a recovery of amortized cost, which may be at maturity.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Company intends to sell a fixed maturity security or if it is more likely than not that the Company will be required to sell a security before recovery of its amortized cost basis, a credit loss has occurred and the difference between the amortized cost and the fair value that relates to the expected credit loss is recognized as a loss in earnings, included in gains (losses) on investments and other assets on the consolidated statements of earnings.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Company does not intend to sell a fixed maturity security and it is less likely than not that the Company will be required to sell the security but the Company also does not expect to recover the entire amortized cost basis of the security, a credit loss is recognized in earnings for the amount of the expected credit loss with a corresponding allowance for credit losses as a contra-asset account. The credit loss is included in gains (losses) on investments and other assets on the consolidated statements of earnings. The recognized credit loss is limited to the total unrealized loss on the security due to a change in credit.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Amounts due on available for sale fixed maturities that are deemed to be uncollectible are written off and removed from the allowance for credit loss. A write-off may also occur if the Company intends to sell a security or when it is more likely than not that the Company will be required to sell the security before the recovery of its amortized cost.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does not calculate a credit loss allowance on accrued interest income, included in accrued investment income on the consolidated balance sheets, as the Company writes off any accrued interest income to net investment income if the accrued but unpaid amount exceeds 90 days.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1" w:name="page62"/>
    <w:bookmarkEnd w:id="61"/>
    <w:p>
      <w:pPr>
        <w:jc w:val="center"/>
        <w:ind w:right="40"/>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7" w:lineRule="exact"/>
        <w:rPr>
          <w:sz w:val="20"/>
          <w:szCs w:val="20"/>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Quality Indicators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NAIC securities designations, the Company had 98.5% and 97.7% of its fixed maturity securities rated investment grade as of December 31, 2025, and 2024, respectively. The following table summarizes the credit quality, by NAIC designation, of the Company’s fixed maturity securities available for sale, excluding redeemable preferred stock.</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vMerge w:val="restart"/>
          </w:tcPr>
          <w:p>
            <w:pPr>
              <w:ind w:left="1560"/>
              <w:spacing w:after="0"/>
              <w:rPr>
                <w:sz w:val="20"/>
                <w:szCs w:val="20"/>
                <w:color w:val="auto"/>
              </w:rPr>
            </w:pPr>
            <w:r>
              <w:rPr>
                <w:rFonts w:ascii="Times New Roman" w:cs="Times New Roman" w:eastAsia="Times New Roman" w:hAnsi="Times New Roman"/>
                <w:sz w:val="18"/>
                <w:szCs w:val="18"/>
                <w:color w:val="auto"/>
              </w:rPr>
              <w:t>NAIC</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December 31, 2025</w:t>
            </w:r>
          </w:p>
        </w:tc>
        <w:tc>
          <w:tcPr>
            <w:tcW w:w="120" w:type="dxa"/>
            <w:vAlign w:val="bottom"/>
          </w:tcPr>
          <w:p>
            <w:pPr>
              <w:spacing w:after="0"/>
              <w:rPr>
                <w:sz w:val="20"/>
                <w:szCs w:val="20"/>
                <w:color w:val="auto"/>
              </w:rPr>
            </w:pPr>
          </w:p>
        </w:tc>
        <w:tc>
          <w:tcPr>
            <w:tcW w:w="238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color w:val="auto"/>
              </w:rPr>
              <w:t>December 31, 2024</w:t>
            </w:r>
          </w:p>
        </w:tc>
        <w:tc>
          <w:tcPr>
            <w:tcW w:w="0" w:type="dxa"/>
            <w:vAlign w:val="bottom"/>
          </w:tcPr>
          <w:p>
            <w:pPr>
              <w:spacing w:after="0"/>
              <w:rPr>
                <w:sz w:val="1"/>
                <w:szCs w:val="1"/>
                <w:color w:val="auto"/>
              </w:rPr>
            </w:pPr>
          </w:p>
        </w:tc>
      </w:tr>
      <w:tr>
        <w:trPr>
          <w:trHeight w:val="191"/>
        </w:trPr>
        <w:tc>
          <w:tcPr>
            <w:tcW w:w="36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center"/>
              <w:ind w:right="420"/>
              <w:spacing w:after="0" w:line="191" w:lineRule="exact"/>
              <w:rPr>
                <w:sz w:val="20"/>
                <w:szCs w:val="20"/>
                <w:color w:val="auto"/>
              </w:rPr>
            </w:pPr>
            <w:r>
              <w:rPr>
                <w:rFonts w:ascii="Times New Roman" w:cs="Times New Roman" w:eastAsia="Times New Roman" w:hAnsi="Times New Roman"/>
                <w:sz w:val="18"/>
                <w:szCs w:val="18"/>
                <w:color w:val="auto"/>
              </w:rPr>
              <w:t>Amortized</w:t>
            </w:r>
          </w:p>
        </w:tc>
        <w:tc>
          <w:tcPr>
            <w:tcW w:w="108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Estimated Fair</w:t>
            </w:r>
          </w:p>
        </w:tc>
        <w:tc>
          <w:tcPr>
            <w:tcW w:w="2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right"/>
              <w:ind w:right="420"/>
              <w:spacing w:after="0" w:line="191" w:lineRule="exact"/>
              <w:rPr>
                <w:sz w:val="20"/>
                <w:szCs w:val="20"/>
                <w:color w:val="auto"/>
              </w:rPr>
            </w:pPr>
            <w:r>
              <w:rPr>
                <w:rFonts w:ascii="Times New Roman" w:cs="Times New Roman" w:eastAsia="Times New Roman" w:hAnsi="Times New Roman"/>
                <w:sz w:val="18"/>
                <w:szCs w:val="18"/>
                <w:color w:val="auto"/>
              </w:rPr>
              <w:t>Amortized</w:t>
            </w:r>
          </w:p>
        </w:tc>
        <w:tc>
          <w:tcPr>
            <w:tcW w:w="1080" w:type="dxa"/>
            <w:vAlign w:val="bottom"/>
            <w:tcBorders>
              <w:top w:val="single" w:sz="8" w:color="auto"/>
            </w:tcBorders>
            <w:gridSpan w:val="2"/>
          </w:tcPr>
          <w:p>
            <w:pPr>
              <w:ind w:left="20"/>
              <w:spacing w:after="0" w:line="191" w:lineRule="exact"/>
              <w:rPr>
                <w:sz w:val="20"/>
                <w:szCs w:val="20"/>
                <w:color w:val="auto"/>
              </w:rPr>
            </w:pPr>
            <w:r>
              <w:rPr>
                <w:rFonts w:ascii="Times New Roman" w:cs="Times New Roman" w:eastAsia="Times New Roman" w:hAnsi="Times New Roman"/>
                <w:sz w:val="18"/>
                <w:szCs w:val="18"/>
                <w:color w:val="auto"/>
                <w:w w:val="98"/>
              </w:rPr>
              <w:t>Estimated Fair</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Designation</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Cost</w:t>
            </w:r>
          </w:p>
        </w:tc>
        <w:tc>
          <w:tcPr>
            <w:tcW w:w="120" w:type="dxa"/>
            <w:vAlign w:val="bottom"/>
          </w:tcPr>
          <w:p>
            <w:pPr>
              <w:spacing w:after="0"/>
              <w:rPr>
                <w:sz w:val="20"/>
                <w:szCs w:val="20"/>
                <w:color w:val="auto"/>
              </w:rPr>
            </w:pP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Value</w:t>
            </w:r>
          </w:p>
        </w:tc>
        <w:tc>
          <w:tcPr>
            <w:tcW w:w="120" w:type="dxa"/>
            <w:vAlign w:val="bottom"/>
          </w:tcPr>
          <w:p>
            <w:pPr>
              <w:spacing w:after="0"/>
              <w:rPr>
                <w:sz w:val="20"/>
                <w:szCs w:val="20"/>
                <w:color w:val="auto"/>
              </w:rPr>
            </w:pPr>
          </w:p>
        </w:tc>
        <w:tc>
          <w:tcPr>
            <w:tcW w:w="12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Cost</w:t>
            </w:r>
          </w:p>
        </w:tc>
        <w:tc>
          <w:tcPr>
            <w:tcW w:w="140" w:type="dxa"/>
            <w:vAlign w:val="bottom"/>
          </w:tcPr>
          <w:p>
            <w:pPr>
              <w:spacing w:after="0"/>
              <w:rPr>
                <w:sz w:val="20"/>
                <w:szCs w:val="20"/>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209"/>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198,055,737</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197,788,945</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188,386,980</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183,460,027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177,242,472</w:t>
            </w:r>
          </w:p>
        </w:tc>
        <w:tc>
          <w:tcPr>
            <w:tcW w:w="12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178,441,019</w:t>
            </w:r>
          </w:p>
        </w:tc>
        <w:tc>
          <w:tcPr>
            <w:tcW w:w="12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178,060,265</w:t>
            </w:r>
          </w:p>
        </w:tc>
        <w:tc>
          <w:tcPr>
            <w:tcW w:w="1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174,405,442</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6,145,460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5,616,342</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7,961,422</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7,342,220</w:t>
            </w:r>
          </w:p>
        </w:tc>
        <w:tc>
          <w:tcPr>
            <w:tcW w:w="0" w:type="dxa"/>
            <w:vAlign w:val="bottom"/>
          </w:tcPr>
          <w:p>
            <w:pPr>
              <w:spacing w:after="0"/>
              <w:rPr>
                <w:sz w:val="1"/>
                <w:szCs w:val="1"/>
                <w:color w:val="auto"/>
              </w:rPr>
            </w:pPr>
          </w:p>
        </w:tc>
      </w:tr>
      <w:tr>
        <w:trPr>
          <w:trHeight w:val="216"/>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155,717</w:t>
            </w:r>
          </w:p>
        </w:tc>
        <w:tc>
          <w:tcPr>
            <w:tcW w:w="12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160,830</w:t>
            </w:r>
          </w:p>
        </w:tc>
        <w:tc>
          <w:tcPr>
            <w:tcW w:w="12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649,592</w:t>
            </w:r>
          </w:p>
        </w:tc>
        <w:tc>
          <w:tcPr>
            <w:tcW w:w="1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600,459</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702,643</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487,981</w:t>
            </w:r>
          </w:p>
        </w:tc>
        <w:tc>
          <w:tcPr>
            <w:tcW w:w="0" w:type="dxa"/>
            <w:vAlign w:val="bottom"/>
          </w:tcPr>
          <w:p>
            <w:pPr>
              <w:spacing w:after="0"/>
              <w:rPr>
                <w:sz w:val="1"/>
                <w:szCs w:val="1"/>
                <w:color w:val="auto"/>
              </w:rPr>
            </w:pPr>
          </w:p>
        </w:tc>
      </w:tr>
      <w:tr>
        <w:trPr>
          <w:trHeight w:val="229"/>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51,907</w:t>
            </w:r>
          </w:p>
        </w:tc>
        <w:tc>
          <w:tcPr>
            <w:tcW w:w="1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47,340</w:t>
            </w:r>
          </w:p>
        </w:tc>
        <w:tc>
          <w:tcPr>
            <w:tcW w:w="12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1,169</w:t>
            </w:r>
          </w:p>
        </w:tc>
        <w:tc>
          <w:tcPr>
            <w:tcW w:w="14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62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Total</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381,651,293</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382,054,476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375,762,071</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366,296,129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a roll forward of the Company’s allowance for credit losses on fixed maturity securities available for sale: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60" w:type="dxa"/>
            <w:vAlign w:val="bottom"/>
            <w:tcBorders>
              <w:bottom w:val="single" w:sz="8" w:color="auto"/>
            </w:tcBorders>
            <w:gridSpan w:val="9"/>
          </w:tcPr>
          <w:p>
            <w:pPr>
              <w:jc w:val="right"/>
              <w:ind w:right="1220"/>
              <w:spacing w:after="0"/>
              <w:rPr>
                <w:sz w:val="20"/>
                <w:szCs w:val="20"/>
                <w:color w:val="auto"/>
              </w:rPr>
            </w:pPr>
            <w:r>
              <w:rPr>
                <w:rFonts w:ascii="Times New Roman" w:cs="Times New Roman" w:eastAsia="Times New Roman" w:hAnsi="Times New Roman"/>
                <w:sz w:val="18"/>
                <w:szCs w:val="18"/>
                <w:color w:val="auto"/>
              </w:rPr>
              <w:t>Year Ended December 31, 2025</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U.S. Treasury</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securities and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obligations of</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8"/>
              </w:rPr>
              <w:t>Obligations of</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7"/>
              </w:rPr>
              <w:t>Corporate</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states and</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7"/>
              </w:rPr>
              <w:t>securities</w:t>
            </w:r>
          </w:p>
        </w:tc>
        <w:tc>
          <w:tcPr>
            <w:tcW w:w="120" w:type="dxa"/>
            <w:vAlign w:val="bottom"/>
          </w:tcPr>
          <w:p>
            <w:pPr>
              <w:spacing w:after="0"/>
              <w:rPr>
                <w:sz w:val="18"/>
                <w:szCs w:val="18"/>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Mortgage-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Government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political</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6"/>
              </w:rPr>
              <w:t>including</w:t>
            </w:r>
          </w:p>
        </w:tc>
        <w:tc>
          <w:tcPr>
            <w:tcW w:w="120" w:type="dxa"/>
            <w:vAlign w:val="bottom"/>
          </w:tcPr>
          <w:p>
            <w:pPr>
              <w:spacing w:after="0"/>
              <w:rPr>
                <w:sz w:val="18"/>
                <w:szCs w:val="18"/>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7"/>
              </w:rPr>
              <w:t>backed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agencies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subdivisions</w:t>
            </w:r>
          </w:p>
        </w:tc>
        <w:tc>
          <w:tcPr>
            <w:tcW w:w="160" w:type="dxa"/>
            <w:vAlign w:val="bottom"/>
          </w:tcPr>
          <w:p>
            <w:pPr>
              <w:spacing w:after="0"/>
              <w:rPr>
                <w:sz w:val="20"/>
                <w:szCs w:val="20"/>
                <w:color w:val="auto"/>
              </w:rPr>
            </w:pPr>
          </w:p>
        </w:tc>
        <w:tc>
          <w:tcPr>
            <w:tcW w:w="14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8"/>
              </w:rPr>
              <w:t>public utilities</w:t>
            </w:r>
          </w:p>
        </w:tc>
        <w:tc>
          <w:tcPr>
            <w:tcW w:w="120" w:type="dxa"/>
            <w:vAlign w:val="bottom"/>
          </w:tcPr>
          <w:p>
            <w:pPr>
              <w:spacing w:after="0"/>
              <w:rPr>
                <w:sz w:val="20"/>
                <w:szCs w:val="20"/>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securities</w:t>
            </w:r>
          </w:p>
        </w:tc>
        <w:tc>
          <w:tcPr>
            <w:tcW w:w="240" w:type="dxa"/>
            <w:vAlign w:val="bottom"/>
          </w:tcPr>
          <w:p>
            <w:pPr>
              <w:spacing w:after="0"/>
              <w:rPr>
                <w:sz w:val="20"/>
                <w:szCs w:val="20"/>
                <w:color w:val="auto"/>
              </w:rPr>
            </w:pP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 December 31, 2024</w:t>
            </w:r>
          </w:p>
        </w:tc>
        <w:tc>
          <w:tcPr>
            <w:tcW w:w="1240" w:type="dxa"/>
            <w:vAlign w:val="bottom"/>
            <w:gridSpan w:val="2"/>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408,944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12,049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420,993</w:t>
            </w:r>
          </w:p>
        </w:tc>
      </w:tr>
      <w:tr>
        <w:trPr>
          <w:trHeight w:val="216"/>
        </w:trPr>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Additions for credit losses not previously recorded</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143,000</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143,000</w:t>
            </w:r>
          </w:p>
        </w:tc>
      </w:tr>
      <w:tr>
        <w:trPr>
          <w:trHeight w:val="198"/>
        </w:trPr>
        <w:tc>
          <w:tcPr>
            <w:tcW w:w="40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Change in allowance on securities with previous</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allowance</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57,957</w:t>
            </w:r>
          </w:p>
        </w:tc>
        <w:tc>
          <w:tcPr>
            <w:tcW w:w="12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142,000</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199,957</w:t>
            </w:r>
          </w:p>
        </w:tc>
      </w:tr>
      <w:tr>
        <w:trPr>
          <w:trHeight w:val="216"/>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Reductions for securities sold during the period</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(184,500)</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(184,500)</w:t>
            </w:r>
          </w:p>
        </w:tc>
      </w:tr>
      <w:tr>
        <w:trPr>
          <w:trHeight w:val="198"/>
        </w:trPr>
        <w:tc>
          <w:tcPr>
            <w:tcW w:w="40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Reductions for securities with credit losses due to</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intent to sell</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Write-offs charged against the allowance</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Recoveries of amounts previously written off</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0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43"/>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 - December 31, 2025</w:t>
            </w:r>
          </w:p>
        </w:tc>
        <w:tc>
          <w:tcPr>
            <w:tcW w:w="1240" w:type="dxa"/>
            <w:vAlign w:val="bottom"/>
            <w:gridSpan w:val="2"/>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425,401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154,049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579,450</w:t>
            </w:r>
          </w:p>
        </w:tc>
      </w:tr>
      <w:tr>
        <w:trPr>
          <w:trHeight w:val="20"/>
        </w:trPr>
        <w:tc>
          <w:tcPr>
            <w:tcW w:w="4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4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62" w:name="page63"/>
    <w:bookmarkEnd w:id="62"/>
    <w:p>
      <w:pPr>
        <w:jc w:val="center"/>
        <w:ind w:right="40"/>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480" w:type="dxa"/>
            <w:vAlign w:val="bottom"/>
          </w:tcPr>
          <w:p>
            <w:pPr>
              <w:spacing w:after="0"/>
              <w:rPr>
                <w:sz w:val="17"/>
                <w:szCs w:val="17"/>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 (Continued)</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66"/>
        </w:trPr>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gridSpan w:val="9"/>
          </w:tcPr>
          <w:p>
            <w:pPr>
              <w:jc w:val="right"/>
              <w:ind w:right="1220"/>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U.S. Treasury</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securities and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obligations of</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8"/>
              </w:rPr>
              <w:t>Obligations of</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7"/>
              </w:rPr>
              <w:t>Corporate</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states and</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7"/>
              </w:rPr>
              <w:t>securities</w:t>
            </w:r>
          </w:p>
        </w:tc>
        <w:tc>
          <w:tcPr>
            <w:tcW w:w="120" w:type="dxa"/>
            <w:vAlign w:val="bottom"/>
          </w:tcPr>
          <w:p>
            <w:pPr>
              <w:spacing w:after="0"/>
              <w:rPr>
                <w:sz w:val="18"/>
                <w:szCs w:val="18"/>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Mortgage-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Government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political</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6"/>
              </w:rPr>
              <w:t>including</w:t>
            </w:r>
          </w:p>
        </w:tc>
        <w:tc>
          <w:tcPr>
            <w:tcW w:w="120" w:type="dxa"/>
            <w:vAlign w:val="bottom"/>
          </w:tcPr>
          <w:p>
            <w:pPr>
              <w:spacing w:after="0"/>
              <w:rPr>
                <w:sz w:val="18"/>
                <w:szCs w:val="18"/>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7"/>
              </w:rPr>
              <w:t>backed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agencies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subdivisions</w:t>
            </w:r>
          </w:p>
        </w:tc>
        <w:tc>
          <w:tcPr>
            <w:tcW w:w="160" w:type="dxa"/>
            <w:vAlign w:val="bottom"/>
          </w:tcPr>
          <w:p>
            <w:pPr>
              <w:spacing w:after="0"/>
              <w:rPr>
                <w:sz w:val="20"/>
                <w:szCs w:val="20"/>
                <w:color w:val="auto"/>
              </w:rPr>
            </w:pPr>
          </w:p>
        </w:tc>
        <w:tc>
          <w:tcPr>
            <w:tcW w:w="14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8"/>
              </w:rPr>
              <w:t>public utilities</w:t>
            </w:r>
          </w:p>
        </w:tc>
        <w:tc>
          <w:tcPr>
            <w:tcW w:w="120" w:type="dxa"/>
            <w:vAlign w:val="bottom"/>
          </w:tcPr>
          <w:p>
            <w:pPr>
              <w:spacing w:after="0"/>
              <w:rPr>
                <w:sz w:val="20"/>
                <w:szCs w:val="20"/>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securities</w:t>
            </w:r>
          </w:p>
        </w:tc>
        <w:tc>
          <w:tcPr>
            <w:tcW w:w="240" w:type="dxa"/>
            <w:vAlign w:val="bottom"/>
          </w:tcPr>
          <w:p>
            <w:pPr>
              <w:spacing w:after="0"/>
              <w:rPr>
                <w:sz w:val="20"/>
                <w:szCs w:val="20"/>
                <w:color w:val="auto"/>
              </w:rPr>
            </w:pP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 December 31, 2023</w:t>
            </w:r>
          </w:p>
        </w:tc>
        <w:tc>
          <w:tcPr>
            <w:tcW w:w="1240" w:type="dxa"/>
            <w:vAlign w:val="bottom"/>
            <w:gridSpan w:val="2"/>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308,500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6,049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314,549</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3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for credit losses not previously recorded</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55,000</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55,000</w:t>
            </w:r>
          </w:p>
        </w:tc>
      </w:tr>
      <w:tr>
        <w:trPr>
          <w:trHeight w:val="198"/>
        </w:trPr>
        <w:tc>
          <w:tcPr>
            <w:tcW w:w="180" w:type="dxa"/>
            <w:vAlign w:val="bottom"/>
          </w:tcPr>
          <w:p>
            <w:pPr>
              <w:spacing w:after="0"/>
              <w:rPr>
                <w:sz w:val="17"/>
                <w:szCs w:val="17"/>
                <w:color w:val="auto"/>
              </w:rPr>
            </w:pPr>
          </w:p>
        </w:tc>
        <w:tc>
          <w:tcPr>
            <w:tcW w:w="38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Change in allowance on securities with previous</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80" w:type="dxa"/>
            <w:vAlign w:val="bottom"/>
          </w:tcPr>
          <w:p>
            <w:pPr>
              <w:spacing w:after="0"/>
              <w:rPr>
                <w:sz w:val="20"/>
                <w:szCs w:val="20"/>
                <w:color w:val="auto"/>
              </w:rPr>
            </w:pPr>
          </w:p>
        </w:tc>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allowance</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60,000</w:t>
            </w:r>
          </w:p>
        </w:tc>
        <w:tc>
          <w:tcPr>
            <w:tcW w:w="12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6,000</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66,000</w:t>
            </w:r>
          </w:p>
        </w:tc>
      </w:tr>
      <w:tr>
        <w:trPr>
          <w:trHeight w:val="216"/>
        </w:trPr>
        <w:tc>
          <w:tcPr>
            <w:tcW w:w="180" w:type="dxa"/>
            <w:vAlign w:val="bottom"/>
            <w:shd w:val="clear" w:color="auto" w:fill="CCEEFF"/>
          </w:tcPr>
          <w:p>
            <w:pPr>
              <w:spacing w:after="0"/>
              <w:rPr>
                <w:sz w:val="18"/>
                <w:szCs w:val="18"/>
                <w:color w:val="auto"/>
              </w:rPr>
            </w:pPr>
          </w:p>
        </w:tc>
        <w:tc>
          <w:tcPr>
            <w:tcW w:w="3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Reductions for securities sold during the period</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198"/>
        </w:trPr>
        <w:tc>
          <w:tcPr>
            <w:tcW w:w="180" w:type="dxa"/>
            <w:vAlign w:val="bottom"/>
          </w:tcPr>
          <w:p>
            <w:pPr>
              <w:spacing w:after="0"/>
              <w:rPr>
                <w:sz w:val="17"/>
                <w:szCs w:val="17"/>
                <w:color w:val="auto"/>
              </w:rPr>
            </w:pPr>
          </w:p>
        </w:tc>
        <w:tc>
          <w:tcPr>
            <w:tcW w:w="38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Reductions for securities with credit losses due to</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80" w:type="dxa"/>
            <w:vAlign w:val="bottom"/>
          </w:tcPr>
          <w:p>
            <w:pPr>
              <w:spacing w:after="0"/>
              <w:rPr>
                <w:sz w:val="20"/>
                <w:szCs w:val="20"/>
                <w:color w:val="auto"/>
              </w:rPr>
            </w:pPr>
          </w:p>
        </w:tc>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intent to sell</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16"/>
        </w:trPr>
        <w:tc>
          <w:tcPr>
            <w:tcW w:w="180" w:type="dxa"/>
            <w:vAlign w:val="bottom"/>
            <w:shd w:val="clear" w:color="auto" w:fill="CCEEFF"/>
          </w:tcPr>
          <w:p>
            <w:pPr>
              <w:spacing w:after="0"/>
              <w:rPr>
                <w:sz w:val="18"/>
                <w:szCs w:val="18"/>
                <w:color w:val="auto"/>
              </w:rPr>
            </w:pPr>
          </w:p>
        </w:tc>
        <w:tc>
          <w:tcPr>
            <w:tcW w:w="3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 charged against the allowance</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30"/>
        </w:trPr>
        <w:tc>
          <w:tcPr>
            <w:tcW w:w="180" w:type="dxa"/>
            <w:vAlign w:val="bottom"/>
          </w:tcPr>
          <w:p>
            <w:pPr>
              <w:spacing w:after="0"/>
              <w:rPr>
                <w:sz w:val="19"/>
                <w:szCs w:val="19"/>
                <w:color w:val="auto"/>
              </w:rPr>
            </w:pPr>
          </w:p>
        </w:tc>
        <w:tc>
          <w:tcPr>
            <w:tcW w:w="38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Recoveries of amounts previously written off</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(14,556)</w:t>
            </w:r>
          </w:p>
        </w:tc>
        <w:tc>
          <w:tcPr>
            <w:tcW w:w="12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(14,556)</w:t>
            </w:r>
          </w:p>
        </w:tc>
      </w:tr>
      <w:tr>
        <w:trPr>
          <w:trHeight w:val="209"/>
        </w:trPr>
        <w:tc>
          <w:tcPr>
            <w:tcW w:w="1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43"/>
        </w:trPr>
        <w:tc>
          <w:tcPr>
            <w:tcW w:w="4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Ending Balance - December 31, 2024</w:t>
            </w:r>
          </w:p>
        </w:tc>
        <w:tc>
          <w:tcPr>
            <w:tcW w:w="1240" w:type="dxa"/>
            <w:vAlign w:val="bottom"/>
            <w:gridSpan w:val="2"/>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408,944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12,049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420,993</w:t>
            </w:r>
          </w:p>
        </w:tc>
        <w:tc>
          <w:tcPr>
            <w:tcW w:w="10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amortized cost and estimated fair value of fixed maturity securities available for sale at December 31, 2025, by contractual maturity. Expected maturities may differ from contractual maturities because certain securities afford the issuer the right to call or prepay its obligations.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Amortized</w:t>
            </w:r>
          </w:p>
        </w:tc>
        <w:tc>
          <w:tcPr>
            <w:tcW w:w="12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Estimated Fair</w:t>
            </w:r>
          </w:p>
        </w:tc>
      </w:tr>
      <w:tr>
        <w:trPr>
          <w:trHeight w:val="234"/>
        </w:trPr>
        <w:tc>
          <w:tcPr>
            <w:tcW w:w="4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Cost</w:t>
            </w:r>
          </w:p>
        </w:tc>
        <w:tc>
          <w:tcPr>
            <w:tcW w:w="180" w:type="dxa"/>
            <w:vAlign w:val="bottom"/>
          </w:tcPr>
          <w:p>
            <w:pPr>
              <w:spacing w:after="0"/>
              <w:rPr>
                <w:sz w:val="20"/>
                <w:szCs w:val="20"/>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Value</w:t>
            </w: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in 1 year</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40,822,516</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40,759,962</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Due in 2-5 years</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122,737,580</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124,221,407</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in 5-10 years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129,282,637</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132,560,322</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Due in more than 10 years</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63,976,211</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63,226,351</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24,832,349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21,286,434</w:t>
            </w:r>
          </w:p>
        </w:tc>
      </w:tr>
      <w:tr>
        <w:trPr>
          <w:trHeight w:val="23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750,000</w:t>
            </w:r>
          </w:p>
        </w:tc>
        <w:tc>
          <w:tcPr>
            <w:tcW w:w="1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723,442</w:t>
            </w:r>
          </w:p>
        </w:tc>
      </w:tr>
      <w:tr>
        <w:trPr>
          <w:trHeight w:val="223"/>
        </w:trPr>
        <w:tc>
          <w:tcPr>
            <w:tcW w:w="42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382,401,293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382,777,918</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sales of fixed maturity securities available for sale is presented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color w:val="auto"/>
              </w:rPr>
              <w:t>Years Ended December 31,</w:t>
            </w:r>
          </w:p>
        </w:tc>
        <w:tc>
          <w:tcPr>
            <w:tcW w:w="4500" w:type="dxa"/>
            <w:vAlign w:val="bottom"/>
          </w:tcPr>
          <w:p>
            <w:pPr>
              <w:spacing w:after="0"/>
              <w:rPr>
                <w:sz w:val="20"/>
                <w:szCs w:val="20"/>
                <w:color w:val="auto"/>
              </w:rPr>
            </w:pPr>
          </w:p>
        </w:tc>
      </w:tr>
      <w:tr>
        <w:trPr>
          <w:trHeight w:val="223"/>
        </w:trPr>
        <w:tc>
          <w:tcPr>
            <w:tcW w:w="416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4500" w:type="dxa"/>
            <w:vAlign w:val="bottom"/>
          </w:tcPr>
          <w:p>
            <w:pPr>
              <w:spacing w:after="0"/>
              <w:rPr>
                <w:sz w:val="19"/>
                <w:szCs w:val="19"/>
                <w:color w:val="auto"/>
              </w:rPr>
            </w:pPr>
          </w:p>
        </w:tc>
      </w:tr>
      <w:tr>
        <w:trPr>
          <w:trHeight w:val="210"/>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4,890,824</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2,629,493</w:t>
            </w:r>
          </w:p>
        </w:tc>
        <w:tc>
          <w:tcPr>
            <w:tcW w:w="4500" w:type="dxa"/>
            <w:vAlign w:val="bottom"/>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Gross realized gains</w:t>
            </w:r>
          </w:p>
        </w:tc>
        <w:tc>
          <w:tcPr>
            <w:tcW w:w="1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74,322</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450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realized losses</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(15,393)</w:t>
            </w:r>
          </w:p>
        </w:tc>
        <w:tc>
          <w:tcPr>
            <w:tcW w:w="3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4500" w:type="dxa"/>
            <w:vAlign w:val="bottom"/>
          </w:tcPr>
          <w:p>
            <w:pPr>
              <w:spacing w:after="0"/>
              <w:rPr>
                <w:sz w:val="18"/>
                <w:szCs w:val="18"/>
                <w:color w:val="auto"/>
              </w:rPr>
            </w:pPr>
          </w:p>
        </w:tc>
      </w:tr>
      <w:tr>
        <w:trPr>
          <w:trHeight w:val="432"/>
        </w:trPr>
        <w:tc>
          <w:tcPr>
            <w:tcW w:w="4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59</w:t>
            </w:r>
          </w:p>
        </w:tc>
        <w:tc>
          <w:tcPr>
            <w:tcW w:w="92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63" w:name="page64"/>
    <w:bookmarkEnd w:id="63"/>
    <w:p>
      <w:pPr>
        <w:jc w:val="center"/>
        <w:ind w:right="40"/>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7" w:lineRule="exact"/>
        <w:rPr>
          <w:sz w:val="20"/>
          <w:szCs w:val="20"/>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on Deposit, Held in Trust, and Pledged as Collateral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on deposit with life insurance regulatory authorities as required by law were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00" w:type="dxa"/>
            <w:vAlign w:val="bottom"/>
            <w:gridSpan w:val="7"/>
          </w:tcPr>
          <w:p>
            <w:pPr>
              <w:ind w:left="200"/>
              <w:spacing w:after="0"/>
              <w:rPr>
                <w:sz w:val="20"/>
                <w:szCs w:val="20"/>
                <w:color w:val="auto"/>
              </w:rPr>
            </w:pPr>
            <w:r>
              <w:rPr>
                <w:rFonts w:ascii="Times New Roman" w:cs="Times New Roman" w:eastAsia="Times New Roman" w:hAnsi="Times New Roman"/>
                <w:sz w:val="18"/>
                <w:szCs w:val="18"/>
                <w:color w:val="auto"/>
              </w:rPr>
              <w:t>Years Ended December 31,</w:t>
            </w:r>
          </w:p>
        </w:tc>
      </w:tr>
      <w:tr>
        <w:trPr>
          <w:trHeight w:val="223"/>
        </w:trPr>
        <w:tc>
          <w:tcPr>
            <w:tcW w:w="48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r>
      <w:tr>
        <w:trPr>
          <w:trHeight w:val="210"/>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maturity securities available for sale at estimated fair value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7,744,141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6,126,589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2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400,000</w:t>
            </w:r>
          </w:p>
        </w:tc>
        <w:tc>
          <w:tcPr>
            <w:tcW w:w="40" w:type="dxa"/>
            <w:vAlign w:val="bottom"/>
          </w:tcPr>
          <w:p>
            <w:pPr>
              <w:spacing w:after="0"/>
              <w:rPr>
                <w:sz w:val="18"/>
                <w:szCs w:val="18"/>
                <w:color w:val="auto"/>
              </w:rPr>
            </w:pPr>
          </w:p>
        </w:tc>
      </w:tr>
      <w:tr>
        <w:trPr>
          <w:trHeight w:val="229"/>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1,543,842</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1,444,654</w:t>
            </w:r>
          </w:p>
        </w:tc>
        <w:tc>
          <w:tcPr>
            <w:tcW w:w="40" w:type="dxa"/>
            <w:vAlign w:val="bottom"/>
            <w:shd w:val="clear" w:color="auto" w:fill="CCEEFF"/>
          </w:tcPr>
          <w:p>
            <w:pPr>
              <w:spacing w:after="0"/>
              <w:rPr>
                <w:sz w:val="19"/>
                <w:szCs w:val="19"/>
                <w:color w:val="auto"/>
              </w:rPr>
            </w:pPr>
          </w:p>
        </w:tc>
      </w:tr>
      <w:tr>
        <w:trPr>
          <w:trHeight w:val="223"/>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 on deposit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9,287,983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7,971,243</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held in trust related to third-party reinsurance agreements were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0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Years Ended December 31,</w:t>
            </w:r>
          </w:p>
        </w:tc>
      </w:tr>
      <w:tr>
        <w:trPr>
          <w:trHeight w:val="223"/>
        </w:trPr>
        <w:tc>
          <w:tcPr>
            <w:tcW w:w="48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60" w:type="dxa"/>
            <w:vAlign w:val="bottom"/>
            <w:tcBorders>
              <w:bottom w:val="single" w:sz="8" w:color="CCEEFF"/>
            </w:tcBorders>
          </w:tcPr>
          <w:p>
            <w:pPr>
              <w:spacing w:after="0"/>
              <w:rPr>
                <w:sz w:val="19"/>
                <w:szCs w:val="19"/>
                <w:color w:val="auto"/>
              </w:rPr>
            </w:pPr>
          </w:p>
        </w:tc>
      </w:tr>
      <w:tr>
        <w:trPr>
          <w:trHeight w:val="209"/>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maturity securities available for sale at estimated fair value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23,915,884</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25,309,270</w:t>
            </w:r>
          </w:p>
        </w:tc>
        <w:tc>
          <w:tcPr>
            <w:tcW w:w="60" w:type="dxa"/>
            <w:vAlign w:val="bottom"/>
            <w:shd w:val="clear" w:color="auto" w:fill="CCEEFF"/>
          </w:tcPr>
          <w:p>
            <w:pPr>
              <w:spacing w:after="0"/>
              <w:rPr>
                <w:sz w:val="18"/>
                <w:szCs w:val="18"/>
                <w:color w:val="auto"/>
              </w:rPr>
            </w:pPr>
          </w:p>
        </w:tc>
      </w:tr>
      <w:tr>
        <w:trPr>
          <w:trHeight w:val="230"/>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2,136,642</w:t>
            </w:r>
          </w:p>
        </w:tc>
        <w:tc>
          <w:tcPr>
            <w:tcW w:w="30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4,417,683</w:t>
            </w:r>
          </w:p>
        </w:tc>
      </w:tr>
      <w:tr>
        <w:trPr>
          <w:trHeight w:val="223"/>
        </w:trPr>
        <w:tc>
          <w:tcPr>
            <w:tcW w:w="48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 on deposit</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26,052,526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29,726,953</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through two of its life insurance subsidiaries, is a member of the Federal Home Loan Banks of Des Moines and Dallas (“FHLBs”). Assets pledged as collateral with the FHLBs are presented below. These pledged securities are used as collateral for any FHLBs cash advances. As of December 31, 2025, the Company owed nil to the FHLBs for advances. The Company received $69,000,000 in advances and repaid $69,000,000 of these advances during the year ended December 31, 2025. See Note 14 of the Notes to the Consolidated Financial Statements for more information about the FHLB.</w:t>
      </w:r>
    </w:p>
    <w:p>
      <w:pPr>
        <w:spacing w:after="0" w:line="19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Years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8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60" w:type="dxa"/>
            <w:vAlign w:val="bottom"/>
            <w:tcBorders>
              <w:bottom w:val="single" w:sz="8" w:color="CCEEFF"/>
            </w:tcBorders>
          </w:tcPr>
          <w:p>
            <w:pPr>
              <w:spacing w:after="0"/>
              <w:rPr>
                <w:sz w:val="19"/>
                <w:szCs w:val="19"/>
                <w:color w:val="auto"/>
              </w:rPr>
            </w:pPr>
          </w:p>
        </w:tc>
      </w:tr>
      <w:tr>
        <w:trPr>
          <w:trHeight w:val="209"/>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maturity securities available for sale at estimated fair value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64,066,256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63,800,454</w:t>
            </w:r>
          </w:p>
        </w:tc>
        <w:tc>
          <w:tcPr>
            <w:tcW w:w="6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Estate Held for Investment and Held for Sale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strategically deploys resources into real estate assets to match the income and yield durations of its primary obligations. The sources for these real estate assets come through its various business segments in the form of acquisition, development, and mortgage foreclosures. The Company reports real estate held for investment and held for sale pursuant to the accounting policy discussed in Note 1 of the Notes to Consolidated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Commercial Real Estate Held for Investment and Held for Sale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owns, invests in and manages commercial real estate as a means of both generating investment income and providing workspace for its employees. This asset class is acquired in accordance with the Company’s goals and objectives for risk-adjusted returns. Due diligence is conducted on each asset using internal and third-party resources. The geographic locations and asset sub-classes of investments are determined by senior management under the direction of the Company’s Board of Directors.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4" w:name="page65"/>
    <w:bookmarkEnd w:id="64"/>
    <w:p>
      <w:pPr>
        <w:jc w:val="center"/>
        <w:ind w:right="40"/>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7" w:lineRule="exact"/>
        <w:rPr>
          <w:sz w:val="20"/>
          <w:szCs w:val="20"/>
          <w:color w:val="auto"/>
        </w:rPr>
      </w:pPr>
    </w:p>
    <w:p>
      <w:pPr>
        <w:ind w:left="660" w:hanging="652"/>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employs full-time employees to manage the day-to-day operations of its commercial real estate within the greater Salt Lake area and close surrounding markets. The Company utilizes third party property managers where the geographic location does not warrant full-time staff or through strategic lease-up periods. The Company generally acquires commercial real estate in connection with company acquisitions or that are in regions expected to have high growth in employment and population and that provide operational efficiencies.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currently owns and operates six commercial properties in three states. These properties include office buildings, flex office space, and the redevelopment and expansion of its corporate campus (“Center53”) in Salt Lake City, Utah. The Company uses bank debt in strategic cases, primarily where it is anticipated to improve yields, or facilitate the acquisition of higher quality assets or asset class diversification.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net book value of commercial real estate serving as collateral for bank loans was $114,683,175 and $119,889,846 as of December 31, 2025, and 2024, respectively. The associated bank loan carrying values totaled $94,120,446 and $96,007,488 as of December 31, 2025, and 2024,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2025 and 2024, the Company did not record any impairment losses on commercial real estate held for investment or held for sale. Impairment losses, if any, are included in gains (losses) on investments and other assets on the consolidated statements of earnings.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2025 and 2024, the Company recorded depreciation expense on commercial real estate held for investment of $5,719,909 and $5,778,214, respectively. Commercial real estate held for investment is stated at cost and is depreciated over the estimated useful life, primarily using the straight-line method. Depreciation is included in net investment income on the consolidated statements of earnings.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commercial real estate held for investment is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40" w:type="dxa"/>
            <w:vAlign w:val="bottom"/>
            <w:gridSpan w:val="5"/>
          </w:tcPr>
          <w:p>
            <w:pPr>
              <w:jc w:val="right"/>
              <w:ind w:right="540"/>
              <w:spacing w:after="0"/>
              <w:rPr>
                <w:sz w:val="20"/>
                <w:szCs w:val="20"/>
                <w:color w:val="auto"/>
              </w:rPr>
            </w:pPr>
            <w:r>
              <w:rPr>
                <w:rFonts w:ascii="Times New Roman" w:cs="Times New Roman" w:eastAsia="Times New Roman" w:hAnsi="Times New Roman"/>
                <w:sz w:val="18"/>
                <w:szCs w:val="18"/>
                <w:color w:val="auto"/>
              </w:rPr>
              <w:t>Net Book Value</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8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Total Square Footage</w:t>
            </w:r>
          </w:p>
        </w:tc>
        <w:tc>
          <w:tcPr>
            <w:tcW w:w="3380" w:type="dxa"/>
            <w:vAlign w:val="bottom"/>
          </w:tcPr>
          <w:p>
            <w:pPr>
              <w:spacing w:after="0"/>
              <w:rPr>
                <w:sz w:val="19"/>
                <w:szCs w:val="19"/>
                <w:color w:val="auto"/>
              </w:rPr>
            </w:pPr>
          </w:p>
        </w:tc>
      </w:tr>
      <w:tr>
        <w:trPr>
          <w:trHeight w:val="234"/>
        </w:trPr>
        <w:tc>
          <w:tcPr>
            <w:tcW w:w="2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4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color w:val="auto"/>
              </w:rPr>
              <w:t>December 31,</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80" w:type="dxa"/>
            <w:vAlign w:val="bottom"/>
            <w:gridSpan w:val="4"/>
          </w:tcPr>
          <w:p>
            <w:pPr>
              <w:jc w:val="right"/>
              <w:ind w:right="600"/>
              <w:spacing w:after="0"/>
              <w:rPr>
                <w:sz w:val="20"/>
                <w:szCs w:val="20"/>
                <w:color w:val="auto"/>
              </w:rPr>
            </w:pPr>
            <w:r>
              <w:rPr>
                <w:rFonts w:ascii="Times New Roman" w:cs="Times New Roman" w:eastAsia="Times New Roman" w:hAnsi="Times New Roman"/>
                <w:sz w:val="18"/>
                <w:szCs w:val="18"/>
                <w:color w:val="auto"/>
              </w:rPr>
              <w:t>December 31,</w:t>
            </w:r>
          </w:p>
        </w:tc>
        <w:tc>
          <w:tcPr>
            <w:tcW w:w="3380" w:type="dxa"/>
            <w:vAlign w:val="bottom"/>
          </w:tcPr>
          <w:p>
            <w:pPr>
              <w:spacing w:after="0"/>
              <w:rPr>
                <w:sz w:val="20"/>
                <w:szCs w:val="20"/>
                <w:color w:val="auto"/>
              </w:rPr>
            </w:pPr>
          </w:p>
        </w:tc>
      </w:tr>
      <w:tr>
        <w:trPr>
          <w:trHeight w:val="223"/>
        </w:trPr>
        <w:tc>
          <w:tcPr>
            <w:tcW w:w="2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Borders>
              <w:top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2024</w:t>
            </w:r>
          </w:p>
        </w:tc>
        <w:tc>
          <w:tcPr>
            <w:tcW w:w="3380" w:type="dxa"/>
            <w:vAlign w:val="bottom"/>
          </w:tcPr>
          <w:p>
            <w:pPr>
              <w:spacing w:after="0"/>
              <w:rPr>
                <w:sz w:val="19"/>
                <w:szCs w:val="19"/>
                <w:color w:val="auto"/>
              </w:rPr>
            </w:pPr>
          </w:p>
        </w:tc>
      </w:tr>
      <w:tr>
        <w:trPr>
          <w:trHeight w:val="210"/>
        </w:trPr>
        <w:tc>
          <w:tcPr>
            <w:tcW w:w="2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Utah (1)</w:t>
            </w:r>
          </w:p>
        </w:tc>
        <w:tc>
          <w:tcPr>
            <w:tcW w:w="4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$121,240,268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$126,056,342</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546,941</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546,941</w:t>
            </w:r>
          </w:p>
        </w:tc>
        <w:tc>
          <w:tcPr>
            <w:tcW w:w="3380" w:type="dxa"/>
            <w:vAlign w:val="bottom"/>
          </w:tcPr>
          <w:p>
            <w:pPr>
              <w:spacing w:after="0"/>
              <w:rPr>
                <w:sz w:val="18"/>
                <w:szCs w:val="18"/>
                <w:color w:val="auto"/>
              </w:rPr>
            </w:pPr>
          </w:p>
        </w:tc>
      </w:tr>
      <w:tr>
        <w:trPr>
          <w:trHeight w:val="230"/>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Louisiana</w:t>
            </w:r>
          </w:p>
        </w:tc>
        <w:tc>
          <w:tcPr>
            <w:tcW w:w="15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17,924</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18,586</w:t>
            </w:r>
          </w:p>
        </w:tc>
        <w:tc>
          <w:tcPr>
            <w:tcW w:w="13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1,622</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1,622</w:t>
            </w:r>
          </w:p>
        </w:tc>
        <w:tc>
          <w:tcPr>
            <w:tcW w:w="3380" w:type="dxa"/>
            <w:vAlign w:val="bottom"/>
          </w:tcPr>
          <w:p>
            <w:pPr>
              <w:spacing w:after="0"/>
              <w:rPr>
                <w:sz w:val="19"/>
                <w:szCs w:val="19"/>
                <w:color w:val="auto"/>
              </w:rPr>
            </w:pPr>
          </w:p>
        </w:tc>
      </w:tr>
      <w:tr>
        <w:trPr>
          <w:trHeight w:val="209"/>
        </w:trPr>
        <w:tc>
          <w:tcPr>
            <w:tcW w:w="28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spacing w:after="0"/>
              <w:rPr>
                <w:sz w:val="18"/>
                <w:szCs w:val="18"/>
                <w:color w:val="auto"/>
              </w:rPr>
            </w:pPr>
          </w:p>
        </w:tc>
        <w:tc>
          <w:tcPr>
            <w:tcW w:w="3380" w:type="dxa"/>
            <w:vAlign w:val="bottom"/>
          </w:tcPr>
          <w:p>
            <w:pPr>
              <w:spacing w:after="0"/>
              <w:rPr>
                <w:sz w:val="18"/>
                <w:szCs w:val="18"/>
                <w:color w:val="auto"/>
              </w:rPr>
            </w:pPr>
          </w:p>
        </w:tc>
      </w:tr>
      <w:tr>
        <w:trPr>
          <w:trHeight w:val="243"/>
        </w:trPr>
        <w:tc>
          <w:tcPr>
            <w:tcW w:w="2820" w:type="dxa"/>
            <w:vAlign w:val="bottom"/>
          </w:tcPr>
          <w:p>
            <w:pPr>
              <w:spacing w:after="0"/>
              <w:rPr>
                <w:sz w:val="21"/>
                <w:szCs w:val="21"/>
                <w:color w:val="auto"/>
              </w:rPr>
            </w:pPr>
          </w:p>
        </w:tc>
        <w:tc>
          <w:tcPr>
            <w:tcW w:w="15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121,258,192</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126,074,928</w:t>
            </w:r>
          </w:p>
        </w:tc>
        <w:tc>
          <w:tcPr>
            <w:tcW w:w="13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548,563</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548,563</w:t>
            </w:r>
          </w:p>
        </w:tc>
        <w:tc>
          <w:tcPr>
            <w:tcW w:w="3380" w:type="dxa"/>
            <w:vAlign w:val="bottom"/>
          </w:tcPr>
          <w:p>
            <w:pPr>
              <w:spacing w:after="0"/>
              <w:rPr>
                <w:sz w:val="21"/>
                <w:szCs w:val="21"/>
                <w:color w:val="auto"/>
              </w:rPr>
            </w:pPr>
          </w:p>
        </w:tc>
      </w:tr>
      <w:tr>
        <w:trPr>
          <w:trHeight w:val="20"/>
        </w:trPr>
        <w:tc>
          <w:tcPr>
            <w:tcW w:w="2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197"/>
        </w:trPr>
        <w:tc>
          <w:tcPr>
            <w:tcW w:w="2820" w:type="dxa"/>
            <w:vAlign w:val="bottom"/>
            <w:tcBorders>
              <w:bottom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380" w:type="dxa"/>
            <w:vAlign w:val="bottom"/>
          </w:tcPr>
          <w:p>
            <w:pPr>
              <w:spacing w:after="0"/>
              <w:rPr>
                <w:sz w:val="17"/>
                <w:szCs w:val="17"/>
                <w:color w:val="auto"/>
              </w:rPr>
            </w:pPr>
          </w:p>
        </w:tc>
      </w:tr>
      <w:tr>
        <w:trPr>
          <w:trHeight w:val="228"/>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(1) Includes Center53</w:t>
            </w: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380" w:type="dxa"/>
            <w:vAlign w:val="bottom"/>
          </w:tcPr>
          <w:p>
            <w:pPr>
              <w:spacing w:after="0"/>
              <w:rPr>
                <w:sz w:val="19"/>
                <w:szCs w:val="19"/>
                <w:color w:val="auto"/>
              </w:rPr>
            </w:pPr>
          </w:p>
        </w:tc>
      </w:tr>
      <w:tr>
        <w:trPr>
          <w:trHeight w:val="434"/>
        </w:trPr>
        <w:tc>
          <w:tcPr>
            <w:tcW w:w="28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61</w:t>
            </w:r>
          </w:p>
        </w:tc>
        <w:tc>
          <w:tcPr>
            <w:tcW w:w="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65" w:name="page66"/>
    <w:bookmarkEnd w:id="65"/>
    <w:p>
      <w:pPr>
        <w:jc w:val="center"/>
        <w:ind w:right="20"/>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7" w:lineRule="exact"/>
        <w:rPr>
          <w:sz w:val="20"/>
          <w:szCs w:val="20"/>
          <w:color w:val="auto"/>
        </w:rPr>
      </w:pPr>
    </w:p>
    <w:p>
      <w:pPr>
        <w:ind w:left="660" w:hanging="652"/>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Operating leases arise from the leasing of the Company’s commercial real estate held for investment. Initial lease terms generally range from three to ten years.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maturity analysis of the annual undiscounted cash flows of the operating lease payments expected to be received.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9,398,423</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9,284,915</w:t>
            </w:r>
          </w:p>
        </w:tc>
      </w:tr>
      <w:tr>
        <w:trPr>
          <w:trHeight w:val="216"/>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9,225,616</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8,561,476</w:t>
            </w:r>
          </w:p>
        </w:tc>
      </w:tr>
      <w:tr>
        <w:trPr>
          <w:trHeight w:val="216"/>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7,419,415</w:t>
            </w:r>
          </w:p>
        </w:tc>
      </w:tr>
      <w:tr>
        <w:trPr>
          <w:trHeight w:val="230"/>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33,296,253</w:t>
            </w:r>
          </w:p>
        </w:tc>
      </w:tr>
      <w:tr>
        <w:trPr>
          <w:trHeight w:val="223"/>
        </w:trPr>
        <w:tc>
          <w:tcPr>
            <w:tcW w:w="2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77,186,098</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commercial real estate held for sale is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color w:val="auto"/>
                <w:w w:val="99"/>
              </w:rPr>
              <w:t>Net Book Value</w:t>
            </w:r>
          </w:p>
        </w:tc>
      </w:tr>
      <w:tr>
        <w:trPr>
          <w:trHeight w:val="234"/>
        </w:trPr>
        <w:tc>
          <w:tcPr>
            <w:tcW w:w="3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23"/>
        </w:trPr>
        <w:tc>
          <w:tcPr>
            <w:tcW w:w="34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2024</w:t>
            </w:r>
          </w:p>
        </w:tc>
        <w:tc>
          <w:tcPr>
            <w:tcW w:w="60" w:type="dxa"/>
            <w:vAlign w:val="bottom"/>
            <w:tcBorders>
              <w:bottom w:val="single" w:sz="8" w:color="CCEEFF"/>
            </w:tcBorders>
          </w:tcPr>
          <w:p>
            <w:pPr>
              <w:spacing w:after="0"/>
              <w:rPr>
                <w:sz w:val="19"/>
                <w:szCs w:val="19"/>
                <w:color w:val="auto"/>
              </w:rPr>
            </w:pPr>
          </w:p>
        </w:tc>
      </w:tr>
      <w:tr>
        <w:trPr>
          <w:trHeight w:val="209"/>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Mississippi (1)</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151,553</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151,553</w:t>
            </w:r>
          </w:p>
        </w:tc>
        <w:tc>
          <w:tcPr>
            <w:tcW w:w="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3566160" cy="1625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566160" cy="162560"/>
                    </a:xfrm>
                    <a:prstGeom prst="rect">
                      <a:avLst/>
                    </a:prstGeom>
                    <a:noFill/>
                  </pic:spPr>
                </pic:pic>
              </a:graphicData>
            </a:graphic>
          </wp:anchor>
        </w:drawing>
      </w:r>
    </w:p>
    <w:p>
      <w:pPr>
        <w:spacing w:after="0" w:line="205" w:lineRule="exact"/>
        <w:rPr>
          <w:sz w:val="20"/>
          <w:szCs w:val="20"/>
          <w:color w:val="auto"/>
        </w:rPr>
      </w:pPr>
    </w:p>
    <w:p>
      <w:pPr>
        <w:ind w:left="3840" w:hanging="403"/>
        <w:spacing w:after="0"/>
        <w:tabs>
          <w:tab w:leader="none" w:pos="3840" w:val="left"/>
        </w:tabs>
        <w:numPr>
          <w:ilvl w:val="1"/>
          <w:numId w:val="4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151,553  $    151,553</w:t>
      </w:r>
    </w:p>
    <w:p>
      <w:pPr>
        <w:spacing w:after="0" w:line="292" w:lineRule="exact"/>
        <w:rPr>
          <w:rFonts w:ascii="Times New Roman" w:cs="Times New Roman" w:eastAsia="Times New Roman" w:hAnsi="Times New Roman"/>
          <w:sz w:val="18"/>
          <w:szCs w:val="18"/>
          <w:u w:val="single" w:color="auto"/>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approximately 93 acres of undeveloped 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-281940</wp:posOffset>
            </wp:positionV>
            <wp:extent cx="135445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544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17830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Real Estate Owned and Occupied by the Company</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primary business units of the Company occupy a portion of the commercial real estate owned by the Company. As of December 31, 2025, real estate owned and occupied by the Company is summarized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Square Footage</w:t>
            </w:r>
          </w:p>
        </w:tc>
      </w:tr>
      <w:tr>
        <w:trPr>
          <w:trHeight w:val="216"/>
        </w:trPr>
        <w:tc>
          <w:tcPr>
            <w:tcW w:w="3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Approximate</w:t>
            </w:r>
          </w:p>
        </w:tc>
        <w:tc>
          <w:tcPr>
            <w:tcW w:w="19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Occupied by</w:t>
            </w:r>
          </w:p>
        </w:tc>
      </w:tr>
      <w:tr>
        <w:trPr>
          <w:trHeight w:val="234"/>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Location</w:t>
            </w: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 Segment</w:t>
            </w:r>
          </w:p>
        </w:tc>
        <w:tc>
          <w:tcPr>
            <w:tcW w:w="21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Square Footage</w:t>
            </w:r>
          </w:p>
        </w:tc>
        <w:tc>
          <w:tcPr>
            <w:tcW w:w="19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the Company</w:t>
            </w:r>
          </w:p>
        </w:tc>
      </w:tr>
      <w:tr>
        <w:trPr>
          <w:trHeight w:val="191"/>
        </w:trPr>
        <w:tc>
          <w:tcPr>
            <w:tcW w:w="31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31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Corporate Offices, Life Insurance,</w:t>
            </w:r>
          </w:p>
        </w:tc>
        <w:tc>
          <w:tcPr>
            <w:tcW w:w="200" w:type="dxa"/>
            <w:vAlign w:val="bottom"/>
            <w:tcBorders>
              <w:top w:val="single" w:sz="8" w:color="CCEEFF"/>
            </w:tcBorders>
            <w:shd w:val="clear" w:color="auto" w:fill="CCEEFF"/>
          </w:tcPr>
          <w:p>
            <w:pPr>
              <w:spacing w:after="0"/>
              <w:rPr>
                <w:sz w:val="16"/>
                <w:szCs w:val="16"/>
                <w:color w:val="auto"/>
              </w:rPr>
            </w:pPr>
          </w:p>
        </w:tc>
        <w:tc>
          <w:tcPr>
            <w:tcW w:w="18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8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433 Ascension Way, Floors 4, 5 and 6, Salt</w:t>
            </w: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Cemetery/Mortuary Operations, and</w:t>
            </w:r>
          </w:p>
        </w:tc>
        <w:tc>
          <w:tcPr>
            <w:tcW w:w="1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Lake City, UT - Center53 Building 2 (1)</w:t>
            </w: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Operations and Sales</w:t>
            </w:r>
          </w:p>
        </w:tc>
        <w:tc>
          <w:tcPr>
            <w:tcW w:w="2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216,865</w:t>
            </w:r>
          </w:p>
        </w:tc>
        <w:tc>
          <w:tcPr>
            <w:tcW w:w="1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r>
      <w:tr>
        <w:trPr>
          <w:trHeight w:val="198"/>
        </w:trPr>
        <w:tc>
          <w:tcPr>
            <w:tcW w:w="33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1818 Marshall Street, Shreveport, LA (2)</w:t>
            </w:r>
          </w:p>
        </w:tc>
        <w:tc>
          <w:tcPr>
            <w:tcW w:w="3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20"/>
                <w:szCs w:val="20"/>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Life Insurance Operations</w:t>
            </w:r>
          </w:p>
        </w:tc>
        <w:tc>
          <w:tcPr>
            <w:tcW w:w="2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12,274</w:t>
            </w:r>
          </w:p>
        </w:tc>
        <w:tc>
          <w:tcPr>
            <w:tcW w:w="1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18" w:lineRule="exact"/>
        <w:rPr>
          <w:sz w:val="20"/>
          <w:szCs w:val="20"/>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real estate held for investment on the consolidated balance sheets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property and equipment on the consolidated balance sheets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Listed for sale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66" w:name="page67"/>
    <w:bookmarkEnd w:id="66"/>
    <w:p>
      <w:pPr>
        <w:jc w:val="center"/>
        <w:ind w:right="40"/>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7" w:lineRule="exact"/>
        <w:rPr>
          <w:sz w:val="20"/>
          <w:szCs w:val="20"/>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Residential Real Estate Held for Investment and Held for Sale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occasionally acquires residential homes through the mortgage loan foreclosure process. The Company has the option to sell these properties or to continue to hold them for expected cash flow and price appreciation. The Company also looks for opportunities to acquire land that can be developed into single family lots. Once developed, finished lots are sold to builder partners and others.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2025 and 2024, the Company did not record any impairment losses on residential real estate held for investment or held for sale. Impairment losses, if any, are included in gains (losses) on investments and other assets on the consolidated statements of earnings.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2025 and 2024, the Company recorded depreciation expense on residential real estate held for investment of $10,871 and $10,611,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Residential real estate held for investment is stated at cost and is depreciated over the estimated useful life, primarily using the straight-line method.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is included in net investment income on the consolidated statements of earnings.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residential real estate held for investment is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19"/>
                <w:szCs w:val="19"/>
                <w:color w:val="auto"/>
              </w:rPr>
            </w:pPr>
          </w:p>
        </w:tc>
        <w:tc>
          <w:tcPr>
            <w:tcW w:w="2180" w:type="dxa"/>
            <w:vAlign w:val="bottom"/>
            <w:gridSpan w:val="4"/>
          </w:tcPr>
          <w:p>
            <w:pPr>
              <w:jc w:val="center"/>
              <w:ind w:right="60"/>
              <w:spacing w:after="0"/>
              <w:rPr>
                <w:sz w:val="20"/>
                <w:szCs w:val="20"/>
                <w:color w:val="auto"/>
              </w:rPr>
            </w:pPr>
            <w:r>
              <w:rPr>
                <w:rFonts w:ascii="Times New Roman" w:cs="Times New Roman" w:eastAsia="Times New Roman" w:hAnsi="Times New Roman"/>
                <w:sz w:val="18"/>
                <w:szCs w:val="18"/>
                <w:color w:val="auto"/>
                <w:w w:val="99"/>
              </w:rPr>
              <w:t>Net Book Value</w:t>
            </w:r>
          </w:p>
        </w:tc>
      </w:tr>
      <w:tr>
        <w:trPr>
          <w:trHeight w:val="234"/>
        </w:trPr>
        <w:tc>
          <w:tcPr>
            <w:tcW w:w="3440" w:type="dxa"/>
            <w:vAlign w:val="bottom"/>
          </w:tcPr>
          <w:p>
            <w:pPr>
              <w:spacing w:after="0"/>
              <w:rPr>
                <w:sz w:val="20"/>
                <w:szCs w:val="20"/>
                <w:color w:val="auto"/>
              </w:rPr>
            </w:pPr>
          </w:p>
        </w:tc>
        <w:tc>
          <w:tcPr>
            <w:tcW w:w="2180" w:type="dxa"/>
            <w:vAlign w:val="bottom"/>
            <w:gridSpan w:val="4"/>
          </w:tcPr>
          <w:p>
            <w:pPr>
              <w:jc w:val="center"/>
              <w:ind w:right="60"/>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23"/>
        </w:trPr>
        <w:tc>
          <w:tcPr>
            <w:tcW w:w="3440" w:type="dxa"/>
            <w:vAlign w:val="bottom"/>
          </w:tcPr>
          <w:p>
            <w:pPr>
              <w:spacing w:after="0"/>
              <w:rPr>
                <w:sz w:val="19"/>
                <w:szCs w:val="19"/>
                <w:color w:val="auto"/>
              </w:rPr>
            </w:pPr>
          </w:p>
        </w:tc>
        <w:tc>
          <w:tcPr>
            <w:tcW w:w="98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2025</w:t>
            </w:r>
          </w:p>
        </w:tc>
        <w:tc>
          <w:tcPr>
            <w:tcW w:w="1140" w:type="dxa"/>
            <w:vAlign w:val="bottom"/>
            <w:tcBorders>
              <w:top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2024</w:t>
            </w:r>
          </w:p>
        </w:tc>
        <w:tc>
          <w:tcPr>
            <w:tcW w:w="60" w:type="dxa"/>
            <w:vAlign w:val="bottom"/>
          </w:tcPr>
          <w:p>
            <w:pPr>
              <w:spacing w:after="0"/>
              <w:rPr>
                <w:sz w:val="19"/>
                <w:szCs w:val="19"/>
                <w:color w:val="auto"/>
              </w:rPr>
            </w:pPr>
          </w:p>
        </w:tc>
      </w:tr>
      <w:tr>
        <w:trPr>
          <w:trHeight w:val="210"/>
        </w:trPr>
        <w:tc>
          <w:tcPr>
            <w:tcW w:w="3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Utah (1)</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$ 93,638,938</w:t>
            </w: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$ 71,618,410</w:t>
            </w:r>
          </w:p>
        </w:tc>
        <w:tc>
          <w:tcPr>
            <w:tcW w:w="60" w:type="dxa"/>
            <w:vAlign w:val="bottom"/>
            <w:tcBorders>
              <w:top w:val="single" w:sz="8" w:color="CCEEFF"/>
            </w:tcBorders>
            <w:shd w:val="clear" w:color="auto" w:fill="CCEEFF"/>
          </w:tcPr>
          <w:p>
            <w:pPr>
              <w:spacing w:after="0"/>
              <w:rPr>
                <w:sz w:val="18"/>
                <w:szCs w:val="18"/>
                <w:color w:val="auto"/>
              </w:rPr>
            </w:pPr>
          </w:p>
        </w:tc>
      </w:tr>
    </w:tbl>
    <w:p>
      <w:pPr>
        <w:ind w:left="3620" w:hanging="183"/>
        <w:spacing w:after="0"/>
        <w:tabs>
          <w:tab w:leader="none" w:pos="3620" w:val="left"/>
        </w:tabs>
        <w:numPr>
          <w:ilvl w:val="1"/>
          <w:numId w:val="4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93,638,938  $ 71,618,410</w:t>
      </w:r>
    </w:p>
    <w:p>
      <w:pPr>
        <w:spacing w:after="0" w:line="287" w:lineRule="exact"/>
        <w:rPr>
          <w:rFonts w:ascii="Times New Roman" w:cs="Times New Roman" w:eastAsia="Times New Roman" w:hAnsi="Times New Roman"/>
          <w:sz w:val="18"/>
          <w:szCs w:val="18"/>
          <w:u w:val="single" w:color="auto"/>
          <w:color w:val="auto"/>
        </w:rPr>
      </w:pPr>
    </w:p>
    <w:p>
      <w:pPr>
        <w:ind w:left="340" w:hanging="332"/>
        <w:spacing w:after="0"/>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multiple residential subdivision development projects, refer to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-281940</wp:posOffset>
            </wp:positionV>
            <wp:extent cx="13544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544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17830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additional information regarding the Company’s residential subdivision development in Utah.</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2540" w:type="dxa"/>
            <w:vAlign w:val="bottom"/>
            <w:gridSpan w:val="5"/>
          </w:tcPr>
          <w:p>
            <w:pPr>
              <w:jc w:val="right"/>
              <w:ind w:right="710"/>
              <w:spacing w:after="0"/>
              <w:rPr>
                <w:sz w:val="20"/>
                <w:szCs w:val="20"/>
                <w:color w:val="auto"/>
              </w:rPr>
            </w:pPr>
            <w:r>
              <w:rPr>
                <w:rFonts w:ascii="Times New Roman" w:cs="Times New Roman" w:eastAsia="Times New Roman" w:hAnsi="Times New Roman"/>
                <w:sz w:val="18"/>
                <w:szCs w:val="18"/>
                <w:color w:val="auto"/>
              </w:rPr>
              <w:t>December 31,</w:t>
            </w:r>
          </w:p>
        </w:tc>
        <w:tc>
          <w:tcPr>
            <w:tcW w:w="4500" w:type="dxa"/>
            <w:vAlign w:val="bottom"/>
          </w:tcPr>
          <w:p>
            <w:pPr>
              <w:spacing w:after="0"/>
              <w:rPr>
                <w:sz w:val="20"/>
                <w:szCs w:val="20"/>
                <w:color w:val="auto"/>
              </w:rPr>
            </w:pPr>
          </w:p>
        </w:tc>
      </w:tr>
      <w:tr>
        <w:trPr>
          <w:trHeight w:val="223"/>
        </w:trPr>
        <w:tc>
          <w:tcPr>
            <w:tcW w:w="4200" w:type="dxa"/>
            <w:vAlign w:val="bottom"/>
            <w:tcBorders>
              <w:bottom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4500" w:type="dxa"/>
            <w:vAlign w:val="bottom"/>
          </w:tcPr>
          <w:p>
            <w:pPr>
              <w:spacing w:after="0"/>
              <w:rPr>
                <w:sz w:val="19"/>
                <w:szCs w:val="19"/>
                <w:color w:val="auto"/>
              </w:rPr>
            </w:pPr>
          </w:p>
        </w:tc>
      </w:tr>
      <w:tr>
        <w:trPr>
          <w:trHeight w:val="209"/>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Lots available for sale</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4500" w:type="dxa"/>
            <w:vAlign w:val="bottom"/>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Lots to be developed</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450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93,474,755</w:t>
            </w: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71,443,356</w:t>
            </w:r>
          </w:p>
        </w:tc>
        <w:tc>
          <w:tcPr>
            <w:tcW w:w="4500" w:type="dxa"/>
            <w:vAlign w:val="bottom"/>
          </w:tcPr>
          <w:p>
            <w:pPr>
              <w:spacing w:after="0"/>
              <w:rPr>
                <w:sz w:val="18"/>
                <w:szCs w:val="18"/>
                <w:color w:val="auto"/>
              </w:rPr>
            </w:pPr>
          </w:p>
        </w:tc>
      </w:tr>
      <w:tr>
        <w:trPr>
          <w:trHeight w:val="439"/>
        </w:trPr>
        <w:tc>
          <w:tcPr>
            <w:tcW w:w="4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63</w:t>
            </w:r>
          </w:p>
        </w:tc>
        <w:tc>
          <w:tcPr>
            <w:tcW w:w="94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67" w:name="page68"/>
    <w:bookmarkEnd w:id="67"/>
    <w:p>
      <w:pPr>
        <w:jc w:val="center"/>
        <w:ind w:right="40"/>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7" w:lineRule="exact"/>
        <w:rPr>
          <w:sz w:val="20"/>
          <w:szCs w:val="20"/>
          <w:color w:val="auto"/>
        </w:rPr>
      </w:pPr>
    </w:p>
    <w:p>
      <w:pPr>
        <w:ind w:left="660" w:hanging="652"/>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residential real estate held for sale is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gridSpan w:val="7"/>
          </w:tcPr>
          <w:p>
            <w:pPr>
              <w:jc w:val="center"/>
              <w:ind w:right="240"/>
              <w:spacing w:after="0"/>
              <w:rPr>
                <w:sz w:val="20"/>
                <w:szCs w:val="20"/>
                <w:color w:val="auto"/>
              </w:rPr>
            </w:pPr>
            <w:r>
              <w:rPr>
                <w:rFonts w:ascii="Times New Roman" w:cs="Times New Roman" w:eastAsia="Times New Roman" w:hAnsi="Times New Roman"/>
                <w:sz w:val="18"/>
                <w:szCs w:val="18"/>
                <w:color w:val="auto"/>
                <w:w w:val="99"/>
              </w:rPr>
              <w:t>Net Book Value</w:t>
            </w:r>
          </w:p>
        </w:tc>
      </w:tr>
      <w:tr>
        <w:trPr>
          <w:trHeight w:val="234"/>
        </w:trPr>
        <w:tc>
          <w:tcPr>
            <w:tcW w:w="3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gridSpan w:val="7"/>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23"/>
        </w:trPr>
        <w:tc>
          <w:tcPr>
            <w:tcW w:w="34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r>
      <w:tr>
        <w:trPr>
          <w:trHeight w:val="210"/>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Utah</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5,456,806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849,900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Colorado</w:t>
            </w: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140,000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Florida</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146,651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276,580</w:t>
            </w:r>
          </w:p>
        </w:tc>
        <w:tc>
          <w:tcPr>
            <w:tcW w:w="40" w:type="dxa"/>
            <w:vAlign w:val="bottom"/>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Georgia</w:t>
            </w: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380,000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29"/>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Nevada</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149,017</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r>
      <w:tr>
        <w:trPr>
          <w:trHeight w:val="223"/>
        </w:trPr>
        <w:tc>
          <w:tcPr>
            <w:tcW w:w="34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6,272,474</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1,126,480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3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net book value of foreclosed residential real estate included in residential real estate held for investment or sale was $1,270,669 and $1,126,480 as of December 31, 2025, and 2024,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Loans Held for Investment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reports mortgage loans held for investment pursuant to the accounting policy discussed in Note 1 of the Notes to Consolidated Financial Statements.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Mortgage loans held for investment consist of first and second mortgages and are generally classified into three distinct groups: Commercial, Residential, and Residential Construction. These mortgage loans bear interest at rates ranging from 2.0% to 10.5%; maturity dates range from nine months to 30 years and the loans are secured by real estate have amortization periods of 0 to 30 years.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Concentrations of credit risk arise when several mortgage loan debtors have similar economic characteristics that would cause their ability to meet contractual obligations to be similarly affected by changes in economic conditions. Although the Company has a diversified mortgage loan portfolio consisting of residential mortgages, commercial loans and residential construction loans and requires collateral on all real estate exposures, a substantial portion of the relevant debtors’ ability to honor obligations is dependent upon the economic stability of the geographic region in which the debtors do business or are employed. As of December 31, 2025, the Company had 57%, 7%, 7%, 7%, and 6% of its mortgage loans from borrowers located in the states of Utah, Florida, California, Texas, and Arizona, respectively. As of December 31, 2024, the Company had 56%, 8%, 9%, and 6% of its mortgage loans from borrowers located in the states of Utah, Florida, Arizona, and Texas,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Allowance for Credit Losses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allowance for credit losses is a valuation account that is deducted from the amortized cost basis of the Company’s mortgage loans held for investment to present the net amount expected to be collected. The Company reports in net earnings, as a credit loss expense, the amount necessary to adjust the allowance for credit losses for the Company’s current estimate of expected credit losses on mortgage loans held for investment. This credit loss expense is included in other expenses on the consolidated statements of earnings.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Once a mortgage loan is past due 90 days, it is the policy of the Company to end the accrual of interest income on the loan and reverse any interest income that had been accrued. Given this policy, the Company does not measure a credit loss allowance on accrued interest receivable. Accrued interest receivable is included in accrued investment income on the consolidated balance sheets. Payments received for mortgage loans on a non-accrual status are recognized when received. The interest income recognized from payments received for mortgage loans on a non-accrual status was immaterial. Accrual of interest resumes if a mortgage loan is brought current. Interest not accrued on these loans totaled approximately $1,042,325 and $244,000 as of December 31, 2025, and 2024, respectively.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8" w:name="page69"/>
    <w:bookmarkEnd w:id="68"/>
    <w:p>
      <w:pPr>
        <w:jc w:val="center"/>
        <w:ind w:right="40"/>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7" w:lineRule="exact"/>
        <w:rPr>
          <w:sz w:val="20"/>
          <w:szCs w:val="20"/>
          <w:color w:val="auto"/>
        </w:rPr>
      </w:pPr>
    </w:p>
    <w:p>
      <w:pPr>
        <w:ind w:left="660" w:hanging="652"/>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measures expected credit losses based on the fair value of the collateral when the Company determines that foreclosure is probable. When a mortgage loan becomes delinquent, the Company proceeds to foreclose. Once foreclosed, the property is classified as real estate held for investment or held for sale.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 determine the allowance for credit losses, the Company has segmented its mortgage loans held for investment by loan type. The Company’s loan types are commercial, residential, and residential construction. The inherent risks within the portfolio vary depending upon the loan type as follows: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Commercial</w:t>
      </w:r>
      <w:r>
        <w:rPr>
          <w:rFonts w:ascii="Times New Roman" w:cs="Times New Roman" w:eastAsia="Times New Roman" w:hAnsi="Times New Roman"/>
          <w:sz w:val="18"/>
          <w:szCs w:val="18"/>
          <w:color w:val="auto"/>
        </w:rPr>
        <w:t xml:space="preserve"> - Underwritten in accordance with the Company’s policies to determine the borrower’s ability to repay the obligation as agreed. Commercial loans are made primarily based on the underlying collateral supporting the loan. Accordingly, the repayment of a commercial loan depends primarily on the collateral and its ability to generate income and secondarily on the borrower’s (or guarantor’s) ability to repay.</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Commercial loans are evaluated for credit loss by analyzing common metrics that are predictors for future credit losses such as debt service coverage ratio (“DSCR”), loan to value (“LTV”), local market conditions, borrower quality, and underlying collateral. The fair value of the underlying collateral is based on a third-party appraisal of the property at origination of the loan. The fair value is assessed if the loan becomes 90 days delinquent. The Company uses these metrics to pool similar loans. The allowance for credit losses is based on estimates, historical experience, probability of loss, value of the underlying collateral, and other factors that affect the collectability of the loan. The Company applies a future loss factor to the outstanding balance of each group to arrive at the allowance for credit losses.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Residential</w:t>
      </w:r>
      <w:r>
        <w:rPr>
          <w:rFonts w:ascii="Times New Roman" w:cs="Times New Roman" w:eastAsia="Times New Roman" w:hAnsi="Times New Roman"/>
          <w:sz w:val="18"/>
          <w:szCs w:val="18"/>
          <w:color w:val="auto"/>
        </w:rPr>
        <w:t xml:space="preserve"> — These loans are secured by first and second mortgages on single-family dwellings. The borrower’s ability to repay is sensitive to life events and the general economic condition of the region. Where LTV exceeds 80%, the loan is generally guaranteed by private mortgage insurance, the FHA, or VA.</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Residential loans are evaluated for credit loss by using relevant available information from both internal and external sources. Among other things, the Company uses its historical delinquency information and considers current and forecasted economic conditions. External sources include a monthly analysis of its residential portfolio by a third party. The third party uses the Company’s current loan data and runs it through various models to project cash flows and provide a projected life of loan loss. The models consider loan features such as loan type, LTV, payment status, age, and current property values. Analyzing the information from various sources allows the Company to arrive at an allowance for credit losses.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Residential construction (including land acquisition and development loans)</w:t>
      </w:r>
      <w:r>
        <w:rPr>
          <w:rFonts w:ascii="Times New Roman" w:cs="Times New Roman" w:eastAsia="Times New Roman" w:hAnsi="Times New Roman"/>
          <w:sz w:val="18"/>
          <w:szCs w:val="18"/>
          <w:color w:val="auto"/>
        </w:rPr>
        <w:t xml:space="preserve"> – These loans are underwritten in accordance with the Company’s underwriting policies, which include a financial analysis of the builders, borrowers (guarantors), construction cost estimates, and independent appraisal valuations, and factor in estimates of the value of construction projects upon completion. Construction loans generally involve the disbursement of substantial funds over a short period of time with repayment substantially dependent upon the success of the completed project and the ability of the borrower to secure long-term financing.</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land acquisition and development loans are underwritten in accordance with the Company’s underwriting policies, which include independent appraisal valuations as well as the estimated value associated with the land upon completion of development into finished lots. These loans are of a higher risk than other mortgage loans due to their ultimate repayment being sensitive to general economic conditions, availability of long-term or construction financing, and interest rate sensitivity.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9" w:name="page70"/>
    <w:bookmarkEnd w:id="69"/>
    <w:p>
      <w:pPr>
        <w:jc w:val="center"/>
        <w:ind w:right="40"/>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7" w:lineRule="exact"/>
        <w:rPr>
          <w:sz w:val="20"/>
          <w:szCs w:val="20"/>
          <w:color w:val="auto"/>
        </w:rPr>
      </w:pPr>
    </w:p>
    <w:p>
      <w:pPr>
        <w:ind w:left="660" w:hanging="652"/>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commitments to fund existing construction and land development loans pursuant to the various loan agreements. As of December 31, 2025, the Company’s commitments were approximately $201,220,000 for these loans, of which $158,908,000 had been funded. The Company advances funds in accordance with the loan agreements once the work has been completed, and an independent inspection is made. The maximum loan commitment ranges between 50% and 80% of the appraised value. The Company receives fees and interest for these loans and the interest rate is generally fixed at 5.25% to 8.50% per annum. Maturities range between six and eighteen months.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Residential construction mortgage loans are evaluated for credit loss by considering historical activity and current housing market trends to arrive at a per loan basis point allowance that is recognized at loan origination and subsequent draws. The per loan basis point is reviewed at least annually or as loan losses or market trends require.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roll forward of the allowance for credit losses as of the dates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Residential</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4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Residential</w:t>
            </w:r>
          </w:p>
        </w:tc>
        <w:tc>
          <w:tcPr>
            <w:tcW w:w="14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Construction</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Total</w:t>
            </w:r>
          </w:p>
        </w:tc>
      </w:tr>
      <w:tr>
        <w:trPr>
          <w:trHeight w:val="169"/>
        </w:trPr>
        <w:tc>
          <w:tcPr>
            <w:tcW w:w="4740" w:type="dxa"/>
            <w:vAlign w:val="bottom"/>
            <w:tcBorders>
              <w:top w:val="single" w:sz="8" w:color="CCEEFF"/>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December 31, 2025</w:t>
            </w:r>
          </w:p>
        </w:tc>
        <w:tc>
          <w:tcPr>
            <w:tcW w:w="1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21"/>
        </w:trPr>
        <w:tc>
          <w:tcPr>
            <w:tcW w:w="1420" w:type="dxa"/>
            <w:vAlign w:val="bottom"/>
            <w:tcBorders>
              <w:top w:val="single" w:sz="8" w:color="auto"/>
            </w:tcBorders>
            <w:shd w:val="clear" w:color="auto" w:fill="CCEEFF"/>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 December 31, 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732,494</w:t>
            </w:r>
          </w:p>
        </w:tc>
        <w:tc>
          <w:tcPr>
            <w:tcW w:w="3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850,550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302,346</w:t>
            </w:r>
          </w:p>
        </w:tc>
        <w:tc>
          <w:tcPr>
            <w:tcW w:w="44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1,885,390</w:t>
            </w:r>
          </w:p>
        </w:tc>
      </w:tr>
      <w:tr>
        <w:trPr>
          <w:trHeight w:val="216"/>
        </w:trPr>
        <w:tc>
          <w:tcPr>
            <w:tcW w:w="4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provision for credit losses (1)</w:t>
            </w:r>
          </w:p>
        </w:tc>
        <w:tc>
          <w:tcPr>
            <w:tcW w:w="16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635,627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104,682</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13,713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754,022</w:t>
            </w:r>
          </w:p>
        </w:tc>
      </w:tr>
      <w:tr>
        <w:trPr>
          <w:trHeight w:val="230"/>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(50,494)</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(50,494)</w:t>
            </w:r>
          </w:p>
        </w:tc>
      </w:tr>
      <w:tr>
        <w:trPr>
          <w:trHeight w:val="263"/>
        </w:trPr>
        <w:tc>
          <w:tcPr>
            <w:tcW w:w="47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Ending balance - December 31, 2025</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1,368,121</w:t>
            </w:r>
          </w:p>
        </w:tc>
        <w:tc>
          <w:tcPr>
            <w:tcW w:w="2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904,738</w:t>
            </w:r>
          </w:p>
        </w:tc>
        <w:tc>
          <w:tcPr>
            <w:tcW w:w="3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316,059</w:t>
            </w:r>
          </w:p>
        </w:tc>
        <w:tc>
          <w:tcPr>
            <w:tcW w:w="1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2,588,918</w:t>
            </w:r>
          </w:p>
        </w:tc>
        <w:tc>
          <w:tcPr>
            <w:tcW w:w="100" w:type="dxa"/>
            <w:vAlign w:val="bottom"/>
            <w:tcBorders>
              <w:bottom w:val="single" w:sz="8" w:color="CCEEFF"/>
            </w:tcBorders>
          </w:tcPr>
          <w:p>
            <w:pPr>
              <w:spacing w:after="0"/>
              <w:rPr>
                <w:sz w:val="22"/>
                <w:szCs w:val="22"/>
                <w:color w:val="auto"/>
              </w:rPr>
            </w:pPr>
          </w:p>
        </w:tc>
      </w:tr>
      <w:tr>
        <w:trPr>
          <w:trHeight w:val="197"/>
        </w:trPr>
        <w:tc>
          <w:tcPr>
            <w:tcW w:w="1420" w:type="dxa"/>
            <w:vAlign w:val="bottom"/>
            <w:shd w:val="clear" w:color="auto" w:fill="CCEEFF"/>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75"/>
        </w:trPr>
        <w:tc>
          <w:tcPr>
            <w:tcW w:w="47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December 31, 2024</w:t>
            </w: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420" w:type="dxa"/>
            <w:vAlign w:val="bottom"/>
            <w:tcBorders>
              <w:top w:val="single" w:sz="8" w:color="auto"/>
            </w:tcBorders>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Beginning balance - December 31, 2023</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1,219,653</w:t>
            </w:r>
          </w:p>
        </w:tc>
        <w:tc>
          <w:tcPr>
            <w:tcW w:w="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2,390,894</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208,106</w:t>
            </w:r>
          </w:p>
        </w:tc>
        <w:tc>
          <w:tcPr>
            <w:tcW w:w="44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3,818,653</w:t>
            </w:r>
          </w:p>
        </w:tc>
      </w:tr>
      <w:tr>
        <w:trPr>
          <w:trHeight w:val="216"/>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provision for credit losses (1)</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(487,159)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(444,859)</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94,240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(837,778)</w:t>
            </w:r>
          </w:p>
        </w:tc>
      </w:tr>
      <w:tr>
        <w:trPr>
          <w:trHeight w:val="230"/>
        </w:trPr>
        <w:tc>
          <w:tcPr>
            <w:tcW w:w="4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1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(1,095,485)</w:t>
            </w:r>
          </w:p>
        </w:tc>
        <w:tc>
          <w:tcPr>
            <w:tcW w:w="14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(1,095,485)</w:t>
            </w:r>
          </w:p>
        </w:tc>
      </w:tr>
      <w:tr>
        <w:trPr>
          <w:trHeight w:val="223"/>
        </w:trPr>
        <w:tc>
          <w:tcPr>
            <w:tcW w:w="47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 December 31, 2024</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732,494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850,550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302,346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1,885,390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4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Included in other expenses on the consolidated statements of earnings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0" w:name="page71"/>
    <w:bookmarkEnd w:id="70"/>
    <w:p>
      <w:pPr>
        <w:jc w:val="center"/>
        <w:ind w:right="40"/>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7" w:lineRule="exact"/>
        <w:rPr>
          <w:sz w:val="20"/>
          <w:szCs w:val="20"/>
          <w:color w:val="auto"/>
        </w:rPr>
      </w:pPr>
    </w:p>
    <w:p>
      <w:pPr>
        <w:ind w:left="660" w:hanging="652"/>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aging of mortgage loans held for investment by loan type.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Residential</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4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Residential</w:t>
            </w:r>
          </w:p>
        </w:tc>
        <w:tc>
          <w:tcPr>
            <w:tcW w:w="140" w:type="dxa"/>
            <w:vAlign w:val="bottom"/>
          </w:tcPr>
          <w:p>
            <w:pPr>
              <w:spacing w:after="0"/>
              <w:rPr>
                <w:sz w:val="20"/>
                <w:szCs w:val="20"/>
                <w:color w:val="auto"/>
              </w:rPr>
            </w:pPr>
          </w:p>
        </w:tc>
        <w:tc>
          <w:tcPr>
            <w:tcW w:w="13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Construction</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Total</w:t>
            </w:r>
          </w:p>
        </w:tc>
      </w:tr>
      <w:tr>
        <w:trPr>
          <w:trHeight w:val="169"/>
        </w:trPr>
        <w:tc>
          <w:tcPr>
            <w:tcW w:w="4740" w:type="dxa"/>
            <w:vAlign w:val="bottom"/>
            <w:tcBorders>
              <w:top w:val="single" w:sz="8" w:color="CCEEFF"/>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December 31, 2025</w:t>
            </w:r>
          </w:p>
        </w:tc>
        <w:tc>
          <w:tcPr>
            <w:tcW w:w="1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21"/>
        </w:trPr>
        <w:tc>
          <w:tcPr>
            <w:tcW w:w="1420" w:type="dxa"/>
            <w:vAlign w:val="bottom"/>
            <w:tcBorders>
              <w:top w:val="single" w:sz="8" w:color="auto"/>
            </w:tcBorders>
            <w:shd w:val="clear" w:color="auto" w:fill="CCEEFF"/>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4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30-59 days past due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86,117</w:t>
            </w:r>
          </w:p>
        </w:tc>
        <w:tc>
          <w:tcPr>
            <w:tcW w:w="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7,302,658</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7,388,775</w:t>
            </w:r>
          </w:p>
        </w:tc>
      </w:tr>
      <w:tr>
        <w:trPr>
          <w:trHeight w:val="216"/>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60-89 days past due</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2,485,313</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2,485,313</w:t>
            </w:r>
          </w:p>
        </w:tc>
      </w:tr>
      <w:tr>
        <w:trPr>
          <w:trHeight w:val="216"/>
        </w:trPr>
        <w:tc>
          <w:tcPr>
            <w:tcW w:w="4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Over 90 days past due (1)</w:t>
            </w:r>
          </w:p>
        </w:tc>
        <w:tc>
          <w:tcPr>
            <w:tcW w:w="16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2,832,372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2,479,479</w:t>
            </w:r>
          </w:p>
        </w:tc>
        <w:tc>
          <w:tcPr>
            <w:tcW w:w="1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5,311,851</w:t>
            </w:r>
          </w:p>
        </w:tc>
      </w:tr>
      <w:tr>
        <w:trPr>
          <w:trHeight w:val="230"/>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 process of foreclosure (1)</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588,013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616,430</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1,204,443</w:t>
            </w:r>
          </w:p>
        </w:tc>
      </w:tr>
      <w:tr>
        <w:trPr>
          <w:trHeight w:val="209"/>
        </w:trPr>
        <w:tc>
          <w:tcPr>
            <w:tcW w:w="47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past due</w:t>
            </w: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3,506,502</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12,883,880</w:t>
            </w:r>
          </w:p>
        </w:tc>
        <w:tc>
          <w:tcPr>
            <w:tcW w:w="3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16,390,382</w:t>
            </w:r>
          </w:p>
        </w:tc>
        <w:tc>
          <w:tcPr>
            <w:tcW w:w="100" w:type="dxa"/>
            <w:vAlign w:val="bottom"/>
            <w:tcBorders>
              <w:bottom w:val="single" w:sz="8" w:color="CCEEFF"/>
            </w:tcBorders>
          </w:tcPr>
          <w:p>
            <w:pPr>
              <w:spacing w:after="0"/>
              <w:rPr>
                <w:sz w:val="18"/>
                <w:szCs w:val="18"/>
                <w:color w:val="auto"/>
              </w:rPr>
            </w:pPr>
          </w:p>
        </w:tc>
      </w:tr>
      <w:tr>
        <w:trPr>
          <w:trHeight w:val="210"/>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w:t>
            </w: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75,725,284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77,760,710</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157,398,705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310,884,699</w:t>
            </w:r>
          </w:p>
        </w:tc>
        <w:tc>
          <w:tcPr>
            <w:tcW w:w="100" w:type="dxa"/>
            <w:vAlign w:val="bottom"/>
            <w:shd w:val="clear" w:color="auto" w:fill="CCEEFF"/>
          </w:tcPr>
          <w:p>
            <w:pPr>
              <w:spacing w:after="0"/>
              <w:rPr>
                <w:sz w:val="18"/>
                <w:szCs w:val="18"/>
                <w:color w:val="auto"/>
              </w:rPr>
            </w:pPr>
          </w:p>
        </w:tc>
      </w:tr>
      <w:tr>
        <w:trPr>
          <w:trHeight w:val="209"/>
        </w:trPr>
        <w:tc>
          <w:tcPr>
            <w:tcW w:w="47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mortgage loans</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79,231,786</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90,644,590</w:t>
            </w:r>
          </w:p>
        </w:tc>
        <w:tc>
          <w:tcPr>
            <w:tcW w:w="3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157,398,705</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327,275,081</w:t>
            </w:r>
          </w:p>
        </w:tc>
        <w:tc>
          <w:tcPr>
            <w:tcW w:w="100" w:type="dxa"/>
            <w:vAlign w:val="bottom"/>
            <w:tcBorders>
              <w:bottom w:val="single" w:sz="8" w:color="CCEEFF"/>
            </w:tcBorders>
          </w:tcPr>
          <w:p>
            <w:pPr>
              <w:spacing w:after="0"/>
              <w:rPr>
                <w:sz w:val="18"/>
                <w:szCs w:val="18"/>
                <w:color w:val="auto"/>
              </w:rPr>
            </w:pPr>
          </w:p>
        </w:tc>
      </w:tr>
      <w:tr>
        <w:trPr>
          <w:trHeight w:val="209"/>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(1,368,121)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(904,738)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(316,059)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(2,588,918)</w:t>
            </w:r>
          </w:p>
        </w:tc>
        <w:tc>
          <w:tcPr>
            <w:tcW w:w="10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Unamortized deferred loan fees, net</w:t>
            </w:r>
          </w:p>
        </w:tc>
        <w:tc>
          <w:tcPr>
            <w:tcW w:w="16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(374,372)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(1,283,049)</w:t>
            </w:r>
          </w:p>
        </w:tc>
        <w:tc>
          <w:tcPr>
            <w:tcW w:w="1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(338,374)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(1,995,795)</w:t>
            </w:r>
          </w:p>
        </w:tc>
      </w:tr>
      <w:tr>
        <w:trPr>
          <w:trHeight w:val="229"/>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Unamortized discounts, net</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(146,534)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(108,449)</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(254,983)</w:t>
            </w:r>
          </w:p>
        </w:tc>
      </w:tr>
      <w:tr>
        <w:trPr>
          <w:trHeight w:val="263"/>
        </w:trPr>
        <w:tc>
          <w:tcPr>
            <w:tcW w:w="47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Net mortgage loans held for investment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77,342,759</w:t>
            </w:r>
          </w:p>
        </w:tc>
        <w:tc>
          <w:tcPr>
            <w:tcW w:w="2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88,348,354</w:t>
            </w:r>
          </w:p>
        </w:tc>
        <w:tc>
          <w:tcPr>
            <w:tcW w:w="3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156,744,272</w:t>
            </w:r>
          </w:p>
        </w:tc>
        <w:tc>
          <w:tcPr>
            <w:tcW w:w="18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322,435,385</w:t>
            </w:r>
          </w:p>
        </w:tc>
        <w:tc>
          <w:tcPr>
            <w:tcW w:w="100" w:type="dxa"/>
            <w:vAlign w:val="bottom"/>
            <w:tcBorders>
              <w:bottom w:val="single" w:sz="8" w:color="CCEEFF"/>
            </w:tcBorders>
          </w:tcPr>
          <w:p>
            <w:pPr>
              <w:spacing w:after="0"/>
              <w:rPr>
                <w:sz w:val="22"/>
                <w:szCs w:val="22"/>
                <w:color w:val="auto"/>
              </w:rPr>
            </w:pPr>
          </w:p>
        </w:tc>
      </w:tr>
      <w:tr>
        <w:trPr>
          <w:trHeight w:val="197"/>
        </w:trPr>
        <w:tc>
          <w:tcPr>
            <w:tcW w:w="1420" w:type="dxa"/>
            <w:vAlign w:val="bottom"/>
            <w:shd w:val="clear" w:color="auto" w:fill="CCEEFF"/>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76"/>
        </w:trPr>
        <w:tc>
          <w:tcPr>
            <w:tcW w:w="47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December 31, 2024</w:t>
            </w: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420" w:type="dxa"/>
            <w:vAlign w:val="bottom"/>
            <w:tcBorders>
              <w:top w:val="single" w:sz="8" w:color="auto"/>
            </w:tcBorders>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30-59 days past due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2,100,000</w:t>
            </w:r>
          </w:p>
        </w:tc>
        <w:tc>
          <w:tcPr>
            <w:tcW w:w="3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5,818,334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7,918,334</w:t>
            </w:r>
          </w:p>
        </w:tc>
      </w:tr>
      <w:tr>
        <w:trPr>
          <w:trHeight w:val="216"/>
        </w:trPr>
        <w:tc>
          <w:tcPr>
            <w:tcW w:w="4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60-89 days past due</w:t>
            </w:r>
          </w:p>
        </w:tc>
        <w:tc>
          <w:tcPr>
            <w:tcW w:w="16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845,980</w:t>
            </w:r>
          </w:p>
        </w:tc>
        <w:tc>
          <w:tcPr>
            <w:tcW w:w="1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845,980</w:t>
            </w:r>
          </w:p>
        </w:tc>
      </w:tr>
      <w:tr>
        <w:trPr>
          <w:trHeight w:val="216"/>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Over 90 days past due (1)</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4,205,000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3,061,450</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7,266,450</w:t>
            </w:r>
          </w:p>
        </w:tc>
      </w:tr>
      <w:tr>
        <w:trPr>
          <w:trHeight w:val="230"/>
        </w:trPr>
        <w:tc>
          <w:tcPr>
            <w:tcW w:w="4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 process of foreclosure (1)</w:t>
            </w:r>
          </w:p>
        </w:tc>
        <w:tc>
          <w:tcPr>
            <w:tcW w:w="1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191,508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3,942,392</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4,133,900</w:t>
            </w:r>
          </w:p>
        </w:tc>
      </w:tr>
      <w:tr>
        <w:trPr>
          <w:trHeight w:val="209"/>
        </w:trPr>
        <w:tc>
          <w:tcPr>
            <w:tcW w:w="474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past due</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6,496,508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13,668,156</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20,164,664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47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Current</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56,256,577</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78,393,631</w:t>
            </w:r>
          </w:p>
        </w:tc>
        <w:tc>
          <w:tcPr>
            <w:tcW w:w="3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151,172,733</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285,822,941</w:t>
            </w:r>
          </w:p>
        </w:tc>
        <w:tc>
          <w:tcPr>
            <w:tcW w:w="100" w:type="dxa"/>
            <w:vAlign w:val="bottom"/>
            <w:tcBorders>
              <w:bottom w:val="single" w:sz="8" w:color="CCEEFF"/>
            </w:tcBorders>
          </w:tcPr>
          <w:p>
            <w:pPr>
              <w:spacing w:after="0"/>
              <w:rPr>
                <w:sz w:val="18"/>
                <w:szCs w:val="18"/>
                <w:color w:val="auto"/>
              </w:rPr>
            </w:pPr>
          </w:p>
        </w:tc>
      </w:tr>
      <w:tr>
        <w:trPr>
          <w:trHeight w:val="210"/>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mortgage loans</w:t>
            </w: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62,753,085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92,061,787</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151,172,733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305,987,605</w:t>
            </w:r>
          </w:p>
        </w:tc>
        <w:tc>
          <w:tcPr>
            <w:tcW w:w="100" w:type="dxa"/>
            <w:vAlign w:val="bottom"/>
            <w:shd w:val="clear" w:color="auto" w:fill="CCEEFF"/>
          </w:tcPr>
          <w:p>
            <w:pPr>
              <w:spacing w:after="0"/>
              <w:rPr>
                <w:sz w:val="18"/>
                <w:szCs w:val="18"/>
                <w:color w:val="auto"/>
              </w:rPr>
            </w:pPr>
          </w:p>
        </w:tc>
      </w:tr>
      <w:tr>
        <w:trPr>
          <w:trHeight w:val="210"/>
        </w:trPr>
        <w:tc>
          <w:tcPr>
            <w:tcW w:w="4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(732,494)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(850,550)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(302,346)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(1,885,390)</w:t>
            </w: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Unamortized deferred loan fees, net</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(115,555)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(1,307,539)</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(659,147)</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(2,082,241)</w:t>
            </w:r>
          </w:p>
        </w:tc>
      </w:tr>
      <w:tr>
        <w:trPr>
          <w:trHeight w:val="230"/>
        </w:trPr>
        <w:tc>
          <w:tcPr>
            <w:tcW w:w="4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Unamortized discounts, net</w:t>
            </w:r>
          </w:p>
        </w:tc>
        <w:tc>
          <w:tcPr>
            <w:tcW w:w="16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(149,268)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(123,348)</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(272,616)</w:t>
            </w:r>
          </w:p>
        </w:tc>
      </w:tr>
      <w:tr>
        <w:trPr>
          <w:trHeight w:val="223"/>
        </w:trPr>
        <w:tc>
          <w:tcPr>
            <w:tcW w:w="474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mortgage loans held for investment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61,755,768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89,780,350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150,211,240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301,747,358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4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5540" w:right="3840" w:hanging="5532"/>
        <w:spacing w:after="0" w:line="532" w:lineRule="auto"/>
        <w:tabs>
          <w:tab w:leader="none" w:pos="33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is not recognized on loans which are more than 90 days past due or in foreclosure.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1" w:name="page72"/>
    <w:bookmarkEnd w:id="71"/>
    <w:p>
      <w:pPr>
        <w:jc w:val="center"/>
        <w:ind w:right="40"/>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7" w:lineRule="exact"/>
        <w:rPr>
          <w:sz w:val="20"/>
          <w:szCs w:val="20"/>
          <w:color w:val="auto"/>
        </w:rPr>
      </w:pPr>
    </w:p>
    <w:p>
      <w:pPr>
        <w:ind w:left="660" w:hanging="652"/>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Credit Quality Indicators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evaluates and monitors the credit quality of its commercial loans by analyzing LTV and DSCR. Monitoring a commercial mortgage loan increases when the loan is delinquent or earlier if there is an indication of impairment.</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aggregate unpaid principal balance of commercial mortgage loans by credit quality indicator and origination year was as follows as of December 31, 2025: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of</w:t>
            </w:r>
          </w:p>
        </w:tc>
      </w:tr>
      <w:tr>
        <w:trPr>
          <w:trHeight w:val="234"/>
        </w:trPr>
        <w:tc>
          <w:tcPr>
            <w:tcW w:w="23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Credit Quality Indicator</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Prior</w:t>
            </w:r>
          </w:p>
        </w:tc>
        <w:tc>
          <w:tcPr>
            <w:tcW w:w="140" w:type="dxa"/>
            <w:vAlign w:val="bottom"/>
          </w:tcPr>
          <w:p>
            <w:pPr>
              <w:spacing w:after="0"/>
              <w:rPr>
                <w:sz w:val="20"/>
                <w:szCs w:val="20"/>
                <w:color w:val="auto"/>
              </w:rPr>
            </w:pP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9"/>
              </w:rPr>
              <w:t>Total</w:t>
            </w:r>
          </w:p>
        </w:tc>
      </w:tr>
      <w:tr>
        <w:trPr>
          <w:trHeight w:val="189"/>
        </w:trPr>
        <w:tc>
          <w:tcPr>
            <w:tcW w:w="380" w:type="dxa"/>
            <w:vAlign w:val="bottom"/>
            <w:tcBorders>
              <w:top w:val="single" w:sz="8" w:color="auto"/>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89"/>
              </w:rPr>
              <w:t>LTV:</w:t>
            </w:r>
          </w:p>
        </w:tc>
        <w:tc>
          <w:tcPr>
            <w:tcW w:w="1940" w:type="dxa"/>
            <w:vAlign w:val="bottom"/>
            <w:tcBorders>
              <w:top w:val="single" w:sz="8" w:color="auto"/>
              <w:bottom w:val="single" w:sz="8" w:color="CCEEFF"/>
            </w:tcBorders>
            <w:gridSpan w:val="2"/>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CCEEFF"/>
            </w:tcBorders>
            <w:shd w:val="clear" w:color="auto" w:fill="CCEEFF"/>
          </w:tcPr>
          <w:p>
            <w:pPr>
              <w:spacing w:after="0"/>
              <w:rPr>
                <w:sz w:val="16"/>
                <w:szCs w:val="16"/>
                <w:color w:val="auto"/>
              </w:rPr>
            </w:pPr>
          </w:p>
        </w:tc>
        <w:tc>
          <w:tcPr>
            <w:tcW w:w="2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16"/>
        </w:trPr>
        <w:tc>
          <w:tcPr>
            <w:tcW w:w="2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than 65%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34,518,653</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3,890,144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15,600,000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462,761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810,696</w:t>
            </w: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$ 8,299,883</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$63,582,137</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80.25%</w:t>
            </w:r>
          </w:p>
        </w:tc>
      </w:tr>
      <w:tr>
        <w:trPr>
          <w:trHeight w:val="216"/>
        </w:trPr>
        <w:tc>
          <w:tcPr>
            <w:tcW w:w="2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65% to 80%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3,525,554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10,432,942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1,000,776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293,872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15,253,144</w:t>
            </w: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19.25%</w:t>
            </w:r>
          </w:p>
        </w:tc>
      </w:tr>
      <w:tr>
        <w:trPr>
          <w:trHeight w:val="230"/>
        </w:trPr>
        <w:tc>
          <w:tcPr>
            <w:tcW w:w="2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Greater than 80%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396,505</w:t>
            </w: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396,505</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0.50%</w:t>
            </w:r>
          </w:p>
        </w:tc>
      </w:tr>
      <w:tr>
        <w:trPr>
          <w:trHeight w:val="209"/>
        </w:trPr>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83"/>
        </w:trPr>
        <w:tc>
          <w:tcPr>
            <w:tcW w:w="2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38,044,207</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8"/>
              </w:rPr>
              <w:t>14,323,086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16,600,776</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756,633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1,207,201</w:t>
            </w: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$ 8,299,883</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79,231,786</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r>
      <w:tr>
        <w:trPr>
          <w:trHeight w:val="196"/>
        </w:trPr>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176"/>
        </w:trPr>
        <w:tc>
          <w:tcPr>
            <w:tcW w:w="23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DSCR</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1"/>
        </w:trPr>
        <w:tc>
          <w:tcPr>
            <w:tcW w:w="3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2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&gt;1.20x</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7,519,000</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10,000,000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7,500,000</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$ 5,292,385</w:t>
            </w:r>
          </w:p>
        </w:tc>
        <w:tc>
          <w:tcPr>
            <w:tcW w:w="13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$ 30,311,385</w:t>
            </w: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38.26%</w:t>
            </w:r>
          </w:p>
        </w:tc>
      </w:tr>
      <w:tr>
        <w:trPr>
          <w:trHeight w:val="216"/>
        </w:trPr>
        <w:tc>
          <w:tcPr>
            <w:tcW w:w="2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1.00x - 1.20x</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28,300,207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4,323,086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9,100,776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756,633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1,207,201</w:t>
            </w: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3,007,498</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46,695,401</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58.94%</w:t>
            </w:r>
          </w:p>
        </w:tc>
      </w:tr>
      <w:tr>
        <w:trPr>
          <w:trHeight w:val="230"/>
        </w:trPr>
        <w:tc>
          <w:tcPr>
            <w:tcW w:w="2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&lt;1.00x</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2,225,000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2,225,000</w:t>
            </w: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2.81%</w:t>
            </w:r>
          </w:p>
        </w:tc>
      </w:tr>
      <w:tr>
        <w:trPr>
          <w:trHeight w:val="210"/>
        </w:trPr>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43"/>
        </w:trPr>
        <w:tc>
          <w:tcPr>
            <w:tcW w:w="2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8"/>
              </w:rPr>
              <w:t>38,044,207</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14,323,086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8"/>
              </w:rPr>
              <w:t>16,600,776</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756,633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1,207,201</w:t>
            </w: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$ 8,299,883</w:t>
            </w:r>
          </w:p>
        </w:tc>
        <w:tc>
          <w:tcPr>
            <w:tcW w:w="13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79,231,786</w:t>
            </w: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unpaid principal balance of commercial mortgage loans by credit quality indicator and origination year was as follows as of December 31,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of</w:t>
            </w:r>
          </w:p>
        </w:tc>
      </w:tr>
      <w:tr>
        <w:trPr>
          <w:trHeight w:val="234"/>
        </w:trPr>
        <w:tc>
          <w:tcPr>
            <w:tcW w:w="246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Credit Quality Indicator</w:t>
            </w:r>
          </w:p>
        </w:tc>
        <w:tc>
          <w:tcPr>
            <w:tcW w:w="100" w:type="dxa"/>
            <w:vAlign w:val="bottom"/>
          </w:tcPr>
          <w:p>
            <w:pPr>
              <w:spacing w:after="0"/>
              <w:rPr>
                <w:sz w:val="20"/>
                <w:szCs w:val="20"/>
                <w:color w:val="auto"/>
              </w:rPr>
            </w:pP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Prior</w:t>
            </w:r>
          </w:p>
        </w:tc>
        <w:tc>
          <w:tcPr>
            <w:tcW w:w="140" w:type="dxa"/>
            <w:vAlign w:val="bottom"/>
          </w:tcPr>
          <w:p>
            <w:pPr>
              <w:spacing w:after="0"/>
              <w:rPr>
                <w:sz w:val="20"/>
                <w:szCs w:val="20"/>
                <w:color w:val="auto"/>
              </w:rPr>
            </w:pP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9"/>
              </w:rPr>
              <w:t>Total</w:t>
            </w:r>
          </w:p>
        </w:tc>
      </w:tr>
      <w:tr>
        <w:trPr>
          <w:trHeight w:val="190"/>
        </w:trPr>
        <w:tc>
          <w:tcPr>
            <w:tcW w:w="380" w:type="dxa"/>
            <w:vAlign w:val="bottom"/>
            <w:tcBorders>
              <w:top w:val="single" w:sz="8" w:color="auto"/>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89"/>
              </w:rPr>
              <w:t>LTV:</w:t>
            </w:r>
          </w:p>
        </w:tc>
        <w:tc>
          <w:tcPr>
            <w:tcW w:w="1920" w:type="dxa"/>
            <w:vAlign w:val="bottom"/>
            <w:tcBorders>
              <w:top w:val="single" w:sz="8" w:color="auto"/>
              <w:bottom w:val="single" w:sz="8" w:color="CCEEFF"/>
            </w:tcBorders>
            <w:gridSpan w:val="2"/>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CCEEFF"/>
            </w:tcBorders>
            <w:shd w:val="clear" w:color="auto" w:fill="CCEEFF"/>
          </w:tcPr>
          <w:p>
            <w:pPr>
              <w:spacing w:after="0"/>
              <w:rPr>
                <w:sz w:val="16"/>
                <w:szCs w:val="16"/>
                <w:color w:val="auto"/>
              </w:rPr>
            </w:pPr>
          </w:p>
        </w:tc>
        <w:tc>
          <w:tcPr>
            <w:tcW w:w="2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16"/>
        </w:trPr>
        <w:tc>
          <w:tcPr>
            <w:tcW w:w="2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Less than 65%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7,653,600</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$24,600,000</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$ 2,352,150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864,128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$ 8,867,779</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$44,337,657</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70.65%</w:t>
            </w:r>
          </w:p>
        </w:tc>
      </w:tr>
      <w:tr>
        <w:trPr>
          <w:trHeight w:val="216"/>
        </w:trPr>
        <w:tc>
          <w:tcPr>
            <w:tcW w:w="24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65% to 80%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8"/>
              </w:rPr>
              <w:t>10,432,942</w:t>
            </w:r>
          </w:p>
        </w:tc>
        <w:tc>
          <w:tcPr>
            <w:tcW w:w="1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1,840,776</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823,397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4,913,313</w:t>
            </w: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18,010,428</w:t>
            </w: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28.70%</w:t>
            </w:r>
          </w:p>
        </w:tc>
      </w:tr>
      <w:tr>
        <w:trPr>
          <w:trHeight w:val="229"/>
        </w:trPr>
        <w:tc>
          <w:tcPr>
            <w:tcW w:w="2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Greater than 80%</w:t>
            </w:r>
          </w:p>
        </w:tc>
        <w:tc>
          <w:tcPr>
            <w:tcW w:w="10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405,000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405,000</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0.65%</w:t>
            </w:r>
          </w:p>
        </w:tc>
      </w:tr>
      <w:tr>
        <w:trPr>
          <w:trHeight w:val="210"/>
        </w:trPr>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83"/>
        </w:trPr>
        <w:tc>
          <w:tcPr>
            <w:tcW w:w="2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18,086,542</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26,440,776</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$ 3,175,547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1,269,128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4,913,313</w:t>
            </w: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$ 8,867,779</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62,753,085</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r>
      <w:tr>
        <w:trPr>
          <w:trHeight w:val="197"/>
        </w:trPr>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175"/>
        </w:trPr>
        <w:tc>
          <w:tcPr>
            <w:tcW w:w="246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DSCR</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
        </w:trPr>
        <w:tc>
          <w:tcPr>
            <w:tcW w:w="3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24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&gt;1.20x</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8"/>
              </w:rPr>
              <w:t>16,300,000</w:t>
            </w:r>
          </w:p>
        </w:tc>
        <w:tc>
          <w:tcPr>
            <w:tcW w:w="1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$20,990,000</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$ 1,000,000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4,913,313</w:t>
            </w: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$ 5,414,274</w:t>
            </w:r>
          </w:p>
        </w:tc>
        <w:tc>
          <w:tcPr>
            <w:tcW w:w="13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$48,617,587</w:t>
            </w: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77.47%</w:t>
            </w:r>
          </w:p>
        </w:tc>
      </w:tr>
      <w:tr>
        <w:trPr>
          <w:trHeight w:val="216"/>
        </w:trPr>
        <w:tc>
          <w:tcPr>
            <w:tcW w:w="2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1.00x - 1.20x</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432,942</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5,450,776</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2,175,547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1,269,128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3,453,505</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12,781,898</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20.37%</w:t>
            </w:r>
          </w:p>
        </w:tc>
      </w:tr>
      <w:tr>
        <w:trPr>
          <w:trHeight w:val="230"/>
        </w:trPr>
        <w:tc>
          <w:tcPr>
            <w:tcW w:w="24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&lt;1.00x</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1,353,600</w:t>
            </w:r>
          </w:p>
        </w:tc>
        <w:tc>
          <w:tcPr>
            <w:tcW w:w="1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1,353,600</w:t>
            </w: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2.16%</w:t>
            </w:r>
          </w:p>
        </w:tc>
      </w:tr>
      <w:tr>
        <w:trPr>
          <w:trHeight w:val="209"/>
        </w:trPr>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43"/>
        </w:trPr>
        <w:tc>
          <w:tcPr>
            <w:tcW w:w="24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8"/>
              </w:rPr>
              <w:t>18,086,542</w:t>
            </w:r>
          </w:p>
        </w:tc>
        <w:tc>
          <w:tcPr>
            <w:tcW w:w="1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26,440,776</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$ 3,175,547</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1,269,128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4,913,313</w:t>
            </w: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$ 8,867,779</w:t>
            </w:r>
          </w:p>
        </w:tc>
        <w:tc>
          <w:tcPr>
            <w:tcW w:w="13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62,753,085</w:t>
            </w: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412"/>
        </w:trPr>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72" w:name="page73"/>
    <w:bookmarkEnd w:id="72"/>
    <w:p>
      <w:pPr>
        <w:jc w:val="center"/>
        <w:ind w:right="40"/>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7" w:lineRule="exact"/>
        <w:rPr>
          <w:sz w:val="20"/>
          <w:szCs w:val="20"/>
          <w:color w:val="auto"/>
        </w:rPr>
      </w:pPr>
    </w:p>
    <w:p>
      <w:pPr>
        <w:ind w:left="660" w:hanging="652"/>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evaluates and monitors the credit quality of its residential mortgage loans by analyzing LTV and loan performance. The Company defines non-performing mortgage loans as loans more than 90 days past due and on a non-accrual status. Monitoring a residential mortgage loan increases when the loan is delinquent or earlier if there is an indication of impairment.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unpaid principal balance of residential mortgage loans by credit quality indicator and origination year was as follows as of December 31, 2025: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of</w:t>
            </w:r>
          </w:p>
        </w:tc>
      </w:tr>
      <w:tr>
        <w:trPr>
          <w:trHeight w:val="234"/>
        </w:trPr>
        <w:tc>
          <w:tcPr>
            <w:tcW w:w="21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Credit Quality Indicator</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Prior</w:t>
            </w: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9"/>
              </w:rPr>
              <w:t>Total</w:t>
            </w:r>
          </w:p>
        </w:tc>
      </w:tr>
      <w:tr>
        <w:trPr>
          <w:trHeight w:val="190"/>
        </w:trPr>
        <w:tc>
          <w:tcPr>
            <w:tcW w:w="2180" w:type="dxa"/>
            <w:vAlign w:val="bottom"/>
            <w:tcBorders>
              <w:top w:val="single" w:sz="8" w:color="auto"/>
            </w:tcBorders>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Performance Indicators:</w:t>
            </w:r>
          </w:p>
        </w:tc>
        <w:tc>
          <w:tcPr>
            <w:tcW w:w="1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16"/>
        </w:trPr>
        <w:tc>
          <w:tcPr>
            <w:tcW w:w="1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Performing</w:t>
            </w:r>
          </w:p>
        </w:tc>
        <w:tc>
          <w:tcPr>
            <w:tcW w:w="440" w:type="dxa"/>
            <w:vAlign w:val="bottom"/>
            <w:tcBorders>
              <w:top w:val="single" w:sz="8" w:color="CCEEFF"/>
            </w:tcBorders>
            <w:gridSpan w:val="2"/>
          </w:tcPr>
          <w:p>
            <w:pPr>
              <w:spacing w:after="0"/>
              <w:rPr>
                <w:sz w:val="18"/>
                <w:szCs w:val="18"/>
                <w:color w:val="auto"/>
              </w:rPr>
            </w:pPr>
          </w:p>
        </w:tc>
        <w:tc>
          <w:tcPr>
            <w:tcW w:w="240" w:type="dxa"/>
            <w:vAlign w:val="bottom"/>
            <w:tcBorders>
              <w:top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CCEEFF"/>
            </w:tcBorders>
            <w:gridSpan w:val="4"/>
          </w:tcPr>
          <w:p>
            <w:pPr>
              <w:jc w:val="right"/>
              <w:ind w:right="120"/>
              <w:spacing w:after="0"/>
              <w:rPr>
                <w:sz w:val="20"/>
                <w:szCs w:val="20"/>
                <w:color w:val="auto"/>
              </w:rPr>
            </w:pPr>
            <w:r>
              <w:rPr>
                <w:rFonts w:ascii="Times New Roman" w:cs="Times New Roman" w:eastAsia="Times New Roman" w:hAnsi="Times New Roman"/>
                <w:sz w:val="18"/>
                <w:szCs w:val="18"/>
                <w:color w:val="auto"/>
                <w:w w:val="98"/>
              </w:rPr>
              <w:t>10,946,252</w:t>
            </w:r>
          </w:p>
        </w:tc>
        <w:tc>
          <w:tcPr>
            <w:tcW w:w="220" w:type="dxa"/>
            <w:vAlign w:val="bottom"/>
            <w:tcBorders>
              <w:top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CCEEFF"/>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8"/>
              </w:rPr>
              <w:t>11,711,336</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8"/>
              </w:rPr>
              <w:t>10,177,427</w:t>
            </w:r>
          </w:p>
        </w:tc>
        <w:tc>
          <w:tcPr>
            <w:tcW w:w="2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CCEEFF"/>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8"/>
              </w:rPr>
              <w:t>39,714,697</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2,264,902</w:t>
            </w:r>
          </w:p>
        </w:tc>
        <w:tc>
          <w:tcPr>
            <w:tcW w:w="24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CCEEFF"/>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8"/>
              </w:rPr>
              <w:t>12,734,067</w:t>
            </w:r>
          </w:p>
        </w:tc>
        <w:tc>
          <w:tcPr>
            <w:tcW w:w="1180" w:type="dxa"/>
            <w:vAlign w:val="bottom"/>
            <w:tcBorders>
              <w:top w:val="single" w:sz="8" w:color="CCEEFF"/>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$87,548,681</w:t>
            </w:r>
          </w:p>
        </w:tc>
        <w:tc>
          <w:tcPr>
            <w:tcW w:w="800" w:type="dxa"/>
            <w:vAlign w:val="bottom"/>
            <w:tcBorders>
              <w:top w:val="single" w:sz="8" w:color="CCEEFF"/>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96.58%</w:t>
            </w:r>
          </w:p>
        </w:tc>
      </w:tr>
      <w:tr>
        <w:trPr>
          <w:trHeight w:val="229"/>
        </w:trPr>
        <w:tc>
          <w:tcPr>
            <w:tcW w:w="2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Non-performing (1)</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546,602</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927,255</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616,430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255,544</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750,078</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3,095,909</w:t>
            </w: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3.42%</w:t>
            </w:r>
          </w:p>
        </w:tc>
      </w:tr>
      <w:tr>
        <w:trPr>
          <w:trHeight w:val="210"/>
        </w:trPr>
        <w:tc>
          <w:tcPr>
            <w:tcW w:w="1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43"/>
        </w:trPr>
        <w:tc>
          <w:tcPr>
            <w:tcW w:w="2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gridSpan w:val="2"/>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11,492,854</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8"/>
              </w:rPr>
              <w:t>12,638,591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10,793,857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8"/>
              </w:rPr>
              <w:t>39,970,241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2,264,902</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8"/>
              </w:rPr>
              <w:t>13,484,145</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90,644,590</w:t>
            </w: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r>
      <w:tr>
        <w:trPr>
          <w:trHeight w:val="20"/>
        </w:trPr>
        <w:tc>
          <w:tcPr>
            <w:tcW w:w="17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197"/>
        </w:trPr>
        <w:tc>
          <w:tcPr>
            <w:tcW w:w="1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gridSpan w:val="2"/>
          </w:tcPr>
          <w:p>
            <w:pPr>
              <w:spacing w:after="0"/>
              <w:rPr>
                <w:sz w:val="17"/>
                <w:szCs w:val="17"/>
                <w:color w:val="auto"/>
              </w:rPr>
            </w:pPr>
          </w:p>
        </w:tc>
        <w:tc>
          <w:tcPr>
            <w:tcW w:w="920" w:type="dxa"/>
            <w:vAlign w:val="bottom"/>
            <w:gridSpan w:val="4"/>
          </w:tcPr>
          <w:p>
            <w:pPr>
              <w:spacing w:after="0"/>
              <w:rPr>
                <w:sz w:val="17"/>
                <w:szCs w:val="17"/>
                <w:color w:val="auto"/>
              </w:rPr>
            </w:pPr>
          </w:p>
        </w:tc>
        <w:tc>
          <w:tcPr>
            <w:tcW w:w="260" w:type="dxa"/>
            <w:vAlign w:val="bottom"/>
            <w:gridSpan w:val="3"/>
          </w:tcPr>
          <w:p>
            <w:pPr>
              <w:spacing w:after="0"/>
              <w:rPr>
                <w:sz w:val="17"/>
                <w:szCs w:val="17"/>
                <w:color w:val="auto"/>
              </w:rPr>
            </w:pPr>
          </w:p>
        </w:tc>
        <w:tc>
          <w:tcPr>
            <w:tcW w:w="920" w:type="dxa"/>
            <w:vAlign w:val="bottom"/>
            <w:gridSpan w:val="3"/>
          </w:tcPr>
          <w:p>
            <w:pPr>
              <w:spacing w:after="0"/>
              <w:rPr>
                <w:sz w:val="17"/>
                <w:szCs w:val="17"/>
                <w:color w:val="auto"/>
              </w:rPr>
            </w:pPr>
          </w:p>
        </w:tc>
        <w:tc>
          <w:tcPr>
            <w:tcW w:w="1520" w:type="dxa"/>
            <w:vAlign w:val="bottom"/>
            <w:gridSpan w:val="6"/>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8"/>
        </w:trPr>
        <w:tc>
          <w:tcPr>
            <w:tcW w:w="282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w w:val="99"/>
              </w:rPr>
              <w:t>(1) Includes residential mortgage loans</w:t>
            </w:r>
          </w:p>
        </w:tc>
        <w:tc>
          <w:tcPr>
            <w:tcW w:w="3100" w:type="dxa"/>
            <w:vAlign w:val="bottom"/>
            <w:gridSpan w:val="13"/>
          </w:tcPr>
          <w:p>
            <w:pPr>
              <w:jc w:val="right"/>
              <w:ind w:right="40"/>
              <w:spacing w:after="0"/>
              <w:rPr>
                <w:sz w:val="20"/>
                <w:szCs w:val="20"/>
                <w:color w:val="auto"/>
              </w:rPr>
            </w:pPr>
            <w:r>
              <w:rPr>
                <w:rFonts w:ascii="Times New Roman" w:cs="Times New Roman" w:eastAsia="Times New Roman" w:hAnsi="Times New Roman"/>
                <w:sz w:val="18"/>
                <w:szCs w:val="18"/>
                <w:color w:val="auto"/>
              </w:rPr>
              <w:t>in the process of foreclosure of $616,430</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41"/>
        </w:trPr>
        <w:tc>
          <w:tcPr>
            <w:tcW w:w="2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LTV:</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0"/>
        </w:trPr>
        <w:tc>
          <w:tcPr>
            <w:tcW w:w="21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than 65%</w:t>
            </w: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4,382,324</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6,054,903</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4,118,599</w:t>
            </w:r>
          </w:p>
        </w:tc>
        <w:tc>
          <w:tcPr>
            <w:tcW w:w="22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5,710,475</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968,377</w:t>
            </w:r>
          </w:p>
        </w:tc>
        <w:tc>
          <w:tcPr>
            <w:tcW w:w="24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7,259,011</w:t>
            </w:r>
          </w:p>
        </w:tc>
        <w:tc>
          <w:tcPr>
            <w:tcW w:w="1180" w:type="dxa"/>
            <w:vAlign w:val="bottom"/>
            <w:tcBorders>
              <w:top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9"/>
              </w:rPr>
              <w:t>$28,493,689</w:t>
            </w:r>
          </w:p>
        </w:tc>
        <w:tc>
          <w:tcPr>
            <w:tcW w:w="800" w:type="dxa"/>
            <w:vAlign w:val="bottom"/>
            <w:tcBorders>
              <w:top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31.43%</w:t>
            </w:r>
          </w:p>
        </w:tc>
      </w:tr>
      <w:tr>
        <w:trPr>
          <w:trHeight w:val="216"/>
        </w:trPr>
        <w:tc>
          <w:tcPr>
            <w:tcW w:w="2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65% to 80%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6,673,602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6,428,826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6,380,363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8"/>
              </w:rPr>
              <w:t>32,514,676</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1,296,525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5,688,715</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58,982,707</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65.07%</w:t>
            </w:r>
          </w:p>
        </w:tc>
      </w:tr>
      <w:tr>
        <w:trPr>
          <w:trHeight w:val="229"/>
        </w:trPr>
        <w:tc>
          <w:tcPr>
            <w:tcW w:w="2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Greater than 80%</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436,928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154,862</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294,895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1,745,090</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536,419</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3,168,194</w:t>
            </w: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3.50%</w:t>
            </w:r>
          </w:p>
        </w:tc>
      </w:tr>
      <w:tr>
        <w:trPr>
          <w:trHeight w:val="210"/>
        </w:trPr>
        <w:tc>
          <w:tcPr>
            <w:tcW w:w="1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43"/>
        </w:trPr>
        <w:tc>
          <w:tcPr>
            <w:tcW w:w="2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11,492,854</w:t>
            </w:r>
          </w:p>
        </w:tc>
        <w:tc>
          <w:tcPr>
            <w:tcW w:w="120" w:type="dxa"/>
            <w:vAlign w:val="bottom"/>
            <w:shd w:val="clear" w:color="auto" w:fill="CCEEFF"/>
          </w:tcPr>
          <w:p>
            <w:pPr>
              <w:spacing w:after="0"/>
              <w:rPr>
                <w:sz w:val="21"/>
                <w:szCs w:val="21"/>
                <w:color w:val="auto"/>
              </w:rPr>
            </w:pPr>
          </w:p>
        </w:tc>
        <w:tc>
          <w:tcPr>
            <w:tcW w:w="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12,638,591</w:t>
            </w: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10,793,857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8"/>
              </w:rPr>
              <w:t>39,970,241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2,264,902</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8"/>
              </w:rPr>
              <w:t>13,484,145</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90,644,590</w:t>
            </w: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r>
      <w:tr>
        <w:trPr>
          <w:trHeight w:val="20"/>
        </w:trPr>
        <w:tc>
          <w:tcPr>
            <w:tcW w:w="17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unpaid principal balance of residential mortgage loans by credit quality indicator and origination year was as follows as of December 31,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of</w:t>
            </w:r>
          </w:p>
        </w:tc>
      </w:tr>
      <w:tr>
        <w:trPr>
          <w:trHeight w:val="234"/>
        </w:trPr>
        <w:tc>
          <w:tcPr>
            <w:tcW w:w="22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Credit Quality Indicator</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20"/>
                <w:szCs w:val="20"/>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2020</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Prior</w:t>
            </w:r>
          </w:p>
        </w:tc>
        <w:tc>
          <w:tcPr>
            <w:tcW w:w="120" w:type="dxa"/>
            <w:vAlign w:val="bottom"/>
          </w:tcPr>
          <w:p>
            <w:pPr>
              <w:spacing w:after="0"/>
              <w:rPr>
                <w:sz w:val="20"/>
                <w:szCs w:val="20"/>
                <w:color w:val="auto"/>
              </w:rPr>
            </w:pP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9"/>
              </w:rPr>
              <w:t>Total</w:t>
            </w:r>
          </w:p>
        </w:tc>
      </w:tr>
      <w:tr>
        <w:trPr>
          <w:trHeight w:val="189"/>
        </w:trPr>
        <w:tc>
          <w:tcPr>
            <w:tcW w:w="2220" w:type="dxa"/>
            <w:vAlign w:val="bottom"/>
            <w:tcBorders>
              <w:top w:val="single" w:sz="8" w:color="auto"/>
            </w:tcBorders>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Performance Indicators:</w:t>
            </w: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16"/>
        </w:trPr>
        <w:tc>
          <w:tcPr>
            <w:tcW w:w="1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Performing</w:t>
            </w:r>
          </w:p>
        </w:tc>
        <w:tc>
          <w:tcPr>
            <w:tcW w:w="480" w:type="dxa"/>
            <w:vAlign w:val="bottom"/>
            <w:tcBorders>
              <w:top w:val="single" w:sz="8" w:color="CCEEFF"/>
            </w:tcBorders>
            <w:gridSpan w:val="2"/>
          </w:tcPr>
          <w:p>
            <w:pPr>
              <w:spacing w:after="0"/>
              <w:rPr>
                <w:sz w:val="18"/>
                <w:szCs w:val="18"/>
                <w:color w:val="auto"/>
              </w:rPr>
            </w:pPr>
          </w:p>
        </w:tc>
        <w:tc>
          <w:tcPr>
            <w:tcW w:w="26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CCEEFF"/>
            </w:tcBorders>
            <w:gridSpan w:val="4"/>
          </w:tcPr>
          <w:p>
            <w:pPr>
              <w:jc w:val="right"/>
              <w:ind w:right="240"/>
              <w:spacing w:after="0"/>
              <w:rPr>
                <w:sz w:val="20"/>
                <w:szCs w:val="20"/>
                <w:color w:val="auto"/>
              </w:rPr>
            </w:pPr>
            <w:r>
              <w:rPr>
                <w:rFonts w:ascii="Times New Roman" w:cs="Times New Roman" w:eastAsia="Times New Roman" w:hAnsi="Times New Roman"/>
                <w:sz w:val="18"/>
                <w:szCs w:val="18"/>
                <w:color w:val="auto"/>
                <w:w w:val="98"/>
              </w:rPr>
              <w:t>14,861,098</w:t>
            </w:r>
          </w:p>
        </w:tc>
        <w:tc>
          <w:tcPr>
            <w:tcW w:w="12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CCEEFF"/>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w w:val="98"/>
              </w:rPr>
              <w:t>10,030,848</w:t>
            </w:r>
          </w:p>
        </w:tc>
        <w:tc>
          <w:tcPr>
            <w:tcW w:w="220" w:type="dxa"/>
            <w:vAlign w:val="bottom"/>
            <w:tcBorders>
              <w:top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CCEEFF"/>
            </w:tcBorders>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42,634,670</w:t>
            </w:r>
          </w:p>
        </w:tc>
        <w:tc>
          <w:tcPr>
            <w:tcW w:w="960" w:type="dxa"/>
            <w:vAlign w:val="bottom"/>
            <w:tcBorders>
              <w:top w:val="single" w:sz="8" w:color="CCEEFF"/>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w w:val="95"/>
              </w:rPr>
              <w:t>$ 3,076,901</w:t>
            </w:r>
          </w:p>
        </w:tc>
        <w:tc>
          <w:tcPr>
            <w:tcW w:w="1220" w:type="dxa"/>
            <w:vAlign w:val="bottom"/>
            <w:tcBorders>
              <w:top w:val="single" w:sz="8" w:color="CCEEFF"/>
            </w:tcBorders>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$ 5,513,462</w:t>
            </w:r>
          </w:p>
        </w:tc>
        <w:tc>
          <w:tcPr>
            <w:tcW w:w="10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CCEEFF"/>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8,940,966</w:t>
            </w:r>
          </w:p>
        </w:tc>
        <w:tc>
          <w:tcPr>
            <w:tcW w:w="1300" w:type="dxa"/>
            <w:vAlign w:val="bottom"/>
            <w:tcBorders>
              <w:top w:val="single" w:sz="8" w:color="CCEEFF"/>
            </w:tcBorders>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$85,057,945</w:t>
            </w:r>
          </w:p>
        </w:tc>
        <w:tc>
          <w:tcPr>
            <w:tcW w:w="800" w:type="dxa"/>
            <w:vAlign w:val="bottom"/>
            <w:tcBorders>
              <w:top w:val="single" w:sz="8" w:color="CCEEFF"/>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92.39%</w:t>
            </w:r>
          </w:p>
        </w:tc>
      </w:tr>
      <w:tr>
        <w:trPr>
          <w:trHeight w:val="230"/>
        </w:trPr>
        <w:tc>
          <w:tcPr>
            <w:tcW w:w="2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Non-performing (1)</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3,442,992</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1,451,039</w:t>
            </w: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291,359</w:t>
            </w:r>
          </w:p>
        </w:tc>
        <w:tc>
          <w:tcPr>
            <w:tcW w:w="1220" w:type="dxa"/>
            <w:vAlign w:val="bottom"/>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311,116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1,507,336</w:t>
            </w:r>
          </w:p>
        </w:tc>
        <w:tc>
          <w:tcPr>
            <w:tcW w:w="13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7,003,842</w:t>
            </w: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7.61%</w:t>
            </w:r>
          </w:p>
        </w:tc>
      </w:tr>
      <w:tr>
        <w:trPr>
          <w:trHeight w:val="209"/>
        </w:trPr>
        <w:tc>
          <w:tcPr>
            <w:tcW w:w="1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43"/>
        </w:trPr>
        <w:tc>
          <w:tcPr>
            <w:tcW w:w="2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06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8"/>
              </w:rPr>
              <w:t>14,861,098</w:t>
            </w: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13,473,840</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0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44,085,709</w:t>
            </w: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$ 3,368,260</w:t>
            </w:r>
          </w:p>
        </w:tc>
        <w:tc>
          <w:tcPr>
            <w:tcW w:w="1220" w:type="dxa"/>
            <w:vAlign w:val="bottom"/>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$ 5,824,578</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10,448,302</w:t>
            </w:r>
          </w:p>
        </w:tc>
        <w:tc>
          <w:tcPr>
            <w:tcW w:w="13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92,061,787</w:t>
            </w: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r>
      <w:tr>
        <w:trPr>
          <w:trHeight w:val="20"/>
        </w:trPr>
        <w:tc>
          <w:tcPr>
            <w:tcW w:w="17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gridSpan w:val="2"/>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196"/>
        </w:trPr>
        <w:tc>
          <w:tcPr>
            <w:tcW w:w="17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gridSpan w:val="2"/>
          </w:tcPr>
          <w:p>
            <w:pPr>
              <w:spacing w:after="0"/>
              <w:rPr>
                <w:sz w:val="17"/>
                <w:szCs w:val="17"/>
                <w:color w:val="auto"/>
              </w:rPr>
            </w:pPr>
          </w:p>
        </w:tc>
        <w:tc>
          <w:tcPr>
            <w:tcW w:w="440" w:type="dxa"/>
            <w:vAlign w:val="bottom"/>
            <w:tcBorders>
              <w:bottom w:val="single" w:sz="8" w:color="auto"/>
            </w:tcBorders>
            <w:gridSpan w:val="2"/>
          </w:tcPr>
          <w:p>
            <w:pPr>
              <w:spacing w:after="0"/>
              <w:rPr>
                <w:sz w:val="17"/>
                <w:szCs w:val="17"/>
                <w:color w:val="auto"/>
              </w:rPr>
            </w:pPr>
          </w:p>
        </w:tc>
        <w:tc>
          <w:tcPr>
            <w:tcW w:w="460" w:type="dxa"/>
            <w:vAlign w:val="bottom"/>
          </w:tcPr>
          <w:p>
            <w:pPr>
              <w:spacing w:after="0"/>
              <w:rPr>
                <w:sz w:val="17"/>
                <w:szCs w:val="17"/>
                <w:color w:val="auto"/>
              </w:rPr>
            </w:pPr>
          </w:p>
        </w:tc>
        <w:tc>
          <w:tcPr>
            <w:tcW w:w="1180" w:type="dxa"/>
            <w:vAlign w:val="bottom"/>
            <w:gridSpan w:val="5"/>
          </w:tcPr>
          <w:p>
            <w:pPr>
              <w:spacing w:after="0"/>
              <w:rPr>
                <w:sz w:val="17"/>
                <w:szCs w:val="17"/>
                <w:color w:val="auto"/>
              </w:rPr>
            </w:pPr>
          </w:p>
        </w:tc>
        <w:tc>
          <w:tcPr>
            <w:tcW w:w="260" w:type="dxa"/>
            <w:vAlign w:val="bottom"/>
            <w:gridSpan w:val="3"/>
          </w:tcPr>
          <w:p>
            <w:pPr>
              <w:spacing w:after="0"/>
              <w:rPr>
                <w:sz w:val="17"/>
                <w:szCs w:val="17"/>
                <w:color w:val="auto"/>
              </w:rPr>
            </w:pPr>
          </w:p>
        </w:tc>
        <w:tc>
          <w:tcPr>
            <w:tcW w:w="920" w:type="dxa"/>
            <w:vAlign w:val="bottom"/>
            <w:gridSpan w:val="3"/>
          </w:tcPr>
          <w:p>
            <w:pPr>
              <w:spacing w:after="0"/>
              <w:rPr>
                <w:sz w:val="17"/>
                <w:szCs w:val="17"/>
                <w:color w:val="auto"/>
              </w:rPr>
            </w:pPr>
          </w:p>
        </w:tc>
        <w:tc>
          <w:tcPr>
            <w:tcW w:w="1100" w:type="dxa"/>
            <w:vAlign w:val="bottom"/>
            <w:gridSpan w:val="4"/>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7"/>
        </w:trPr>
        <w:tc>
          <w:tcPr>
            <w:tcW w:w="68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(1) Includes residential mortgage loans in the process of foreclosure of $3,942,392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5"/>
        </w:trPr>
        <w:tc>
          <w:tcPr>
            <w:tcW w:w="2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LTV:</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9"/>
        </w:trPr>
        <w:tc>
          <w:tcPr>
            <w:tcW w:w="22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than 65%</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6,241,730</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4,931,376</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5,488,954</w:t>
            </w:r>
          </w:p>
        </w:tc>
        <w:tc>
          <w:tcPr>
            <w:tcW w:w="2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$ 1,790,036</w:t>
            </w: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$ 2,440,002</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5,273,672</w:t>
            </w: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$26,165,770</w:t>
            </w:r>
          </w:p>
        </w:tc>
        <w:tc>
          <w:tcPr>
            <w:tcW w:w="2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28.42%</w:t>
            </w:r>
          </w:p>
        </w:tc>
      </w:tr>
      <w:tr>
        <w:trPr>
          <w:trHeight w:val="216"/>
        </w:trPr>
        <w:tc>
          <w:tcPr>
            <w:tcW w:w="2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65% to 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7,802,984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7,662,200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37,509,634</w:t>
            </w:r>
          </w:p>
        </w:tc>
        <w:tc>
          <w:tcPr>
            <w:tcW w:w="2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1,578,224</w:t>
            </w:r>
          </w:p>
        </w:tc>
        <w:tc>
          <w:tcPr>
            <w:tcW w:w="120" w:type="dxa"/>
            <w:vAlign w:val="bottom"/>
          </w:tcPr>
          <w:p>
            <w:pPr>
              <w:spacing w:after="0"/>
              <w:rPr>
                <w:sz w:val="18"/>
                <w:szCs w:val="18"/>
                <w:color w:val="auto"/>
              </w:rPr>
            </w:pP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2,701,008</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5,107,289</w:t>
            </w: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62,361,339</w:t>
            </w:r>
          </w:p>
        </w:tc>
        <w:tc>
          <w:tcPr>
            <w:tcW w:w="26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67.74%</w:t>
            </w:r>
          </w:p>
        </w:tc>
      </w:tr>
      <w:tr>
        <w:trPr>
          <w:trHeight w:val="230"/>
        </w:trPr>
        <w:tc>
          <w:tcPr>
            <w:tcW w:w="2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Greater than 80%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816,384</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880,264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1,087,121</w:t>
            </w: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683,568</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67,341</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3,534,678</w:t>
            </w:r>
          </w:p>
        </w:tc>
        <w:tc>
          <w:tcPr>
            <w:tcW w:w="26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3.84%</w:t>
            </w:r>
          </w:p>
        </w:tc>
      </w:tr>
      <w:tr>
        <w:trPr>
          <w:trHeight w:val="209"/>
        </w:trPr>
        <w:tc>
          <w:tcPr>
            <w:tcW w:w="1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43"/>
        </w:trPr>
        <w:tc>
          <w:tcPr>
            <w:tcW w:w="2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14,861,098</w:t>
            </w:r>
          </w:p>
        </w:tc>
        <w:tc>
          <w:tcPr>
            <w:tcW w:w="24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13,473,840</w:t>
            </w:r>
          </w:p>
        </w:tc>
        <w:tc>
          <w:tcPr>
            <w:tcW w:w="120" w:type="dxa"/>
            <w:vAlign w:val="bottom"/>
            <w:shd w:val="clear" w:color="auto" w:fill="CCEEFF"/>
          </w:tcPr>
          <w:p>
            <w:pPr>
              <w:spacing w:after="0"/>
              <w:rPr>
                <w:sz w:val="21"/>
                <w:szCs w:val="21"/>
                <w:color w:val="auto"/>
              </w:rPr>
            </w:pPr>
          </w:p>
        </w:tc>
        <w:tc>
          <w:tcPr>
            <w:tcW w:w="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44,085,709</w:t>
            </w:r>
          </w:p>
        </w:tc>
        <w:tc>
          <w:tcPr>
            <w:tcW w:w="2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$ 3,368,260</w:t>
            </w:r>
          </w:p>
        </w:tc>
        <w:tc>
          <w:tcPr>
            <w:tcW w:w="120" w:type="dxa"/>
            <w:vAlign w:val="bottom"/>
            <w:shd w:val="clear" w:color="auto" w:fill="CCEEFF"/>
          </w:tcPr>
          <w:p>
            <w:pPr>
              <w:spacing w:after="0"/>
              <w:rPr>
                <w:sz w:val="21"/>
                <w:szCs w:val="21"/>
                <w:color w:val="auto"/>
              </w:rPr>
            </w:pPr>
          </w:p>
        </w:tc>
        <w:tc>
          <w:tcPr>
            <w:tcW w:w="9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$ 5,824,578</w:t>
            </w:r>
          </w:p>
        </w:tc>
        <w:tc>
          <w:tcPr>
            <w:tcW w:w="240" w:type="dxa"/>
            <w:vAlign w:val="bottom"/>
            <w:shd w:val="clear" w:color="auto" w:fill="CCEEFF"/>
          </w:tcPr>
          <w:p>
            <w:pPr>
              <w:spacing w:after="0"/>
              <w:rPr>
                <w:sz w:val="21"/>
                <w:szCs w:val="21"/>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10,448,302</w:t>
            </w:r>
          </w:p>
        </w:tc>
        <w:tc>
          <w:tcPr>
            <w:tcW w:w="1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92,061,787</w:t>
            </w:r>
          </w:p>
        </w:tc>
        <w:tc>
          <w:tcPr>
            <w:tcW w:w="260" w:type="dxa"/>
            <w:vAlign w:val="bottom"/>
            <w:shd w:val="clear" w:color="auto" w:fill="CCEEFF"/>
          </w:tcPr>
          <w:p>
            <w:pPr>
              <w:spacing w:after="0"/>
              <w:rPr>
                <w:sz w:val="21"/>
                <w:szCs w:val="21"/>
                <w:color w:val="auto"/>
              </w:rPr>
            </w:pP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r>
      <w:tr>
        <w:trPr>
          <w:trHeight w:val="20"/>
        </w:trPr>
        <w:tc>
          <w:tcPr>
            <w:tcW w:w="17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413"/>
        </w:trPr>
        <w:tc>
          <w:tcPr>
            <w:tcW w:w="17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73" w:name="page74"/>
    <w:bookmarkEnd w:id="73"/>
    <w:p>
      <w:pPr>
        <w:jc w:val="center"/>
        <w:ind w:right="40"/>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7" w:lineRule="exact"/>
        <w:rPr>
          <w:sz w:val="20"/>
          <w:szCs w:val="20"/>
          <w:color w:val="auto"/>
        </w:rPr>
      </w:pPr>
    </w:p>
    <w:p>
      <w:pPr>
        <w:ind w:left="660" w:hanging="652"/>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evaluates and monitors the credit quality of its residential construction loans (including land acquisition and development loans) by analyzing LTV and loan performance. Monitoring a residential construction mortgage loan increases when the loan is delinquent or earlier if there is an indication of impairment.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unpaid principal balance of residential construction mortgage loans by credit quality indicator and origination year was as follows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 of</w:t>
            </w:r>
          </w:p>
        </w:tc>
      </w:tr>
      <w:tr>
        <w:trPr>
          <w:trHeight w:val="234"/>
        </w:trPr>
        <w:tc>
          <w:tcPr>
            <w:tcW w:w="380" w:type="dxa"/>
            <w:vAlign w:val="bottom"/>
          </w:tcPr>
          <w:p>
            <w:pPr>
              <w:spacing w:after="0"/>
              <w:rPr>
                <w:sz w:val="20"/>
                <w:szCs w:val="20"/>
                <w:color w:val="auto"/>
              </w:rPr>
            </w:pPr>
          </w:p>
        </w:tc>
        <w:tc>
          <w:tcPr>
            <w:tcW w:w="31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Credit Quality Indicator</w:t>
            </w:r>
          </w:p>
        </w:tc>
        <w:tc>
          <w:tcPr>
            <w:tcW w:w="100" w:type="dxa"/>
            <w:vAlign w:val="bottom"/>
          </w:tcPr>
          <w:p>
            <w:pPr>
              <w:spacing w:after="0"/>
              <w:rPr>
                <w:sz w:val="20"/>
                <w:szCs w:val="20"/>
                <w:color w:val="auto"/>
              </w:rPr>
            </w:pPr>
          </w:p>
        </w:tc>
        <w:tc>
          <w:tcPr>
            <w:tcW w:w="9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20"/>
                <w:szCs w:val="20"/>
                <w:color w:val="auto"/>
              </w:rPr>
            </w:pPr>
          </w:p>
        </w:tc>
        <w:tc>
          <w:tcPr>
            <w:tcW w:w="10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20"/>
                <w:szCs w:val="20"/>
                <w:color w:val="auto"/>
              </w:rPr>
            </w:pPr>
          </w:p>
        </w:tc>
        <w:tc>
          <w:tcPr>
            <w:tcW w:w="9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Pr>
          <w:p>
            <w:pPr>
              <w:spacing w:after="0"/>
              <w:rPr>
                <w:sz w:val="20"/>
                <w:szCs w:val="20"/>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2021</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c>
          <w:tcPr>
            <w:tcW w:w="7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Total</w:t>
            </w:r>
          </w:p>
        </w:tc>
      </w:tr>
      <w:tr>
        <w:trPr>
          <w:trHeight w:val="189"/>
        </w:trPr>
        <w:tc>
          <w:tcPr>
            <w:tcW w:w="3320" w:type="dxa"/>
            <w:vAlign w:val="bottom"/>
            <w:tcBorders>
              <w:top w:val="single" w:sz="8" w:color="auto"/>
            </w:tcBorders>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Performance Indicators:</w:t>
            </w: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r>
      <w:tr>
        <w:trPr>
          <w:trHeight w:val="216"/>
        </w:trPr>
        <w:tc>
          <w:tcPr>
            <w:tcW w:w="17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Performing</w:t>
            </w:r>
          </w:p>
        </w:tc>
        <w:tc>
          <w:tcPr>
            <w:tcW w:w="1760" w:type="dxa"/>
            <w:vAlign w:val="bottom"/>
            <w:tcBorders>
              <w:top w:val="single" w:sz="8" w:color="CCEEFF"/>
            </w:tcBorders>
            <w:gridSpan w:val="2"/>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7"/>
              </w:rPr>
              <w:t>105,516,880</w:t>
            </w:r>
          </w:p>
        </w:tc>
        <w:tc>
          <w:tcPr>
            <w:tcW w:w="1180" w:type="dxa"/>
            <w:vAlign w:val="bottom"/>
            <w:tcBorders>
              <w:top w:val="single" w:sz="8" w:color="CCEEFF"/>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$42,129,717</w:t>
            </w:r>
          </w:p>
        </w:tc>
        <w:tc>
          <w:tcPr>
            <w:tcW w:w="1120" w:type="dxa"/>
            <w:vAlign w:val="bottom"/>
            <w:tcBorders>
              <w:top w:val="single" w:sz="8" w:color="CCEEFF"/>
            </w:tcBorders>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$ 5,820,344</w:t>
            </w:r>
          </w:p>
        </w:tc>
        <w:tc>
          <w:tcPr>
            <w:tcW w:w="2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CCEEFF"/>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5"/>
              </w:rPr>
              <w:t>$ 3,931,764</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CCEEFF"/>
            </w:tcBorders>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9"/>
              </w:rPr>
              <w:t>157,398,705</w:t>
            </w:r>
          </w:p>
        </w:tc>
        <w:tc>
          <w:tcPr>
            <w:tcW w:w="820" w:type="dxa"/>
            <w:vAlign w:val="bottom"/>
            <w:tcBorders>
              <w:top w:val="single" w:sz="8" w:color="CCEEFF"/>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35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Non-performing</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30"/>
        </w:trPr>
        <w:tc>
          <w:tcPr>
            <w:tcW w:w="38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r>
      <w:tr>
        <w:trPr>
          <w:trHeight w:val="223"/>
        </w:trPr>
        <w:tc>
          <w:tcPr>
            <w:tcW w:w="350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105,516,880</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42,129,717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$ 5,820,344</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$ 3,931,764</w:t>
            </w:r>
          </w:p>
        </w:tc>
        <w:tc>
          <w:tcPr>
            <w:tcW w:w="3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157,398,705</w:t>
            </w:r>
          </w:p>
        </w:tc>
        <w:tc>
          <w:tcPr>
            <w:tcW w:w="3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7"/>
        </w:trPr>
        <w:tc>
          <w:tcPr>
            <w:tcW w:w="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38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89"/>
              </w:rPr>
              <w:t>LTV:</w:t>
            </w:r>
          </w:p>
        </w:tc>
        <w:tc>
          <w:tcPr>
            <w:tcW w:w="3120" w:type="dxa"/>
            <w:vAlign w:val="bottom"/>
            <w:tcBorders>
              <w:bottom w:val="single" w:sz="8" w:color="CCEEFF"/>
            </w:tcBorders>
            <w:gridSpan w:val="3"/>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r>
      <w:tr>
        <w:trPr>
          <w:trHeight w:val="216"/>
        </w:trPr>
        <w:tc>
          <w:tcPr>
            <w:tcW w:w="3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Less than 65%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24,286,540</w:t>
            </w: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$20,684,760</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$ 5,820,344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5"/>
              </w:rPr>
              <w:t>$ 3,931,764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54,723,408</w:t>
            </w:r>
          </w:p>
        </w:tc>
        <w:tc>
          <w:tcPr>
            <w:tcW w:w="8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34.77%</w:t>
            </w:r>
          </w:p>
        </w:tc>
      </w:tr>
      <w:tr>
        <w:trPr>
          <w:trHeight w:val="216"/>
        </w:trPr>
        <w:tc>
          <w:tcPr>
            <w:tcW w:w="35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65% to 80%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78,223,502</w:t>
            </w:r>
          </w:p>
        </w:tc>
        <w:tc>
          <w:tcPr>
            <w:tcW w:w="1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21,444,957</w:t>
            </w:r>
          </w:p>
        </w:tc>
        <w:tc>
          <w:tcPr>
            <w:tcW w:w="11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99,668,459</w:t>
            </w:r>
          </w:p>
        </w:tc>
        <w:tc>
          <w:tcPr>
            <w:tcW w:w="8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63.32%</w:t>
            </w:r>
          </w:p>
        </w:tc>
      </w:tr>
      <w:tr>
        <w:trPr>
          <w:trHeight w:val="229"/>
        </w:trPr>
        <w:tc>
          <w:tcPr>
            <w:tcW w:w="3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Greater than 80%</w:t>
            </w: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3,006,838</w:t>
            </w: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3,006,838</w:t>
            </w:r>
          </w:p>
        </w:tc>
        <w:tc>
          <w:tcPr>
            <w:tcW w:w="8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1.91%</w:t>
            </w:r>
          </w:p>
        </w:tc>
      </w:tr>
      <w:tr>
        <w:trPr>
          <w:trHeight w:val="210"/>
        </w:trPr>
        <w:tc>
          <w:tcPr>
            <w:tcW w:w="3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43"/>
        </w:trPr>
        <w:tc>
          <w:tcPr>
            <w:tcW w:w="3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7"/>
              </w:rPr>
              <w:t>105,516,880</w:t>
            </w: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42,129,717</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$ 5,820,344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5"/>
              </w:rPr>
              <w:t>$ 3,931,764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9"/>
              </w:rPr>
              <w:t>157,398,705</w:t>
            </w:r>
          </w:p>
        </w:tc>
        <w:tc>
          <w:tcPr>
            <w:tcW w:w="8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r>
      <w:tr>
        <w:trPr>
          <w:trHeight w:val="20"/>
        </w:trPr>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unpaid principal balance of residential construction mortgage loans by credit quality indicator and origination year was as follows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 of</w:t>
            </w: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3840" w:type="dxa"/>
            <w:vAlign w:val="bottom"/>
            <w:gridSpan w:val="4"/>
          </w:tcPr>
          <w:p>
            <w:pPr>
              <w:ind w:left="760"/>
              <w:spacing w:after="0"/>
              <w:rPr>
                <w:sz w:val="20"/>
                <w:szCs w:val="20"/>
                <w:color w:val="auto"/>
              </w:rPr>
            </w:pPr>
            <w:r>
              <w:rPr>
                <w:rFonts w:ascii="Times New Roman" w:cs="Times New Roman" w:eastAsia="Times New Roman" w:hAnsi="Times New Roman"/>
                <w:sz w:val="18"/>
                <w:szCs w:val="18"/>
                <w:color w:val="auto"/>
              </w:rPr>
              <w:t>Credit Quality Indicator</w:t>
            </w:r>
          </w:p>
        </w:tc>
        <w:tc>
          <w:tcPr>
            <w:tcW w:w="100" w:type="dxa"/>
            <w:vAlign w:val="bottom"/>
          </w:tcPr>
          <w:p>
            <w:pPr>
              <w:spacing w:after="0"/>
              <w:rPr>
                <w:sz w:val="20"/>
                <w:szCs w:val="20"/>
                <w:color w:val="auto"/>
              </w:rPr>
            </w:pP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Pr>
          <w:p>
            <w:pPr>
              <w:spacing w:after="0"/>
              <w:rPr>
                <w:sz w:val="20"/>
                <w:szCs w:val="20"/>
                <w:color w:val="auto"/>
              </w:rPr>
            </w:pPr>
          </w:p>
        </w:tc>
        <w:tc>
          <w:tcPr>
            <w:tcW w:w="9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Pr>
          <w:p>
            <w:pPr>
              <w:spacing w:after="0"/>
              <w:rPr>
                <w:sz w:val="20"/>
                <w:szCs w:val="20"/>
                <w:color w:val="auto"/>
              </w:rPr>
            </w:pPr>
          </w:p>
        </w:tc>
        <w:tc>
          <w:tcPr>
            <w:tcW w:w="9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2021</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c>
          <w:tcPr>
            <w:tcW w:w="8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190"/>
        </w:trPr>
        <w:tc>
          <w:tcPr>
            <w:tcW w:w="4020" w:type="dxa"/>
            <w:vAlign w:val="bottom"/>
            <w:tcBorders>
              <w:top w:val="single" w:sz="8" w:color="auto"/>
            </w:tcBorders>
            <w:gridSpan w:val="4"/>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Performance Indicators:</w:t>
            </w: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Performing</w:t>
            </w:r>
          </w:p>
        </w:tc>
        <w:tc>
          <w:tcPr>
            <w:tcW w:w="2480" w:type="dxa"/>
            <w:vAlign w:val="bottom"/>
            <w:tcBorders>
              <w:top w:val="single" w:sz="8" w:color="CCEEFF"/>
            </w:tcBorders>
            <w:gridSpan w:val="2"/>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CCEEFF"/>
            </w:tcBorders>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9"/>
              </w:rPr>
              <w:t>118,863,944</w:t>
            </w:r>
          </w:p>
        </w:tc>
        <w:tc>
          <w:tcPr>
            <w:tcW w:w="108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$21,375,552</w:t>
            </w:r>
          </w:p>
        </w:tc>
        <w:tc>
          <w:tcPr>
            <w:tcW w:w="28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972,468</w:t>
            </w:r>
          </w:p>
        </w:tc>
        <w:tc>
          <w:tcPr>
            <w:tcW w:w="1300" w:type="dxa"/>
            <w:vAlign w:val="bottom"/>
            <w:tcBorders>
              <w:top w:val="single" w:sz="8" w:color="CCEEFF"/>
            </w:tcBorders>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$ 9,960,769</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CCEEFF"/>
            </w:tcBorders>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9"/>
              </w:rPr>
              <w:t>151,172,733</w:t>
            </w:r>
          </w:p>
        </w:tc>
        <w:tc>
          <w:tcPr>
            <w:tcW w:w="920" w:type="dxa"/>
            <w:vAlign w:val="bottom"/>
            <w:tcBorders>
              <w:top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6"/>
        </w:trPr>
        <w:tc>
          <w:tcPr>
            <w:tcW w:w="42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Non-performing</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29"/>
        </w:trPr>
        <w:tc>
          <w:tcPr>
            <w:tcW w:w="38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2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118,863,944</w:t>
            </w:r>
          </w:p>
        </w:tc>
        <w:tc>
          <w:tcPr>
            <w:tcW w:w="3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21,375,552</w:t>
            </w: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972,468</w:t>
            </w: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$ 9,960,769</w:t>
            </w:r>
          </w:p>
        </w:tc>
        <w:tc>
          <w:tcPr>
            <w:tcW w:w="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151,172,733</w:t>
            </w:r>
          </w:p>
        </w:tc>
        <w:tc>
          <w:tcPr>
            <w:tcW w:w="3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89"/>
              </w:rPr>
              <w:t>LTV:</w:t>
            </w:r>
          </w:p>
        </w:tc>
        <w:tc>
          <w:tcPr>
            <w:tcW w:w="3840" w:type="dxa"/>
            <w:vAlign w:val="bottom"/>
            <w:tcBorders>
              <w:bottom w:val="single" w:sz="8" w:color="CCEEFF"/>
            </w:tcBorders>
            <w:gridSpan w:val="4"/>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Less than 65%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48,065,177</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$21,375,552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518,590</w:t>
            </w:r>
          </w:p>
        </w:tc>
        <w:tc>
          <w:tcPr>
            <w:tcW w:w="13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$ 9,960,769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79,920,088</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52.87%</w:t>
            </w:r>
          </w:p>
        </w:tc>
        <w:tc>
          <w:tcPr>
            <w:tcW w:w="0" w:type="dxa"/>
            <w:vAlign w:val="bottom"/>
          </w:tcPr>
          <w:p>
            <w:pPr>
              <w:spacing w:after="0"/>
              <w:rPr>
                <w:sz w:val="1"/>
                <w:szCs w:val="1"/>
                <w:color w:val="auto"/>
              </w:rPr>
            </w:pPr>
          </w:p>
        </w:tc>
      </w:tr>
      <w:tr>
        <w:trPr>
          <w:trHeight w:val="216"/>
        </w:trPr>
        <w:tc>
          <w:tcPr>
            <w:tcW w:w="42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65% to 80%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70,798,767</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453,878</w:t>
            </w:r>
          </w:p>
        </w:tc>
        <w:tc>
          <w:tcPr>
            <w:tcW w:w="13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71,252,645</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47.13%</w:t>
            </w:r>
          </w:p>
        </w:tc>
        <w:tc>
          <w:tcPr>
            <w:tcW w:w="0" w:type="dxa"/>
            <w:vAlign w:val="bottom"/>
          </w:tcPr>
          <w:p>
            <w:pPr>
              <w:spacing w:after="0"/>
              <w:rPr>
                <w:sz w:val="1"/>
                <w:szCs w:val="1"/>
                <w:color w:val="auto"/>
              </w:rPr>
            </w:pPr>
          </w:p>
        </w:tc>
      </w:tr>
      <w:tr>
        <w:trPr>
          <w:trHeight w:val="230"/>
        </w:trPr>
        <w:tc>
          <w:tcPr>
            <w:tcW w:w="42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Greater than 80%</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0"/>
        </w:trPr>
        <w:tc>
          <w:tcPr>
            <w:tcW w:w="38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2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9"/>
              </w:rPr>
              <w:t>118,863,944</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21,375,552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972,468</w:t>
            </w:r>
          </w:p>
        </w:tc>
        <w:tc>
          <w:tcPr>
            <w:tcW w:w="13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$ 9,960,769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9"/>
              </w:rPr>
              <w:t>151,172,733</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0"/>
        </w:trPr>
        <w:tc>
          <w:tcPr>
            <w:tcW w:w="1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w w:val="98"/>
              </w:rPr>
              <w:t>Principal Amounts Due</w:t>
            </w:r>
          </w:p>
        </w:tc>
        <w:tc>
          <w:tcPr>
            <w:tcW w:w="2520" w:type="dxa"/>
            <w:vAlign w:val="bottom"/>
            <w:gridSpan w:val="3"/>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1700" w:type="dxa"/>
            <w:vAlign w:val="bottom"/>
            <w:tcBorders>
              <w:bottom w:val="single" w:sz="8" w:color="auto"/>
            </w:tcBorders>
            <w:gridSpan w:val="2"/>
            <w:vMerge w:val="continue"/>
          </w:tcPr>
          <w:p>
            <w:pPr>
              <w:spacing w:after="0"/>
              <w:rPr>
                <w:sz w:val="24"/>
                <w:szCs w:val="24"/>
                <w:color w:val="auto"/>
              </w:rPr>
            </w:pPr>
          </w:p>
        </w:tc>
        <w:tc>
          <w:tcPr>
            <w:tcW w:w="252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amortized cost and contractual payments on mortgage loans held for investment by category as of December 31, 2025. Expected principal payments may differ from contractual obligations because certain borrowers may elect to pay off mortgage obligations with or without early payment penalties.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Principal</w:t>
            </w:r>
          </w:p>
        </w:tc>
        <w:tc>
          <w:tcPr>
            <w:tcW w:w="16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Principal</w:t>
            </w:r>
          </w:p>
        </w:tc>
        <w:tc>
          <w:tcPr>
            <w:tcW w:w="14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Principal</w:t>
            </w:r>
          </w:p>
        </w:tc>
        <w:tc>
          <w:tcPr>
            <w:tcW w:w="2260" w:type="dxa"/>
            <w:vAlign w:val="bottom"/>
          </w:tcPr>
          <w:p>
            <w:pPr>
              <w:spacing w:after="0"/>
              <w:rPr>
                <w:sz w:val="18"/>
                <w:szCs w:val="18"/>
                <w:color w:val="auto"/>
              </w:rPr>
            </w:pPr>
          </w:p>
        </w:tc>
      </w:tr>
      <w:tr>
        <w:trPr>
          <w:trHeight w:val="216"/>
        </w:trPr>
        <w:tc>
          <w:tcPr>
            <w:tcW w:w="3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Amounts</w:t>
            </w:r>
          </w:p>
        </w:tc>
        <w:tc>
          <w:tcPr>
            <w:tcW w:w="16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Amounts</w:t>
            </w:r>
          </w:p>
        </w:tc>
        <w:tc>
          <w:tcPr>
            <w:tcW w:w="14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Amounts</w:t>
            </w:r>
          </w:p>
        </w:tc>
        <w:tc>
          <w:tcPr>
            <w:tcW w:w="2260" w:type="dxa"/>
            <w:vAlign w:val="bottom"/>
          </w:tcPr>
          <w:p>
            <w:pPr>
              <w:spacing w:after="0"/>
              <w:rPr>
                <w:sz w:val="18"/>
                <w:szCs w:val="18"/>
                <w:color w:val="auto"/>
              </w:rPr>
            </w:pPr>
          </w:p>
        </w:tc>
      </w:tr>
      <w:tr>
        <w:trPr>
          <w:trHeight w:val="230"/>
        </w:trPr>
        <w:tc>
          <w:tcPr>
            <w:tcW w:w="3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Due in</w:t>
            </w:r>
          </w:p>
        </w:tc>
        <w:tc>
          <w:tcPr>
            <w:tcW w:w="160" w:type="dxa"/>
            <w:vAlign w:val="bottom"/>
          </w:tcPr>
          <w:p>
            <w:pPr>
              <w:spacing w:after="0"/>
              <w:rPr>
                <w:sz w:val="19"/>
                <w:szCs w:val="19"/>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Due in</w:t>
            </w:r>
          </w:p>
        </w:tc>
        <w:tc>
          <w:tcPr>
            <w:tcW w:w="140" w:type="dxa"/>
            <w:vAlign w:val="bottom"/>
          </w:tcPr>
          <w:p>
            <w:pPr>
              <w:spacing w:after="0"/>
              <w:rPr>
                <w:sz w:val="19"/>
                <w:szCs w:val="19"/>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Due</w:t>
            </w:r>
          </w:p>
        </w:tc>
        <w:tc>
          <w:tcPr>
            <w:tcW w:w="2260" w:type="dxa"/>
            <w:vAlign w:val="bottom"/>
          </w:tcPr>
          <w:p>
            <w:pPr>
              <w:spacing w:after="0"/>
              <w:rPr>
                <w:sz w:val="19"/>
                <w:szCs w:val="19"/>
                <w:color w:val="auto"/>
              </w:rPr>
            </w:pPr>
          </w:p>
        </w:tc>
      </w:tr>
      <w:tr>
        <w:trPr>
          <w:trHeight w:val="234"/>
        </w:trPr>
        <w:tc>
          <w:tcPr>
            <w:tcW w:w="3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20"/>
                <w:szCs w:val="20"/>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4"/>
              </w:rPr>
              <w:t>1 Year</w:t>
            </w:r>
          </w:p>
        </w:tc>
        <w:tc>
          <w:tcPr>
            <w:tcW w:w="160" w:type="dxa"/>
            <w:vAlign w:val="bottom"/>
          </w:tcPr>
          <w:p>
            <w:pPr>
              <w:spacing w:after="0"/>
              <w:rPr>
                <w:sz w:val="20"/>
                <w:szCs w:val="20"/>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2-5 Years</w:t>
            </w:r>
          </w:p>
        </w:tc>
        <w:tc>
          <w:tcPr>
            <w:tcW w:w="14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Thereafter</w:t>
            </w:r>
          </w:p>
        </w:tc>
        <w:tc>
          <w:tcPr>
            <w:tcW w:w="2260" w:type="dxa"/>
            <w:vAlign w:val="bottom"/>
          </w:tcPr>
          <w:p>
            <w:pPr>
              <w:spacing w:after="0"/>
              <w:rPr>
                <w:sz w:val="20"/>
                <w:szCs w:val="20"/>
                <w:color w:val="auto"/>
              </w:rPr>
            </w:pPr>
          </w:p>
        </w:tc>
      </w:tr>
      <w:tr>
        <w:trPr>
          <w:trHeight w:val="210"/>
        </w:trPr>
        <w:tc>
          <w:tcPr>
            <w:tcW w:w="3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90,644,590</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1,587,321</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7,713,366</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81,343,903</w:t>
            </w:r>
          </w:p>
        </w:tc>
        <w:tc>
          <w:tcPr>
            <w:tcW w:w="80" w:type="dxa"/>
            <w:vAlign w:val="bottom"/>
            <w:tcBorders>
              <w:top w:val="single" w:sz="8" w:color="CCEEFF"/>
            </w:tcBorders>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Residential Construction</w:t>
            </w:r>
          </w:p>
        </w:tc>
        <w:tc>
          <w:tcPr>
            <w:tcW w:w="14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157,398,705</w:t>
            </w:r>
          </w:p>
        </w:tc>
        <w:tc>
          <w:tcPr>
            <w:tcW w:w="12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143,860,260</w:t>
            </w:r>
          </w:p>
        </w:tc>
        <w:tc>
          <w:tcPr>
            <w:tcW w:w="160" w:type="dxa"/>
            <w:vAlign w:val="bottom"/>
          </w:tcPr>
          <w:p>
            <w:pPr>
              <w:spacing w:after="0"/>
              <w:rPr>
                <w:sz w:val="18"/>
                <w:szCs w:val="18"/>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13,538,445</w:t>
            </w:r>
          </w:p>
        </w:tc>
        <w:tc>
          <w:tcPr>
            <w:tcW w:w="1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spacing w:after="0"/>
              <w:rPr>
                <w:sz w:val="18"/>
                <w:szCs w:val="18"/>
                <w:color w:val="auto"/>
              </w:rPr>
            </w:pPr>
          </w:p>
        </w:tc>
      </w:tr>
      <w:tr>
        <w:trPr>
          <w:trHeight w:val="229"/>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79,231,786</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39,473,791</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36,802,660</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2,955,335</w:t>
            </w:r>
          </w:p>
        </w:tc>
        <w:tc>
          <w:tcPr>
            <w:tcW w:w="2260" w:type="dxa"/>
            <w:vAlign w:val="bottom"/>
          </w:tcPr>
          <w:p>
            <w:pPr>
              <w:spacing w:after="0"/>
              <w:rPr>
                <w:sz w:val="19"/>
                <w:szCs w:val="19"/>
                <w:color w:val="auto"/>
              </w:rPr>
            </w:pPr>
          </w:p>
        </w:tc>
      </w:tr>
      <w:tr>
        <w:trPr>
          <w:trHeight w:val="22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327,275,081</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184,921,372</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6"/>
              </w:rPr>
              <w:t>58,054,471</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84,299,238</w:t>
            </w: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0"/>
        </w:trPr>
        <w:tc>
          <w:tcPr>
            <w:tcW w:w="3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413"/>
        </w:trPr>
        <w:tc>
          <w:tcPr>
            <w:tcW w:w="3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74" w:name="page75"/>
    <w:bookmarkEnd w:id="74"/>
    <w:p>
      <w:pPr>
        <w:jc w:val="center"/>
        <w:ind w:right="40"/>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7" w:lineRule="exact"/>
        <w:rPr>
          <w:sz w:val="20"/>
          <w:szCs w:val="20"/>
          <w:color w:val="auto"/>
        </w:rPr>
      </w:pPr>
    </w:p>
    <w:p>
      <w:pPr>
        <w:ind w:left="660" w:hanging="652"/>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Assignments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aging of insurance assignments, included in other investments and policy loans on the consolidated balance sheets: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00" w:type="dxa"/>
            <w:vAlign w:val="bottom"/>
            <w:gridSpan w:val="7"/>
          </w:tcPr>
          <w:p>
            <w:pPr>
              <w:jc w:val="right"/>
              <w:ind w:right="540"/>
              <w:spacing w:after="0"/>
              <w:rPr>
                <w:sz w:val="20"/>
                <w:szCs w:val="20"/>
                <w:color w:val="auto"/>
              </w:rPr>
            </w:pPr>
            <w:r>
              <w:rPr>
                <w:rFonts w:ascii="Times New Roman" w:cs="Times New Roman" w:eastAsia="Times New Roman" w:hAnsi="Times New Roman"/>
                <w:sz w:val="18"/>
                <w:szCs w:val="18"/>
                <w:color w:val="auto"/>
              </w:rPr>
              <w:t>Years Ended December 31,</w:t>
            </w:r>
          </w:p>
        </w:tc>
      </w:tr>
      <w:tr>
        <w:trPr>
          <w:trHeight w:val="223"/>
        </w:trPr>
        <w:tc>
          <w:tcPr>
            <w:tcW w:w="346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r>
      <w:tr>
        <w:trPr>
          <w:trHeight w:val="209"/>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30-59 days past due</w:t>
            </w: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8,444,866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8,785,184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60-89 days past due</w:t>
            </w: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3,344,793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4,046,731</w:t>
            </w:r>
          </w:p>
        </w:tc>
        <w:tc>
          <w:tcPr>
            <w:tcW w:w="40" w:type="dxa"/>
            <w:vAlign w:val="bottom"/>
          </w:tcPr>
          <w:p>
            <w:pPr>
              <w:spacing w:after="0"/>
              <w:rPr>
                <w:sz w:val="18"/>
                <w:szCs w:val="18"/>
                <w:color w:val="auto"/>
              </w:rPr>
            </w:pPr>
          </w:p>
        </w:tc>
      </w:tr>
      <w:tr>
        <w:trPr>
          <w:trHeight w:val="230"/>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90 days past due</w:t>
            </w:r>
          </w:p>
        </w:tc>
        <w:tc>
          <w:tcPr>
            <w:tcW w:w="1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4,976,211</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5,320,216</w:t>
            </w:r>
          </w:p>
        </w:tc>
        <w:tc>
          <w:tcPr>
            <w:tcW w:w="40" w:type="dxa"/>
            <w:vAlign w:val="bottom"/>
            <w:shd w:val="clear" w:color="auto" w:fill="CCEEFF"/>
          </w:tcPr>
          <w:p>
            <w:pPr>
              <w:spacing w:after="0"/>
              <w:rPr>
                <w:sz w:val="19"/>
                <w:szCs w:val="19"/>
                <w:color w:val="auto"/>
              </w:rPr>
            </w:pPr>
          </w:p>
        </w:tc>
      </w:tr>
      <w:tr>
        <w:trPr>
          <w:trHeight w:val="209"/>
        </w:trPr>
        <w:tc>
          <w:tcPr>
            <w:tcW w:w="3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past due</w:t>
            </w:r>
          </w:p>
        </w:tc>
        <w:tc>
          <w:tcPr>
            <w:tcW w:w="14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16,765,870</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18,152,131</w:t>
            </w: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r>
      <w:tr>
        <w:trPr>
          <w:trHeight w:val="209"/>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4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29,418,129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30,341,727</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0"/>
        </w:trPr>
        <w:tc>
          <w:tcPr>
            <w:tcW w:w="3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insurance assignments</w:t>
            </w:r>
          </w:p>
        </w:tc>
        <w:tc>
          <w:tcPr>
            <w:tcW w:w="14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46,183,999</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48,493,858</w:t>
            </w: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r>
      <w:tr>
        <w:trPr>
          <w:trHeight w:val="209"/>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4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(1,676,468</w:t>
            </w:r>
          </w:p>
        </w:tc>
        <w:tc>
          <w:tcPr>
            <w:tcW w:w="2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(1,536,926</w:t>
            </w:r>
          </w:p>
        </w:tc>
        <w:tc>
          <w:tcPr>
            <w:tcW w:w="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Net insurance assignments</w:t>
            </w:r>
          </w:p>
        </w:tc>
        <w:tc>
          <w:tcPr>
            <w:tcW w:w="14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44,507,531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46,956,932</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3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records an allowance for credit losses when the insurance assignment is funded. Once an insurance assignment is 90 days past due or is in legal proceedings, it is monitored for write-off and collectability, and any adjustments to the allowance are recorded at that time.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roll forward of the allowance for credit losses for insurance assignments: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Allowance</w:t>
            </w:r>
          </w:p>
        </w:tc>
      </w:tr>
      <w:tr>
        <w:trPr>
          <w:trHeight w:val="210"/>
        </w:trPr>
        <w:tc>
          <w:tcPr>
            <w:tcW w:w="4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 December 31, 2024</w:t>
            </w:r>
          </w:p>
        </w:tc>
        <w:tc>
          <w:tcPr>
            <w:tcW w:w="16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1,536,926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provision for credit losses (1)</w:t>
            </w: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1,058,661</w:t>
            </w:r>
          </w:p>
        </w:tc>
      </w:tr>
      <w:tr>
        <w:trPr>
          <w:trHeight w:val="229"/>
        </w:trPr>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1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(919,119)</w:t>
            </w:r>
          </w:p>
        </w:tc>
      </w:tr>
      <w:tr>
        <w:trPr>
          <w:trHeight w:val="263"/>
        </w:trPr>
        <w:tc>
          <w:tcPr>
            <w:tcW w:w="4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Ending balance - December 31, 2025</w:t>
            </w:r>
          </w:p>
        </w:tc>
        <w:tc>
          <w:tcPr>
            <w:tcW w:w="168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1,676,468</w:t>
            </w:r>
          </w:p>
        </w:tc>
        <w:tc>
          <w:tcPr>
            <w:tcW w:w="60" w:type="dxa"/>
            <w:vAlign w:val="bottom"/>
            <w:tcBorders>
              <w:bottom w:val="single" w:sz="8" w:color="CCEEFF"/>
            </w:tcBorders>
          </w:tcPr>
          <w:p>
            <w:pPr>
              <w:spacing w:after="0"/>
              <w:rPr>
                <w:sz w:val="22"/>
                <w:szCs w:val="22"/>
                <w:color w:val="auto"/>
              </w:rPr>
            </w:pPr>
          </w:p>
        </w:tc>
      </w:tr>
      <w:tr>
        <w:trPr>
          <w:trHeight w:val="197"/>
        </w:trPr>
        <w:tc>
          <w:tcPr>
            <w:tcW w:w="47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 - December 31, 2023</w:t>
            </w:r>
          </w:p>
        </w:tc>
        <w:tc>
          <w:tcPr>
            <w:tcW w:w="18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1,553,836</w:t>
            </w:r>
          </w:p>
        </w:tc>
      </w:tr>
      <w:tr>
        <w:trPr>
          <w:trHeight w:val="216"/>
        </w:trPr>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provision for credit losses (1)</w:t>
            </w: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1,033,277</w:t>
            </w:r>
          </w:p>
        </w:tc>
      </w:tr>
      <w:tr>
        <w:trPr>
          <w:trHeight w:val="229"/>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(1,050,187)</w:t>
            </w:r>
          </w:p>
        </w:tc>
      </w:tr>
      <w:tr>
        <w:trPr>
          <w:trHeight w:val="223"/>
        </w:trPr>
        <w:tc>
          <w:tcPr>
            <w:tcW w:w="4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 December 31, 2024</w:t>
            </w:r>
          </w:p>
        </w:tc>
        <w:tc>
          <w:tcPr>
            <w:tcW w:w="16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1,536,926</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7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Included in other expenses on the consolidated statements of earnings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5" w:name="page76"/>
    <w:bookmarkEnd w:id="75"/>
    <w:p>
      <w:pPr>
        <w:jc w:val="center"/>
        <w:ind w:right="40"/>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7" w:lineRule="exact"/>
        <w:rPr>
          <w:sz w:val="20"/>
          <w:szCs w:val="20"/>
          <w:color w:val="auto"/>
        </w:rPr>
      </w:pPr>
    </w:p>
    <w:p>
      <w:pPr>
        <w:ind w:left="660" w:hanging="652"/>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Variable Interest Entities (“VIE”)</w:t>
      </w:r>
    </w:p>
    <w:p>
      <w:pPr>
        <w:spacing w:after="0" w:line="22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The Company has a 50% ownership interest in three VIEs: HHH Real Estate LLC (“HHH”), SN Oquirrh LLC (“Oquirrh”), and SN Towns LLC (“Towns”). These entities hold and develop single family lots for residential construction. In accordance with the operating agreements for these entities, net profits or losses are allocated to the members in accordance with their ownership interests. The investments in HHH, Oquirrh and Towns are accounted for under the equity method of accounting. The carrying value of the equity investment in HHH was $10,530,515 and nil at December 31, 2025, and 2024, respectively, which is included in other investments and policy loans on the consolidated balance sheets. The carrying value of the equity investment in Oquirrh was $887,532 and $1,500,000 at December 31, 2025, and 2024, respectively, which is included in other investments and policy loans on the consolidated balance sheets. The carrying value of the equity investment in Towns was $2,656,616 and $4,063,537 at December 31, 2025, and 2024, respectively. $1,467,058 and $1,939,269 of which at December 31, 2025, and 2024, respectively, is included in restricted assets and $1,189,558 and $2,124,268 of which at December 31, 2025, and 2024, respectively, is included in cemetery perpetual care trust investments on the consolidated balance sheets.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determined that HHH, Oquirrh and Towns are VIEs for which the Company is not the primary beneficiary for the following reasons: (1) the at-risk equity holders, as a group, lack the characteristics of a controlling financial interest, (2) the General Manager directs the activities and legal operations that most significantly affect the entity’s economic performance and (3) the Company does not have majority voting rights and no power to unilaterally direct the activities of the entity, and therefore, is not the primary beneficiary. The Company’s exposure to loss because of its involvement with the equity method investees is limited to the carrying value of the Company’s investments.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7" w:lineRule="exact"/>
        <w:rPr>
          <w:sz w:val="20"/>
          <w:szCs w:val="20"/>
          <w:color w:val="auto"/>
        </w:rPr>
      </w:pPr>
    </w:p>
    <w:p>
      <w:pPr>
        <w:ind w:left="660" w:hanging="652"/>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Related Earnings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net realized gains and losses from sales, calls, and maturities, unrealized gains and losses on equity securities from investments and other assets.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4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color w:val="auto"/>
              </w:rPr>
              <w:t>Years Ended December 31</w:t>
            </w:r>
          </w:p>
        </w:tc>
      </w:tr>
      <w:tr>
        <w:trPr>
          <w:trHeight w:val="223"/>
        </w:trPr>
        <w:tc>
          <w:tcPr>
            <w:tcW w:w="56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CCEEFF"/>
            </w:tcBorders>
          </w:tcPr>
          <w:p>
            <w:pPr>
              <w:spacing w:after="0"/>
              <w:rPr>
                <w:sz w:val="19"/>
                <w:szCs w:val="19"/>
                <w:color w:val="auto"/>
              </w:rPr>
            </w:pPr>
          </w:p>
        </w:tc>
      </w:tr>
      <w:tr>
        <w:trPr>
          <w:trHeight w:val="20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realized gains</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133,939</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12,906</w:t>
            </w:r>
          </w:p>
        </w:tc>
      </w:tr>
      <w:tr>
        <w:trPr>
          <w:trHeight w:val="216"/>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realized losses</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(48,588)</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(63,024)</w:t>
            </w:r>
          </w:p>
        </w:tc>
      </w:tr>
      <w:tr>
        <w:trPr>
          <w:trHeight w:val="21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credit loss provision</w:t>
            </w:r>
          </w:p>
        </w:tc>
        <w:tc>
          <w:tcPr>
            <w:tcW w:w="34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(342,957)</w:t>
            </w:r>
          </w:p>
        </w:tc>
        <w:tc>
          <w:tcPr>
            <w:tcW w:w="3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(106,444)</w:t>
            </w:r>
          </w:p>
        </w:tc>
      </w:tr>
      <w:tr>
        <w:trPr>
          <w:trHeight w:val="216"/>
        </w:trPr>
        <w:tc>
          <w:tcPr>
            <w:tcW w:w="5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Losses on securities sold</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(873,965)</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(42,680)</w:t>
            </w:r>
          </w:p>
        </w:tc>
      </w:tr>
      <w:tr>
        <w:trPr>
          <w:trHeight w:val="21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gains on securities held at the end of the period</w:t>
            </w:r>
          </w:p>
        </w:tc>
        <w:tc>
          <w:tcPr>
            <w:tcW w:w="34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3,977,047</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2,290,252</w:t>
            </w:r>
          </w:p>
        </w:tc>
      </w:tr>
      <w:tr>
        <w:trPr>
          <w:trHeight w:val="216"/>
        </w:trPr>
        <w:tc>
          <w:tcPr>
            <w:tcW w:w="5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 held for investment:</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realized gains</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5,709</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realized losses</w:t>
            </w:r>
          </w:p>
        </w:tc>
        <w:tc>
          <w:tcPr>
            <w:tcW w:w="34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(1,161,363)</w:t>
            </w:r>
          </w:p>
        </w:tc>
      </w:tr>
      <w:tr>
        <w:trPr>
          <w:trHeight w:val="216"/>
        </w:trPr>
        <w:tc>
          <w:tcPr>
            <w:tcW w:w="5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Real estate held for investment and sale:</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realized gains</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1,615,323</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739,107</w:t>
            </w:r>
          </w:p>
        </w:tc>
      </w:tr>
      <w:tr>
        <w:trPr>
          <w:trHeight w:val="21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realized losses</w:t>
            </w:r>
          </w:p>
        </w:tc>
        <w:tc>
          <w:tcPr>
            <w:tcW w:w="34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(12,099)</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688"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Other investments and assets: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Gross realized gains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Gross realized losses</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293,329</w:t>
            </w: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293,657</w:t>
            </w:r>
          </w:p>
        </w:tc>
        <w:tc>
          <w:tcPr>
            <w:tcW w:w="60" w:type="dxa"/>
            <w:vAlign w:val="bottom"/>
          </w:tcPr>
          <w:p>
            <w:pPr>
              <w:spacing w:after="0"/>
              <w:rPr>
                <w:sz w:val="18"/>
                <w:szCs w:val="18"/>
                <w:color w:val="auto"/>
              </w:rPr>
            </w:pPr>
          </w:p>
        </w:tc>
      </w:tr>
      <w:tr>
        <w:trPr>
          <w:trHeight w:val="248"/>
        </w:trPr>
        <w:tc>
          <w:tcPr>
            <w:tcW w:w="4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(111,361)</w:t>
            </w:r>
          </w:p>
        </w:tc>
        <w:tc>
          <w:tcPr>
            <w:tcW w:w="44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(20,513)</w:t>
            </w:r>
          </w:p>
        </w:tc>
      </w:tr>
      <w:tr>
        <w:trPr>
          <w:trHeight w:val="223"/>
        </w:trPr>
        <w:tc>
          <w:tcPr>
            <w:tcW w:w="44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4,636,377</w:t>
            </w:r>
          </w:p>
        </w:tc>
        <w:tc>
          <w:tcPr>
            <w:tcW w:w="26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1,941,898</w:t>
            </w:r>
          </w:p>
        </w:tc>
        <w:tc>
          <w:tcPr>
            <w:tcW w:w="60" w:type="dxa"/>
            <w:vAlign w:val="bottom"/>
          </w:tcPr>
          <w:p>
            <w:pPr>
              <w:spacing w:after="0"/>
              <w:rPr>
                <w:sz w:val="19"/>
                <w:szCs w:val="19"/>
                <w:color w:val="auto"/>
              </w:rPr>
            </w:pP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-462280</wp:posOffset>
            </wp:positionV>
            <wp:extent cx="5700395"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-179070</wp:posOffset>
            </wp:positionV>
            <wp:extent cx="5700395" cy="1625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00395" cy="1625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880" w:space="720"/>
            <w:col w:w="5640"/>
          </w:cols>
          <w:pgMar w:left="320" w:top="688" w:right="33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The net realized gains and losses on the sale of securities are recorded on the trade date, and the cost of the securities sold is determined using the specific identification method.</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Net realized gains and losses includes gains and losses from cemetery perpetual care trust investments and the restricted assets of the cemeteries and mortuaries and totaled $1,352,331 in net gains and $888,788 in net gains for 2025 and 2024, respectively.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SECURITY NATIONAL FINANCIAL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 (Continued)</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Major categories of net investment income were as follows:</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4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color w:val="auto"/>
              </w:rPr>
              <w:t>Years Ended December 31</w:t>
            </w:r>
          </w:p>
        </w:tc>
      </w:tr>
      <w:tr>
        <w:trPr>
          <w:trHeight w:val="223"/>
        </w:trPr>
        <w:tc>
          <w:tcPr>
            <w:tcW w:w="66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40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CCEEFF"/>
            </w:tcBorders>
          </w:tcPr>
          <w:p>
            <w:pPr>
              <w:spacing w:after="0"/>
              <w:rPr>
                <w:sz w:val="19"/>
                <w:szCs w:val="19"/>
                <w:color w:val="auto"/>
              </w:rPr>
            </w:pPr>
          </w:p>
        </w:tc>
      </w:tr>
      <w:tr>
        <w:trPr>
          <w:trHeight w:val="210"/>
        </w:trPr>
        <w:tc>
          <w:tcPr>
            <w:tcW w:w="5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18,935,884</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17,332,753</w:t>
            </w:r>
          </w:p>
        </w:tc>
        <w:tc>
          <w:tcPr>
            <w:tcW w:w="80" w:type="dxa"/>
            <w:vAlign w:val="bottom"/>
            <w:shd w:val="clear" w:color="auto" w:fill="CCEEFF"/>
          </w:tcPr>
          <w:p>
            <w:pPr>
              <w:spacing w:after="0"/>
              <w:rPr>
                <w:sz w:val="18"/>
                <w:szCs w:val="18"/>
                <w:color w:val="auto"/>
              </w:rPr>
            </w:pPr>
          </w:p>
        </w:tc>
      </w:tr>
      <w:tr>
        <w:trPr>
          <w:trHeight w:val="216"/>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34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853,864</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698,484</w:t>
            </w:r>
          </w:p>
        </w:tc>
      </w:tr>
      <w:tr>
        <w:trPr>
          <w:trHeight w:val="216"/>
        </w:trPr>
        <w:tc>
          <w:tcPr>
            <w:tcW w:w="5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held for investment</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39,827,328</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29,952,242</w:t>
            </w:r>
          </w:p>
        </w:tc>
      </w:tr>
      <w:tr>
        <w:trPr>
          <w:trHeight w:val="216"/>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Real estate held for investment and sale</w:t>
            </w:r>
          </w:p>
        </w:tc>
        <w:tc>
          <w:tcPr>
            <w:tcW w:w="34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11,627,745</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11,369,546</w:t>
            </w:r>
          </w:p>
        </w:tc>
      </w:tr>
      <w:tr>
        <w:trPr>
          <w:trHeight w:val="216"/>
        </w:trPr>
        <w:tc>
          <w:tcPr>
            <w:tcW w:w="5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Policy loans</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965,232</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953,489</w:t>
            </w:r>
          </w:p>
        </w:tc>
      </w:tr>
      <w:tr>
        <w:trPr>
          <w:trHeight w:val="216"/>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Insurance assignments</w:t>
            </w:r>
          </w:p>
        </w:tc>
        <w:tc>
          <w:tcPr>
            <w:tcW w:w="34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20,898,960</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19,971,108</w:t>
            </w:r>
          </w:p>
        </w:tc>
      </w:tr>
      <w:tr>
        <w:trPr>
          <w:trHeight w:val="216"/>
        </w:trPr>
        <w:tc>
          <w:tcPr>
            <w:tcW w:w="5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995,349</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806,032</w:t>
            </w:r>
          </w:p>
        </w:tc>
      </w:tr>
      <w:tr>
        <w:trPr>
          <w:trHeight w:val="229"/>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Pr>
          <w:p>
            <w:pPr>
              <w:spacing w:after="0"/>
              <w:rPr>
                <w:sz w:val="19"/>
                <w:szCs w:val="19"/>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4,041,886</w:t>
            </w:r>
          </w:p>
        </w:tc>
        <w:tc>
          <w:tcPr>
            <w:tcW w:w="34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6,676,563</w:t>
            </w:r>
          </w:p>
        </w:tc>
      </w:tr>
      <w:tr>
        <w:trPr>
          <w:trHeight w:val="210"/>
        </w:trPr>
        <w:tc>
          <w:tcPr>
            <w:tcW w:w="560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investment income</w:t>
            </w: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98,146,248</w:t>
            </w: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87,760,217</w:t>
            </w: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Investment expenses</w:t>
            </w:r>
          </w:p>
        </w:tc>
        <w:tc>
          <w:tcPr>
            <w:tcW w:w="34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(18,807,736)</w:t>
            </w:r>
          </w:p>
        </w:tc>
        <w:tc>
          <w:tcPr>
            <w:tcW w:w="34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(16,034,968)</w:t>
            </w:r>
          </w:p>
        </w:tc>
      </w:tr>
      <w:tr>
        <w:trPr>
          <w:trHeight w:val="223"/>
        </w:trPr>
        <w:tc>
          <w:tcPr>
            <w:tcW w:w="56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3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79,338,512</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71,725,249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Net investment income includes income earned from cemetery perpetual care trust investments and the restricted assets of the cemeteries and mortuaries and totaled $953,785 and $2,009,719 for 2025, and 2024, respectively.</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Net investment income on real estate consists primarily of rental revenue. Investment expenses consist primarily of depreciation, property taxes, operating expenses of real estate, and an estimated portion of administrative expenses relating to investment activities.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Accrued Investment Income</w:t>
            </w: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432"/>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Accrued investment income consists of the following:</w:t>
            </w: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45"/>
        </w:trPr>
        <w:tc>
          <w:tcPr>
            <w:tcW w:w="4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40" w:type="dxa"/>
            <w:vAlign w:val="bottom"/>
            <w:gridSpan w:val="5"/>
          </w:tcPr>
          <w:p>
            <w:pPr>
              <w:jc w:val="right"/>
              <w:ind w:right="740"/>
              <w:spacing w:after="0"/>
              <w:rPr>
                <w:sz w:val="20"/>
                <w:szCs w:val="20"/>
                <w:color w:val="auto"/>
              </w:rPr>
            </w:pPr>
            <w:r>
              <w:rPr>
                <w:rFonts w:ascii="Times New Roman" w:cs="Times New Roman" w:eastAsia="Times New Roman" w:hAnsi="Times New Roman"/>
                <w:sz w:val="18"/>
                <w:szCs w:val="18"/>
                <w:color w:val="auto"/>
              </w:rPr>
              <w:t>Years Ended December 31,</w:t>
            </w:r>
          </w:p>
        </w:tc>
        <w:tc>
          <w:tcPr>
            <w:tcW w:w="2260" w:type="dxa"/>
            <w:vAlign w:val="bottom"/>
          </w:tcPr>
          <w:p>
            <w:pPr>
              <w:spacing w:after="0"/>
              <w:rPr>
                <w:sz w:val="24"/>
                <w:szCs w:val="24"/>
                <w:color w:val="auto"/>
              </w:rPr>
            </w:pPr>
          </w:p>
        </w:tc>
      </w:tr>
      <w:tr>
        <w:trPr>
          <w:trHeight w:val="223"/>
        </w:trPr>
        <w:tc>
          <w:tcPr>
            <w:tcW w:w="472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CCEEFF"/>
            </w:tcBorders>
          </w:tcPr>
          <w:p>
            <w:pPr>
              <w:spacing w:after="0"/>
              <w:rPr>
                <w:sz w:val="19"/>
                <w:szCs w:val="19"/>
                <w:color w:val="auto"/>
              </w:rPr>
            </w:pPr>
          </w:p>
        </w:tc>
        <w:tc>
          <w:tcPr>
            <w:tcW w:w="2260" w:type="dxa"/>
            <w:vAlign w:val="bottom"/>
          </w:tcPr>
          <w:p>
            <w:pPr>
              <w:spacing w:after="0"/>
              <w:rPr>
                <w:sz w:val="19"/>
                <w:szCs w:val="19"/>
                <w:color w:val="auto"/>
              </w:rPr>
            </w:pPr>
          </w:p>
        </w:tc>
      </w:tr>
      <w:tr>
        <w:trPr>
          <w:trHeight w:val="210"/>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4,089,819</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3,795,581</w:t>
            </w:r>
          </w:p>
        </w:tc>
        <w:tc>
          <w:tcPr>
            <w:tcW w:w="80" w:type="dxa"/>
            <w:vAlign w:val="bottom"/>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13,169</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11,049</w:t>
            </w:r>
          </w:p>
        </w:tc>
        <w:tc>
          <w:tcPr>
            <w:tcW w:w="226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held for investment</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1,032,964</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1,049,489</w:t>
            </w:r>
          </w:p>
        </w:tc>
        <w:tc>
          <w:tcPr>
            <w:tcW w:w="2260" w:type="dxa"/>
            <w:vAlign w:val="bottom"/>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Real estate held for investment</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3,850,958</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3,559,463</w:t>
            </w:r>
          </w:p>
        </w:tc>
        <w:tc>
          <w:tcPr>
            <w:tcW w:w="226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30,916</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spacing w:after="0"/>
              <w:rPr>
                <w:sz w:val="18"/>
                <w:szCs w:val="18"/>
                <w:color w:val="auto"/>
              </w:rPr>
            </w:pPr>
          </w:p>
        </w:tc>
      </w:tr>
      <w:tr>
        <w:trPr>
          <w:trHeight w:val="23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36,819</w:t>
            </w:r>
          </w:p>
        </w:tc>
        <w:tc>
          <w:tcPr>
            <w:tcW w:w="34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83,586</w:t>
            </w:r>
          </w:p>
        </w:tc>
        <w:tc>
          <w:tcPr>
            <w:tcW w:w="2260" w:type="dxa"/>
            <w:vAlign w:val="bottom"/>
          </w:tcPr>
          <w:p>
            <w:pPr>
              <w:spacing w:after="0"/>
              <w:rPr>
                <w:sz w:val="19"/>
                <w:szCs w:val="19"/>
                <w:color w:val="auto"/>
              </w:rPr>
            </w:pPr>
          </w:p>
        </w:tc>
      </w:tr>
      <w:tr>
        <w:trPr>
          <w:trHeight w:val="223"/>
        </w:trPr>
        <w:tc>
          <w:tcPr>
            <w:tcW w:w="4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accrued investment income</w:t>
            </w:r>
          </w:p>
        </w:tc>
        <w:tc>
          <w:tcPr>
            <w:tcW w:w="8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9,054,645</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8,499,168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60" w:type="dxa"/>
            <w:vAlign w:val="bottom"/>
          </w:tcPr>
          <w:p>
            <w:pPr>
              <w:spacing w:after="0"/>
              <w:rPr>
                <w:sz w:val="19"/>
                <w:szCs w:val="19"/>
                <w:color w:val="auto"/>
              </w:rPr>
            </w:pPr>
          </w:p>
        </w:tc>
      </w:tr>
      <w:tr>
        <w:trPr>
          <w:trHeight w:val="20"/>
        </w:trPr>
        <w:tc>
          <w:tcPr>
            <w:tcW w:w="4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413"/>
        </w:trPr>
        <w:tc>
          <w:tcPr>
            <w:tcW w:w="47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center"/>
              <w:ind w:left="510"/>
              <w:spacing w:after="0"/>
              <w:rPr>
                <w:sz w:val="20"/>
                <w:szCs w:val="20"/>
                <w:color w:val="auto"/>
              </w:rPr>
            </w:pPr>
            <w:r>
              <w:rPr>
                <w:rFonts w:ascii="Times New Roman" w:cs="Times New Roman" w:eastAsia="Times New Roman" w:hAnsi="Times New Roman"/>
                <w:sz w:val="18"/>
                <w:szCs w:val="18"/>
                <w:color w:val="auto"/>
                <w:w w:val="99"/>
              </w:rPr>
              <w:t>74</w:t>
            </w:r>
          </w:p>
        </w:tc>
        <w:tc>
          <w:tcPr>
            <w:tcW w:w="1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7" w:lineRule="exact"/>
        <w:rPr>
          <w:sz w:val="20"/>
          <w:szCs w:val="20"/>
          <w:color w:val="auto"/>
        </w:rPr>
      </w:pPr>
    </w:p>
    <w:p>
      <w:pPr>
        <w:ind w:left="660" w:hanging="652"/>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Loans Held for Sale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loans held for sale portfolio is valued using the fair value option. Changes in the fair value of the loans are included in mortgage fee income. Interest income is recorded based on the contractual terms of the loan and in accordance with the Company’s policy on recognition of mortgage loan interest income and is included in mortgage fee income on the consolidated statement of earnings. See Note 21 of the Notes to Consolidated Financial Statements for additional disclosures regarding loans held for sale.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aggregate fair value and the aggregate unpaid principal balance of loans held for sale.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December 31,</w:t>
            </w:r>
          </w:p>
        </w:tc>
        <w:tc>
          <w:tcPr>
            <w:tcW w:w="10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6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CCEEFF"/>
            </w:tcBorders>
          </w:tcPr>
          <w:p>
            <w:pPr>
              <w:spacing w:after="0"/>
              <w:rPr>
                <w:sz w:val="19"/>
                <w:szCs w:val="19"/>
                <w:color w:val="auto"/>
              </w:rPr>
            </w:pPr>
          </w:p>
        </w:tc>
      </w:tr>
      <w:tr>
        <w:trPr>
          <w:trHeight w:val="21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Aggregate fair value</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155,968,266</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131,181,148</w:t>
            </w:r>
          </w:p>
        </w:tc>
        <w:tc>
          <w:tcPr>
            <w:tcW w:w="8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Unpaid principal balance</w:t>
            </w:r>
          </w:p>
        </w:tc>
        <w:tc>
          <w:tcPr>
            <w:tcW w:w="34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154,484,198</w:t>
            </w:r>
          </w:p>
        </w:tc>
        <w:tc>
          <w:tcPr>
            <w:tcW w:w="4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128,948,072</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1,484,068</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2,233,076</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Mortgage Fee Income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Mortgage fee income consists of origination fees, processing fees, interest income, and other income related to the origination and sale of mortgage loans held for sale.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Major categories of mortgage fee income for loans held for sale are summarized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4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color w:val="auto"/>
              </w:rPr>
              <w:t>Years Ended December 31</w:t>
            </w:r>
          </w:p>
        </w:tc>
        <w:tc>
          <w:tcPr>
            <w:tcW w:w="2260" w:type="dxa"/>
            <w:vAlign w:val="bottom"/>
          </w:tcPr>
          <w:p>
            <w:pPr>
              <w:spacing w:after="0"/>
              <w:rPr>
                <w:sz w:val="20"/>
                <w:szCs w:val="20"/>
                <w:color w:val="auto"/>
              </w:rPr>
            </w:pPr>
          </w:p>
        </w:tc>
      </w:tr>
      <w:tr>
        <w:trPr>
          <w:trHeight w:val="223"/>
        </w:trPr>
        <w:tc>
          <w:tcPr>
            <w:tcW w:w="430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CCEEFF"/>
            </w:tcBorders>
          </w:tcPr>
          <w:p>
            <w:pPr>
              <w:spacing w:after="0"/>
              <w:rPr>
                <w:sz w:val="19"/>
                <w:szCs w:val="19"/>
                <w:color w:val="auto"/>
              </w:rPr>
            </w:pPr>
          </w:p>
        </w:tc>
        <w:tc>
          <w:tcPr>
            <w:tcW w:w="2260" w:type="dxa"/>
            <w:vAlign w:val="bottom"/>
          </w:tcPr>
          <w:p>
            <w:pPr>
              <w:spacing w:after="0"/>
              <w:rPr>
                <w:sz w:val="19"/>
                <w:szCs w:val="19"/>
                <w:color w:val="auto"/>
              </w:rPr>
            </w:pPr>
          </w:p>
        </w:tc>
      </w:tr>
      <w:tr>
        <w:trPr>
          <w:trHeight w:val="210"/>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fees</w:t>
            </w:r>
          </w:p>
        </w:tc>
        <w:tc>
          <w:tcPr>
            <w:tcW w:w="1300" w:type="dxa"/>
            <w:vAlign w:val="bottom"/>
            <w:shd w:val="clear" w:color="auto" w:fill="CCEEFF"/>
          </w:tcPr>
          <w:p>
            <w:pPr>
              <w:spacing w:after="0"/>
              <w:rPr>
                <w:sz w:val="18"/>
                <w:szCs w:val="18"/>
                <w:color w:val="auto"/>
              </w:rPr>
            </w:pPr>
          </w:p>
        </w:tc>
        <w:tc>
          <w:tcPr>
            <w:tcW w:w="340" w:type="dxa"/>
            <w:vAlign w:val="bottom"/>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24,765,098</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26,343,919</w:t>
            </w:r>
          </w:p>
        </w:tc>
        <w:tc>
          <w:tcPr>
            <w:tcW w:w="80" w:type="dxa"/>
            <w:vAlign w:val="bottom"/>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8,650,067</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8,192,353</w:t>
            </w:r>
          </w:p>
        </w:tc>
        <w:tc>
          <w:tcPr>
            <w:tcW w:w="2260" w:type="dxa"/>
            <w:vAlign w:val="bottom"/>
          </w:tcPr>
          <w:p>
            <w:pPr>
              <w:spacing w:after="0"/>
              <w:rPr>
                <w:sz w:val="18"/>
                <w:szCs w:val="18"/>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Secondary gains</w:t>
            </w:r>
          </w:p>
        </w:tc>
        <w:tc>
          <w:tcPr>
            <w:tcW w:w="1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75,816,772</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70,354,845</w:t>
            </w:r>
          </w:p>
        </w:tc>
        <w:tc>
          <w:tcPr>
            <w:tcW w:w="2260" w:type="dxa"/>
            <w:vAlign w:val="bottom"/>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loan commitments</w:t>
            </w: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(833,073)</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729,948</w:t>
            </w:r>
          </w:p>
        </w:tc>
        <w:tc>
          <w:tcPr>
            <w:tcW w:w="2260" w:type="dxa"/>
            <w:vAlign w:val="bottom"/>
          </w:tcPr>
          <w:p>
            <w:pPr>
              <w:spacing w:after="0"/>
              <w:rPr>
                <w:sz w:val="18"/>
                <w:szCs w:val="18"/>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loans held for sale</w:t>
            </w:r>
          </w:p>
        </w:tc>
        <w:tc>
          <w:tcPr>
            <w:tcW w:w="1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615,973</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2,869,729</w:t>
            </w:r>
          </w:p>
        </w:tc>
        <w:tc>
          <w:tcPr>
            <w:tcW w:w="2260" w:type="dxa"/>
            <w:vAlign w:val="bottom"/>
          </w:tcPr>
          <w:p>
            <w:pPr>
              <w:spacing w:after="0"/>
              <w:rPr>
                <w:sz w:val="18"/>
                <w:szCs w:val="18"/>
                <w:color w:val="auto"/>
              </w:rPr>
            </w:pPr>
          </w:p>
        </w:tc>
      </w:tr>
      <w:tr>
        <w:trPr>
          <w:trHeight w:val="230"/>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loan loss reserve</w:t>
            </w:r>
          </w:p>
        </w:tc>
        <w:tc>
          <w:tcPr>
            <w:tcW w:w="1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(805,518)</w:t>
            </w:r>
          </w:p>
        </w:tc>
        <w:tc>
          <w:tcPr>
            <w:tcW w:w="34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(932,154)</w:t>
            </w:r>
          </w:p>
        </w:tc>
        <w:tc>
          <w:tcPr>
            <w:tcW w:w="2260" w:type="dxa"/>
            <w:vAlign w:val="bottom"/>
          </w:tcPr>
          <w:p>
            <w:pPr>
              <w:spacing w:after="0"/>
              <w:rPr>
                <w:sz w:val="19"/>
                <w:szCs w:val="19"/>
                <w:color w:val="auto"/>
              </w:rPr>
            </w:pPr>
          </w:p>
        </w:tc>
      </w:tr>
      <w:tr>
        <w:trPr>
          <w:trHeight w:val="223"/>
        </w:trPr>
        <w:tc>
          <w:tcPr>
            <w:tcW w:w="4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fee income</w:t>
            </w:r>
          </w:p>
        </w:tc>
        <w:tc>
          <w:tcPr>
            <w:tcW w:w="13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108,209,319</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107,558,640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60" w:type="dxa"/>
            <w:vAlign w:val="bottom"/>
          </w:tcPr>
          <w:p>
            <w:pPr>
              <w:spacing w:after="0"/>
              <w:rPr>
                <w:sz w:val="19"/>
                <w:szCs w:val="19"/>
                <w:color w:val="auto"/>
              </w:rPr>
            </w:pPr>
          </w:p>
        </w:tc>
      </w:tr>
      <w:tr>
        <w:trPr>
          <w:trHeight w:val="20"/>
        </w:trPr>
        <w:tc>
          <w:tcPr>
            <w:tcW w:w="4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413"/>
        </w:trPr>
        <w:tc>
          <w:tcPr>
            <w:tcW w:w="4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center"/>
              <w:ind w:left="930"/>
              <w:spacing w:after="0"/>
              <w:rPr>
                <w:sz w:val="20"/>
                <w:szCs w:val="20"/>
                <w:color w:val="auto"/>
              </w:rPr>
            </w:pPr>
            <w:r>
              <w:rPr>
                <w:rFonts w:ascii="Times New Roman" w:cs="Times New Roman" w:eastAsia="Times New Roman" w:hAnsi="Times New Roman"/>
                <w:sz w:val="18"/>
                <w:szCs w:val="18"/>
                <w:color w:val="auto"/>
                <w:w w:val="99"/>
              </w:rPr>
              <w:t>75</w:t>
            </w:r>
          </w:p>
        </w:tc>
        <w:tc>
          <w:tcPr>
            <w:tcW w:w="1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7" w:lineRule="exact"/>
        <w:rPr>
          <w:sz w:val="20"/>
          <w:szCs w:val="20"/>
          <w:color w:val="auto"/>
        </w:rPr>
      </w:pPr>
    </w:p>
    <w:p>
      <w:pPr>
        <w:ind w:left="660" w:hanging="652"/>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Loans Held for Sale</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 Loss Reserve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Repurchase demands (“demand(s)”) from third party investors for mortgage loans previously held for sale and sold are reviewed, and relevant data is captured so that an estimated future loss can be calculated. The key factors that are used in the estimated future loss calculation are as follows: (i) lien position, (ii) payment status, (iii) claim type, (iv) unpaid principal balance, (v) interest rate, and (vi) validity of the demand. Other data is captured and is useful for management purposes; the actual estimated loss is generally based on these key factors. The Company conducts its own review upon the receipt of a demand. In many instances, the Company can resolve the issues relating to the demand by the third-party investor without having to make any payments to the investor.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loan loss reserve, which is included in other liabilities and accrued expenses, is summarized as follows:</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Beginning Balance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for current loan originations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provision (2)</w:t>
      </w:r>
    </w:p>
    <w:p>
      <w:pPr>
        <w:spacing w:after="0" w:line="9" w:lineRule="exact"/>
        <w:rPr>
          <w:sz w:val="20"/>
          <w:szCs w:val="20"/>
          <w:color w:val="auto"/>
        </w:rPr>
      </w:pPr>
    </w:p>
    <w:p>
      <w:pPr>
        <w:ind w:right="2060"/>
        <w:spacing w:after="0" w:line="276" w:lineRule="auto"/>
        <w:rPr>
          <w:sz w:val="20"/>
          <w:szCs w:val="20"/>
          <w:color w:val="auto"/>
        </w:rPr>
      </w:pPr>
      <w:r>
        <w:rPr>
          <w:rFonts w:ascii="Times New Roman" w:cs="Times New Roman" w:eastAsia="Times New Roman" w:hAnsi="Times New Roman"/>
          <w:sz w:val="18"/>
          <w:szCs w:val="18"/>
          <w:color w:val="auto"/>
        </w:rPr>
        <w:t>Charge-offs, net of recaptured amounts Ending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17830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1"/>
        </w:trPr>
        <w:tc>
          <w:tcPr>
            <w:tcW w:w="340" w:type="dxa"/>
            <w:vAlign w:val="bottom"/>
          </w:tcPr>
          <w:p>
            <w:pPr>
              <w:jc w:val="right"/>
              <w:ind w:right="17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696,626</w:t>
            </w:r>
          </w:p>
        </w:tc>
        <w:tc>
          <w:tcPr>
            <w:tcW w:w="260" w:type="dxa"/>
            <w:vAlign w:val="bottom"/>
          </w:tcPr>
          <w:p>
            <w:pPr>
              <w:spacing w:after="0"/>
              <w:rPr>
                <w:sz w:val="16"/>
                <w:szCs w:val="16"/>
                <w:color w:val="auto"/>
              </w:rPr>
            </w:pPr>
          </w:p>
        </w:tc>
        <w:tc>
          <w:tcPr>
            <w:tcW w:w="340" w:type="dxa"/>
            <w:vAlign w:val="bottom"/>
          </w:tcPr>
          <w:p>
            <w:pPr>
              <w:jc w:val="right"/>
              <w:ind w:right="17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547,233</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34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805,518</w:t>
            </w:r>
          </w:p>
        </w:tc>
        <w:tc>
          <w:tcPr>
            <w:tcW w:w="3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932,154</w:t>
            </w:r>
          </w:p>
        </w:tc>
        <w:tc>
          <w:tcPr>
            <w:tcW w:w="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40,000</w:t>
            </w:r>
          </w:p>
        </w:tc>
        <w:tc>
          <w:tcPr>
            <w:tcW w:w="340" w:type="dxa"/>
            <w:vAlign w:val="bottom"/>
          </w:tcPr>
          <w:p>
            <w:pPr>
              <w:spacing w:after="0"/>
              <w:rPr>
                <w:sz w:val="18"/>
                <w:szCs w:val="18"/>
                <w:color w:val="auto"/>
              </w:rPr>
            </w:pP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3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(1,157,960)</w:t>
            </w:r>
          </w:p>
        </w:tc>
        <w:tc>
          <w:tcPr>
            <w:tcW w:w="340" w:type="dxa"/>
            <w:vAlign w:val="bottom"/>
          </w:tcPr>
          <w:p>
            <w:pPr>
              <w:spacing w:after="0"/>
              <w:rPr>
                <w:sz w:val="21"/>
                <w:szCs w:val="21"/>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(782,761)</w:t>
            </w:r>
          </w:p>
        </w:tc>
      </w:tr>
      <w:tr>
        <w:trPr>
          <w:trHeight w:val="223"/>
        </w:trPr>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384,184</w:t>
            </w:r>
          </w:p>
        </w:tc>
        <w:tc>
          <w:tcPr>
            <w:tcW w:w="2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696,626</w:t>
            </w:r>
          </w:p>
        </w:tc>
        <w:tc>
          <w:tcPr>
            <w:tcW w:w="40" w:type="dxa"/>
            <w:vAlign w:val="bottom"/>
          </w:tcPr>
          <w:p>
            <w:pPr>
              <w:spacing w:after="0"/>
              <w:rPr>
                <w:sz w:val="19"/>
                <w:szCs w:val="19"/>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-744855</wp:posOffset>
            </wp:positionV>
            <wp:extent cx="5700395" cy="1454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00395" cy="145415"/>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-462280</wp:posOffset>
            </wp:positionV>
            <wp:extent cx="5700395"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-179070</wp:posOffset>
            </wp:positionV>
            <wp:extent cx="5700395" cy="1631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80" w:space="720"/>
            <w:col w:w="5640"/>
          </w:cols>
          <w:pgMar w:left="320" w:top="688" w:right="339" w:bottom="1440" w:gutter="0" w:footer="0" w:header="0"/>
          <w:type w:val="continuous"/>
        </w:sectPr>
      </w:pPr>
    </w:p>
    <w:p>
      <w:pPr>
        <w:spacing w:after="0" w:line="25" w:lineRule="exact"/>
        <w:rPr>
          <w:sz w:val="20"/>
          <w:szCs w:val="20"/>
          <w:color w:val="auto"/>
        </w:rPr>
      </w:pPr>
    </w:p>
    <w:p>
      <w:pPr>
        <w:ind w:left="340" w:hanging="332"/>
        <w:spacing w:after="0"/>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Mortgage fee income on the consolidated statements of earnings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expenses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maintains reserves for estimated losses on current production volumes. For 2025, $805,518 in reserves were added at a rate of 3.5 basis points per loan, the equivalent of $350 per $1,000,000 in loans originated. This is a decrease over 2024, when $932,154 in reserves were added at a rate of 4.1 basis points per loan originated, the equivalent of $410 per $1,000,000 in loans originated. The Company monitors market data and trends and economic conditions (including forecasts) and uses its own experience to determine adequate loss reserves on current production.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80" w:name="page81"/>
    <w:bookmarkEnd w:id="80"/>
    <w:p>
      <w:pPr>
        <w:jc w:val="center"/>
        <w:ind w:right="-1100"/>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Receivables</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Receivables consist of the following:</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5"/>
        </w:trPr>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December 31,</w:t>
            </w:r>
          </w:p>
        </w:tc>
        <w:tc>
          <w:tcPr>
            <w:tcW w:w="10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66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40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CCEEFF"/>
            </w:tcBorders>
          </w:tcPr>
          <w:p>
            <w:pPr>
              <w:spacing w:after="0"/>
              <w:rPr>
                <w:sz w:val="19"/>
                <w:szCs w:val="19"/>
                <w:color w:val="auto"/>
              </w:rPr>
            </w:pPr>
          </w:p>
        </w:tc>
      </w:tr>
      <w:tr>
        <w:trPr>
          <w:trHeight w:val="210"/>
        </w:trPr>
        <w:tc>
          <w:tcPr>
            <w:tcW w:w="5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Contracts with customers</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6,981,676</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7,095,589</w:t>
            </w:r>
          </w:p>
        </w:tc>
        <w:tc>
          <w:tcPr>
            <w:tcW w:w="80" w:type="dxa"/>
            <w:vAlign w:val="bottom"/>
            <w:shd w:val="clear" w:color="auto" w:fill="CCEEFF"/>
          </w:tcPr>
          <w:p>
            <w:pPr>
              <w:spacing w:after="0"/>
              <w:rPr>
                <w:sz w:val="18"/>
                <w:szCs w:val="18"/>
                <w:color w:val="auto"/>
              </w:rPr>
            </w:pPr>
          </w:p>
        </w:tc>
      </w:tr>
      <w:tr>
        <w:trPr>
          <w:trHeight w:val="216"/>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Receivables from sales agents</w:t>
            </w:r>
          </w:p>
        </w:tc>
        <w:tc>
          <w:tcPr>
            <w:tcW w:w="34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4,193,842</w:t>
            </w:r>
          </w:p>
        </w:tc>
        <w:tc>
          <w:tcPr>
            <w:tcW w:w="4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4,028,881</w:t>
            </w:r>
          </w:p>
        </w:tc>
      </w:tr>
      <w:tr>
        <w:trPr>
          <w:trHeight w:val="216"/>
        </w:trPr>
        <w:tc>
          <w:tcPr>
            <w:tcW w:w="5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premiums due</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1,275,664</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1,294,070</w:t>
            </w:r>
          </w:p>
        </w:tc>
      </w:tr>
      <w:tr>
        <w:trPr>
          <w:trHeight w:val="230"/>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4,588,564</w:t>
            </w:r>
          </w:p>
        </w:tc>
        <w:tc>
          <w:tcPr>
            <w:tcW w:w="48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5,118,734</w:t>
            </w:r>
          </w:p>
        </w:tc>
      </w:tr>
      <w:tr>
        <w:trPr>
          <w:trHeight w:val="209"/>
        </w:trPr>
        <w:tc>
          <w:tcPr>
            <w:tcW w:w="560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receivables</w:t>
            </w: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17,039,746</w:t>
            </w:r>
          </w:p>
        </w:tc>
        <w:tc>
          <w:tcPr>
            <w:tcW w:w="2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17,537,274</w:t>
            </w: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4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(1,428,672)</w:t>
            </w:r>
          </w:p>
        </w:tc>
        <w:tc>
          <w:tcPr>
            <w:tcW w:w="48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(1,678,531)</w:t>
            </w:r>
          </w:p>
        </w:tc>
      </w:tr>
      <w:tr>
        <w:trPr>
          <w:trHeight w:val="223"/>
        </w:trPr>
        <w:tc>
          <w:tcPr>
            <w:tcW w:w="56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receivables</w:t>
            </w:r>
          </w:p>
        </w:tc>
        <w:tc>
          <w:tcPr>
            <w:tcW w:w="3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15,611,074</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15,858,743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records an allowance for credit losses for its receivables in accordance with GAAP.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roll forward of the allowance for credit losses: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Allowance</w:t>
            </w:r>
          </w:p>
        </w:tc>
      </w:tr>
      <w:tr>
        <w:trPr>
          <w:trHeight w:val="209"/>
        </w:trPr>
        <w:tc>
          <w:tcPr>
            <w:tcW w:w="7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 December 31, 2024</w:t>
            </w: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1,678,531</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provision for credit losses (1)</w:t>
            </w:r>
          </w:p>
        </w:tc>
        <w:tc>
          <w:tcPr>
            <w:tcW w:w="24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192,467</w:t>
            </w:r>
          </w:p>
        </w:tc>
      </w:tr>
      <w:tr>
        <w:trPr>
          <w:trHeight w:val="230"/>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(442,326)</w:t>
            </w:r>
          </w:p>
        </w:tc>
      </w:tr>
      <w:tr>
        <w:trPr>
          <w:trHeight w:val="263"/>
        </w:trPr>
        <w:tc>
          <w:tcPr>
            <w:tcW w:w="7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Ending balance - December 31, 2025</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1,428,672</w:t>
            </w:r>
          </w:p>
        </w:tc>
        <w:tc>
          <w:tcPr>
            <w:tcW w:w="80" w:type="dxa"/>
            <w:vAlign w:val="bottom"/>
            <w:tcBorders>
              <w:bottom w:val="single" w:sz="8" w:color="CCEEFF"/>
            </w:tcBorders>
          </w:tcPr>
          <w:p>
            <w:pPr>
              <w:spacing w:after="0"/>
              <w:rPr>
                <w:sz w:val="22"/>
                <w:szCs w:val="22"/>
                <w:color w:val="auto"/>
              </w:rPr>
            </w:pPr>
          </w:p>
        </w:tc>
      </w:tr>
      <w:tr>
        <w:trPr>
          <w:trHeight w:val="196"/>
        </w:trPr>
        <w:tc>
          <w:tcPr>
            <w:tcW w:w="7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 - December 31, 2023</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1,897,887</w:t>
            </w:r>
          </w:p>
        </w:tc>
      </w:tr>
      <w:tr>
        <w:trPr>
          <w:trHeight w:val="216"/>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provision for credit losses (1)</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(140,277)</w:t>
            </w:r>
          </w:p>
        </w:tc>
      </w:tr>
      <w:tr>
        <w:trPr>
          <w:trHeight w:val="230"/>
        </w:trPr>
        <w:tc>
          <w:tcPr>
            <w:tcW w:w="7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24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(79,079)</w:t>
            </w:r>
          </w:p>
        </w:tc>
      </w:tr>
      <w:tr>
        <w:trPr>
          <w:trHeight w:val="223"/>
        </w:trPr>
        <w:tc>
          <w:tcPr>
            <w:tcW w:w="7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 December 31, 2024</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1,678,531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Included in other expenses on the consolidated statements of earnings</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7" w:lineRule="exact"/>
        <w:rPr>
          <w:sz w:val="20"/>
          <w:szCs w:val="20"/>
          <w:color w:val="auto"/>
        </w:rPr>
      </w:pPr>
    </w:p>
    <w:p>
      <w:pPr>
        <w:ind w:left="660" w:hanging="652"/>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Receivables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Contracts with Customers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reports revenues from contracts with customers pursuant to ASC No. 606, Revenue from Contracts with Customers.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Information about Performance Obligations and Contract Balances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cemetery and mortuary segment sells a variety of goods and services to customers in both at-need and pre-need situations. Due to the timing of the fulfillment of the obligation, revenue is deferred until that obligation is fulfilled. The total contract liability for future obligations is included in deferred pre-need cemetery and mortuary contract revenues on the consolidated balance sheets and, as of December 31, 2025 and 2024, the balances were $22,991,603 and $20,168,405,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two types of future obligations are as follows:</w:t>
      </w:r>
    </w:p>
    <w:p>
      <w:pPr>
        <w:spacing w:after="0" w:line="2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Pre-need Merchandise and Service Revenue</w:t>
      </w:r>
      <w:r>
        <w:rPr>
          <w:rFonts w:ascii="Times New Roman" w:cs="Times New Roman" w:eastAsia="Times New Roman" w:hAnsi="Times New Roman"/>
          <w:sz w:val="18"/>
          <w:szCs w:val="18"/>
          <w:color w:val="auto"/>
        </w:rPr>
        <w:t>: All pre-need merchandise and service revenue are deferred, and the funds are placed in trust until the need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arises; the merchandise is received, or the service is performed. The trust is then relieved, and the revenue and commissions are recognized. Pre-need contracts are required to be paid in full prior to a customer using a good or service from a pre-need contract. Goods and services from pre-need contracts can be transferred when paid in full from one owner to another. In such cases, the Company will act as an agent in transferring the requested goods and services. The transfer of goods and services does not fulfill the contract and revenue remains deferred. As of December 31, 2025 and 2024, the balances were $22,177,345 and $19,511,868, respectively.</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At-need Specialty Merchandise Revenue</w:t>
      </w:r>
      <w:r>
        <w:rPr>
          <w:rFonts w:ascii="Times New Roman" w:cs="Times New Roman" w:eastAsia="Times New Roman" w:hAnsi="Times New Roman"/>
          <w:sz w:val="18"/>
          <w:szCs w:val="18"/>
          <w:color w:val="auto"/>
        </w:rPr>
        <w:t>: At-need specialty merchandise revenue consists of customizable merchandise ordered from manufacturers such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markers and bases. When specialty merchandise is ordered, it can take time to manufacture and deliver the product. Revenue is deferred until the at-need merchandise is received. As of December 31, 2025 and 2024, the balances were $814,258 and $656,537, respectively. Deferred revenue for at-need specialty revenue is not placed in trust.</w:t>
      </w:r>
    </w:p>
    <w:p>
      <w:pPr>
        <w:spacing w:after="0" w:line="1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Complete payment does not constitute fulfillment of the contract. Goods or services are deferred until such a time the service is performed, or merchandise is received.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7" w:lineRule="exact"/>
        <w:rPr>
          <w:sz w:val="20"/>
          <w:szCs w:val="20"/>
          <w:color w:val="auto"/>
        </w:rPr>
      </w:pPr>
    </w:p>
    <w:p>
      <w:pPr>
        <w:ind w:left="660" w:hanging="652"/>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Receivables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opening and closing balances of the Company’s receivables, contract assets and contract liabilities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Contract Balances</w:t>
            </w: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29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gridSpan w:val="2"/>
          </w:tcPr>
          <w:p>
            <w:pPr>
              <w:jc w:val="right"/>
              <w:ind w:right="481"/>
              <w:spacing w:after="0"/>
              <w:rPr>
                <w:sz w:val="20"/>
                <w:szCs w:val="20"/>
                <w:color w:val="auto"/>
              </w:rPr>
            </w:pPr>
            <w:r>
              <w:rPr>
                <w:rFonts w:ascii="Times New Roman" w:cs="Times New Roman" w:eastAsia="Times New Roman" w:hAnsi="Times New Roman"/>
                <w:sz w:val="18"/>
                <w:szCs w:val="18"/>
                <w:color w:val="auto"/>
              </w:rPr>
              <w:t>Receivables (1)</w:t>
            </w:r>
          </w:p>
        </w:tc>
        <w:tc>
          <w:tcPr>
            <w:tcW w:w="160" w:type="dxa"/>
            <w:vAlign w:val="bottom"/>
          </w:tcPr>
          <w:p>
            <w:pPr>
              <w:spacing w:after="0"/>
              <w:rPr>
                <w:sz w:val="19"/>
                <w:szCs w:val="19"/>
                <w:color w:val="auto"/>
              </w:rPr>
            </w:pPr>
          </w:p>
        </w:tc>
        <w:tc>
          <w:tcPr>
            <w:tcW w:w="1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Contract Asset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Contract Liability</w:t>
            </w:r>
          </w:p>
        </w:tc>
        <w:tc>
          <w:tcPr>
            <w:tcW w:w="80" w:type="dxa"/>
            <w:vAlign w:val="bottom"/>
          </w:tcPr>
          <w:p>
            <w:pPr>
              <w:spacing w:after="0"/>
              <w:rPr>
                <w:sz w:val="19"/>
                <w:szCs w:val="19"/>
                <w:color w:val="auto"/>
              </w:rPr>
            </w:pPr>
          </w:p>
        </w:tc>
      </w:tr>
      <w:tr>
        <w:trPr>
          <w:trHeight w:val="209"/>
        </w:trPr>
        <w:tc>
          <w:tcPr>
            <w:tcW w:w="2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Opening (12/31/2024)</w:t>
            </w:r>
          </w:p>
        </w:tc>
        <w:tc>
          <w:tcPr>
            <w:tcW w:w="1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7,095,589</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ind w:left="1480"/>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20,168,405</w:t>
            </w: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Closing (12/31/2025)</w:t>
            </w: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6,981,676</w:t>
            </w:r>
          </w:p>
        </w:tc>
        <w:tc>
          <w:tcPr>
            <w:tcW w:w="160" w:type="dxa"/>
            <w:vAlign w:val="bottom"/>
          </w:tcPr>
          <w:p>
            <w:pPr>
              <w:spacing w:after="0"/>
              <w:rPr>
                <w:sz w:val="19"/>
                <w:szCs w:val="19"/>
                <w:color w:val="auto"/>
              </w:rPr>
            </w:pPr>
          </w:p>
        </w:tc>
        <w:tc>
          <w:tcPr>
            <w:tcW w:w="170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22,991,603</w:t>
            </w:r>
          </w:p>
        </w:tc>
      </w:tr>
      <w:tr>
        <w:trPr>
          <w:trHeight w:val="223"/>
        </w:trPr>
        <w:tc>
          <w:tcPr>
            <w:tcW w:w="2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Increase/(decrease)</w:t>
            </w:r>
          </w:p>
        </w:tc>
        <w:tc>
          <w:tcPr>
            <w:tcW w:w="13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(113,913</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ind w:left="1480"/>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2,823,198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6"/>
        </w:trPr>
        <w:tc>
          <w:tcPr>
            <w:tcW w:w="2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Contract Balances</w:t>
            </w: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r>
        <w:trPr>
          <w:trHeight w:val="223"/>
        </w:trPr>
        <w:tc>
          <w:tcPr>
            <w:tcW w:w="29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gridSpan w:val="2"/>
          </w:tcPr>
          <w:p>
            <w:pPr>
              <w:jc w:val="right"/>
              <w:ind w:right="481"/>
              <w:spacing w:after="0"/>
              <w:rPr>
                <w:sz w:val="20"/>
                <w:szCs w:val="20"/>
                <w:color w:val="auto"/>
              </w:rPr>
            </w:pPr>
            <w:r>
              <w:rPr>
                <w:rFonts w:ascii="Times New Roman" w:cs="Times New Roman" w:eastAsia="Times New Roman" w:hAnsi="Times New Roman"/>
                <w:sz w:val="18"/>
                <w:szCs w:val="18"/>
                <w:color w:val="auto"/>
              </w:rPr>
              <w:t>Receivables (1)</w:t>
            </w:r>
          </w:p>
        </w:tc>
        <w:tc>
          <w:tcPr>
            <w:tcW w:w="160" w:type="dxa"/>
            <w:vAlign w:val="bottom"/>
          </w:tcPr>
          <w:p>
            <w:pPr>
              <w:spacing w:after="0"/>
              <w:rPr>
                <w:sz w:val="19"/>
                <w:szCs w:val="19"/>
                <w:color w:val="auto"/>
              </w:rPr>
            </w:pPr>
          </w:p>
        </w:tc>
        <w:tc>
          <w:tcPr>
            <w:tcW w:w="1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Contract Asset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Contract Liability</w:t>
            </w:r>
          </w:p>
        </w:tc>
      </w:tr>
      <w:tr>
        <w:trPr>
          <w:trHeight w:val="209"/>
        </w:trPr>
        <w:tc>
          <w:tcPr>
            <w:tcW w:w="2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Opening (12/31/2023)</w:t>
            </w:r>
          </w:p>
        </w:tc>
        <w:tc>
          <w:tcPr>
            <w:tcW w:w="1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6,321,573</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tcBorders>
            <w:shd w:val="clear" w:color="auto" w:fill="CCEEFF"/>
          </w:tcPr>
          <w:p>
            <w:pPr>
              <w:ind w:left="1480"/>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18,237,246</w:t>
            </w: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Closing (12/31/2024)</w:t>
            </w: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7,095,589</w:t>
            </w:r>
          </w:p>
        </w:tc>
        <w:tc>
          <w:tcPr>
            <w:tcW w:w="160" w:type="dxa"/>
            <w:vAlign w:val="bottom"/>
          </w:tcPr>
          <w:p>
            <w:pPr>
              <w:spacing w:after="0"/>
              <w:rPr>
                <w:sz w:val="19"/>
                <w:szCs w:val="19"/>
                <w:color w:val="auto"/>
              </w:rPr>
            </w:pPr>
          </w:p>
        </w:tc>
        <w:tc>
          <w:tcPr>
            <w:tcW w:w="170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20,168,405</w:t>
            </w:r>
          </w:p>
        </w:tc>
      </w:tr>
      <w:tr>
        <w:trPr>
          <w:trHeight w:val="223"/>
        </w:trPr>
        <w:tc>
          <w:tcPr>
            <w:tcW w:w="2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Increase/(decrease)</w:t>
            </w:r>
          </w:p>
        </w:tc>
        <w:tc>
          <w:tcPr>
            <w:tcW w:w="13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774,016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ind w:left="1480"/>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1,931,159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Included in Receivables, net on the consolidated balance sheets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disaggregates the opening and closing balances of the Company’s contract balances.</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Pre-need merchandise and services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At-need specialty merchandise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Pre-need land sales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Opening (12/31/2024)</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Contract Balances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Contract Asset</w:t>
            </w: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Contract Liability</w:t>
            </w:r>
          </w:p>
        </w:tc>
        <w:tc>
          <w:tcPr>
            <w:tcW w:w="20" w:type="dxa"/>
            <w:vAlign w:val="bottom"/>
          </w:tcPr>
          <w:p>
            <w:pPr>
              <w:spacing w:after="0"/>
              <w:rPr>
                <w:sz w:val="19"/>
                <w:szCs w:val="19"/>
                <w:color w:val="auto"/>
              </w:rPr>
            </w:pPr>
          </w:p>
        </w:tc>
      </w:tr>
      <w:tr>
        <w:trPr>
          <w:trHeight w:val="191"/>
        </w:trPr>
        <w:tc>
          <w:tcPr>
            <w:tcW w:w="20" w:type="dxa"/>
            <w:vAlign w:val="bottom"/>
          </w:tcPr>
          <w:p>
            <w:pPr>
              <w:spacing w:after="0"/>
              <w:rPr>
                <w:sz w:val="16"/>
                <w:szCs w:val="16"/>
                <w:color w:val="auto"/>
              </w:rPr>
            </w:pPr>
          </w:p>
        </w:tc>
        <w:tc>
          <w:tcPr>
            <w:tcW w:w="180" w:type="dxa"/>
            <w:vAlign w:val="bottom"/>
            <w:tcBorders>
              <w:top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tcBorders>
              <w:top w:val="single" w:sz="8" w:color="auto"/>
            </w:tcBorders>
          </w:tcPr>
          <w:p>
            <w:pPr>
              <w:ind w:left="1420"/>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19,511,868</w:t>
            </w:r>
          </w:p>
        </w:tc>
        <w:tc>
          <w:tcPr>
            <w:tcW w:w="20" w:type="dxa"/>
            <w:vAlign w:val="bottom"/>
          </w:tcPr>
          <w:p>
            <w:pPr>
              <w:spacing w:after="0"/>
              <w:rPr>
                <w:sz w:val="16"/>
                <w:szCs w:val="16"/>
                <w:color w:val="auto"/>
              </w:rPr>
            </w:pPr>
          </w:p>
        </w:tc>
      </w:tr>
      <w:tr>
        <w:trPr>
          <w:trHeight w:val="230"/>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656,537</w:t>
            </w:r>
          </w:p>
        </w:tc>
      </w:tr>
      <w:tr>
        <w:trPr>
          <w:trHeight w:val="234"/>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tcBorders>
              <w:top w:val="single" w:sz="8" w:color="auto"/>
              <w:bottom w:val="single" w:sz="8" w:color="auto"/>
            </w:tcBorders>
          </w:tcPr>
          <w:p>
            <w:pPr>
              <w:ind w:left="1420"/>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20,168,405</w:t>
            </w:r>
          </w:p>
        </w:tc>
      </w:tr>
      <w:tr>
        <w:trPr>
          <w:trHeight w:val="20"/>
        </w:trPr>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-3321685</wp:posOffset>
            </wp:positionH>
            <wp:positionV relativeFrom="paragraph">
              <wp:posOffset>-607695</wp:posOffset>
            </wp:positionV>
            <wp:extent cx="5700395" cy="1454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00395" cy="14541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-325120</wp:posOffset>
            </wp:positionV>
            <wp:extent cx="5700395" cy="1454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520" w:space="720"/>
            <w:col w:w="6000"/>
          </w:cols>
          <w:pgMar w:left="320" w:top="688"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38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Pre-need merchandise and services</w:t>
            </w:r>
          </w:p>
        </w:tc>
        <w:tc>
          <w:tcPr>
            <w:tcW w:w="2200" w:type="dxa"/>
            <w:vAlign w:val="bottom"/>
            <w:gridSpan w:val="2"/>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22,177,345</w:t>
            </w: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At-need specialty merchandise</w:t>
            </w:r>
          </w:p>
        </w:tc>
        <w:tc>
          <w:tcPr>
            <w:tcW w:w="1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814,258</w:t>
            </w:r>
          </w:p>
        </w:tc>
      </w:tr>
      <w:tr>
        <w:trPr>
          <w:trHeight w:val="230"/>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Pre-need land sales</w:t>
            </w:r>
          </w:p>
        </w:tc>
        <w:tc>
          <w:tcPr>
            <w:tcW w:w="1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Closing (12/31/2025)</w:t>
            </w: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22,991,603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8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688" w:right="339" w:bottom="1440" w:gutter="0" w:footer="0" w:header="0"/>
          <w:type w:val="continuous"/>
        </w:sect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Pre-need merchandise and services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At-need specialty merchandise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Pre-need land sales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Opening (12/31/2023)</w:t>
      </w:r>
    </w:p>
    <w:p>
      <w:pPr>
        <w:spacing w:after="0" w:line="20" w:lineRule="exact"/>
        <w:rPr>
          <w:sz w:val="20"/>
          <w:szCs w:val="20"/>
          <w:color w:val="auto"/>
        </w:rPr>
      </w:pPr>
      <w:r>
        <w:rPr>
          <w:sz w:val="20"/>
          <w:szCs w:val="20"/>
          <w:color w:val="auto"/>
        </w:rPr>
        <w:br w:type="column"/>
      </w:r>
    </w:p>
    <w:p>
      <w:pPr>
        <w:jc w:val="center"/>
        <w:ind w:right="2340"/>
        <w:spacing w:after="0"/>
        <w:rPr>
          <w:sz w:val="20"/>
          <w:szCs w:val="20"/>
          <w:color w:val="auto"/>
        </w:rPr>
      </w:pPr>
      <w:r>
        <w:rPr>
          <w:rFonts w:ascii="Times New Roman" w:cs="Times New Roman" w:eastAsia="Times New Roman" w:hAnsi="Times New Roman"/>
          <w:sz w:val="18"/>
          <w:szCs w:val="18"/>
          <w:color w:val="auto"/>
        </w:rPr>
        <w:t>Contract Balances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Contract Asset</w:t>
            </w: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Contract Liability</w:t>
            </w:r>
          </w:p>
        </w:tc>
        <w:tc>
          <w:tcPr>
            <w:tcW w:w="20" w:type="dxa"/>
            <w:vAlign w:val="bottom"/>
          </w:tcPr>
          <w:p>
            <w:pPr>
              <w:spacing w:after="0"/>
              <w:rPr>
                <w:sz w:val="19"/>
                <w:szCs w:val="19"/>
                <w:color w:val="auto"/>
              </w:rPr>
            </w:pPr>
          </w:p>
        </w:tc>
      </w:tr>
      <w:tr>
        <w:trPr>
          <w:trHeight w:val="191"/>
        </w:trPr>
        <w:tc>
          <w:tcPr>
            <w:tcW w:w="20" w:type="dxa"/>
            <w:vAlign w:val="bottom"/>
          </w:tcPr>
          <w:p>
            <w:pPr>
              <w:spacing w:after="0"/>
              <w:rPr>
                <w:sz w:val="16"/>
                <w:szCs w:val="16"/>
                <w:color w:val="auto"/>
              </w:rPr>
            </w:pPr>
          </w:p>
        </w:tc>
        <w:tc>
          <w:tcPr>
            <w:tcW w:w="180" w:type="dxa"/>
            <w:vAlign w:val="bottom"/>
            <w:tcBorders>
              <w:top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tcBorders>
              <w:top w:val="single" w:sz="8" w:color="auto"/>
            </w:tcBorders>
          </w:tcPr>
          <w:p>
            <w:pPr>
              <w:ind w:left="1420"/>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17,424,764</w:t>
            </w:r>
          </w:p>
        </w:tc>
        <w:tc>
          <w:tcPr>
            <w:tcW w:w="20" w:type="dxa"/>
            <w:vAlign w:val="bottom"/>
          </w:tcPr>
          <w:p>
            <w:pPr>
              <w:spacing w:after="0"/>
              <w:rPr>
                <w:sz w:val="16"/>
                <w:szCs w:val="16"/>
                <w:color w:val="auto"/>
              </w:rPr>
            </w:pPr>
          </w:p>
        </w:tc>
      </w:tr>
      <w:tr>
        <w:trPr>
          <w:trHeight w:val="230"/>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812,482</w:t>
            </w:r>
          </w:p>
        </w:tc>
      </w:tr>
      <w:tr>
        <w:trPr>
          <w:trHeight w:val="234"/>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tcBorders>
              <w:top w:val="single" w:sz="8" w:color="auto"/>
              <w:bottom w:val="single" w:sz="8" w:color="auto"/>
            </w:tcBorders>
          </w:tcPr>
          <w:p>
            <w:pPr>
              <w:ind w:left="1420"/>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18,237,246</w:t>
            </w:r>
          </w:p>
        </w:tc>
      </w:tr>
      <w:tr>
        <w:trPr>
          <w:trHeight w:val="20"/>
        </w:trPr>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-3321685</wp:posOffset>
            </wp:positionH>
            <wp:positionV relativeFrom="paragraph">
              <wp:posOffset>-607695</wp:posOffset>
            </wp:positionV>
            <wp:extent cx="5700395" cy="146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00395" cy="14605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-325120</wp:posOffset>
            </wp:positionV>
            <wp:extent cx="5700395" cy="146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520" w:space="720"/>
            <w:col w:w="6000"/>
          </w:cols>
          <w:pgMar w:left="320" w:top="688"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38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60" w:type="dxa"/>
            <w:vAlign w:val="bottom"/>
          </w:tcPr>
          <w:p>
            <w:pPr>
              <w:spacing w:after="0"/>
              <w:rPr>
                <w:sz w:val="17"/>
                <w:szCs w:val="17"/>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Pre-need merchandise and services</w:t>
            </w:r>
          </w:p>
        </w:tc>
        <w:tc>
          <w:tcPr>
            <w:tcW w:w="15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19,511,868</w:t>
            </w:r>
          </w:p>
        </w:tc>
        <w:tc>
          <w:tcPr>
            <w:tcW w:w="226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At-need specialty merchandise</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656,537</w:t>
            </w:r>
          </w:p>
        </w:tc>
        <w:tc>
          <w:tcPr>
            <w:tcW w:w="2260" w:type="dxa"/>
            <w:vAlign w:val="bottom"/>
          </w:tcPr>
          <w:p>
            <w:pPr>
              <w:spacing w:after="0"/>
              <w:rPr>
                <w:sz w:val="18"/>
                <w:szCs w:val="18"/>
                <w:color w:val="auto"/>
              </w:rPr>
            </w:pPr>
          </w:p>
        </w:tc>
      </w:tr>
      <w:tr>
        <w:trPr>
          <w:trHeight w:val="229"/>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Pre-need land sales</w:t>
            </w: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spacing w:after="0"/>
              <w:rPr>
                <w:sz w:val="19"/>
                <w:szCs w:val="19"/>
                <w:color w:val="auto"/>
              </w:rPr>
            </w:pPr>
          </w:p>
        </w:tc>
      </w:tr>
      <w:tr>
        <w:trPr>
          <w:trHeight w:val="223"/>
        </w:trPr>
        <w:tc>
          <w:tcPr>
            <w:tcW w:w="3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Closing (12/31/2024)</w:t>
            </w: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bottom w:val="single" w:sz="8" w:color="auto"/>
            </w:tcBorders>
            <w:shd w:val="clear" w:color="auto" w:fill="CCEEFF"/>
          </w:tcPr>
          <w:p>
            <w:pPr>
              <w:ind w:left="1440"/>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20,168,405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60" w:type="dxa"/>
            <w:vAlign w:val="bottom"/>
          </w:tcPr>
          <w:p>
            <w:pPr>
              <w:spacing w:after="0"/>
              <w:rPr>
                <w:sz w:val="19"/>
                <w:szCs w:val="19"/>
                <w:color w:val="auto"/>
              </w:rPr>
            </w:pPr>
          </w:p>
        </w:tc>
      </w:tr>
      <w:tr>
        <w:trPr>
          <w:trHeight w:val="20"/>
        </w:trPr>
        <w:tc>
          <w:tcPr>
            <w:tcW w:w="38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419"/>
        </w:trPr>
        <w:tc>
          <w:tcPr>
            <w:tcW w:w="38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type w:val="continuous"/>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7" w:lineRule="exact"/>
        <w:rPr>
          <w:sz w:val="20"/>
          <w:szCs w:val="20"/>
          <w:color w:val="auto"/>
        </w:rPr>
      </w:pPr>
    </w:p>
    <w:p>
      <w:pPr>
        <w:ind w:left="660" w:hanging="652"/>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Receivables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amount of revenue recognized for 2025, and 2024 that was included in the opening contract liability balance was $4,806,347 and $5,324,668,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difference between the opening and closing balances of the Company’s contract assets and contract liabilities primarily results from the timing difference between the Company’s performance and the customer’s payment.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Disaggregation of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disaggregates revenue for the Company’s cemetery and mortuary contracts.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80" w:type="dxa"/>
            <w:vAlign w:val="bottom"/>
            <w:gridSpan w:val="6"/>
          </w:tcPr>
          <w:p>
            <w:pPr>
              <w:ind w:left="200"/>
              <w:spacing w:after="0"/>
              <w:rPr>
                <w:sz w:val="20"/>
                <w:szCs w:val="20"/>
                <w:color w:val="auto"/>
              </w:rPr>
            </w:pPr>
            <w:r>
              <w:rPr>
                <w:rFonts w:ascii="Times New Roman" w:cs="Times New Roman" w:eastAsia="Times New Roman" w:hAnsi="Times New Roman"/>
                <w:sz w:val="18"/>
                <w:szCs w:val="18"/>
                <w:color w:val="auto"/>
              </w:rPr>
              <w:t>Years Ended December 31</w:t>
            </w:r>
          </w:p>
        </w:tc>
      </w:tr>
      <w:tr>
        <w:trPr>
          <w:trHeight w:val="223"/>
        </w:trPr>
        <w:tc>
          <w:tcPr>
            <w:tcW w:w="186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60" w:type="dxa"/>
            <w:vAlign w:val="bottom"/>
            <w:tcBorders>
              <w:bottom w:val="single" w:sz="8" w:color="CCEEFF"/>
            </w:tcBorders>
          </w:tcPr>
          <w:p>
            <w:pPr>
              <w:spacing w:after="0"/>
              <w:rPr>
                <w:sz w:val="19"/>
                <w:szCs w:val="19"/>
                <w:color w:val="auto"/>
              </w:rPr>
            </w:pPr>
          </w:p>
        </w:tc>
      </w:tr>
      <w:tr>
        <w:trPr>
          <w:trHeight w:val="189"/>
        </w:trPr>
        <w:tc>
          <w:tcPr>
            <w:tcW w:w="3800" w:type="dxa"/>
            <w:vAlign w:val="bottom"/>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Major goods/service lines</w:t>
            </w:r>
          </w:p>
        </w:tc>
        <w:tc>
          <w:tcPr>
            <w:tcW w:w="10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16"/>
        </w:trPr>
        <w:tc>
          <w:tcPr>
            <w:tcW w:w="1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At-need</w:t>
            </w:r>
          </w:p>
        </w:tc>
        <w:tc>
          <w:tcPr>
            <w:tcW w:w="1940" w:type="dxa"/>
            <w:vAlign w:val="bottom"/>
            <w:tcBorders>
              <w:top w:val="single" w:sz="8" w:color="CCEEFF"/>
            </w:tcBorders>
            <w:gridSpan w:val="2"/>
          </w:tcPr>
          <w:p>
            <w:pPr>
              <w:spacing w:after="0"/>
              <w:rPr>
                <w:sz w:val="18"/>
                <w:szCs w:val="18"/>
                <w:color w:val="auto"/>
              </w:rPr>
            </w:pPr>
          </w:p>
        </w:tc>
        <w:tc>
          <w:tcPr>
            <w:tcW w:w="1380" w:type="dxa"/>
            <w:vAlign w:val="bottom"/>
            <w:tcBorders>
              <w:top w:val="single" w:sz="8" w:color="CCEEFF"/>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21,300,289</w:t>
            </w:r>
          </w:p>
        </w:tc>
        <w:tc>
          <w:tcPr>
            <w:tcW w:w="400" w:type="dxa"/>
            <w:vAlign w:val="bottom"/>
            <w:tcBorders>
              <w:top w:val="single" w:sz="8" w:color="CCEEFF"/>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19,989,995</w:t>
            </w:r>
          </w:p>
        </w:tc>
      </w:tr>
      <w:tr>
        <w:trPr>
          <w:trHeight w:val="229"/>
        </w:trPr>
        <w:tc>
          <w:tcPr>
            <w:tcW w:w="3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Pre-need</w:t>
            </w: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7,404,161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9,047,178</w:t>
            </w:r>
          </w:p>
        </w:tc>
      </w:tr>
      <w:tr>
        <w:trPr>
          <w:trHeight w:val="263"/>
        </w:trPr>
        <w:tc>
          <w:tcPr>
            <w:tcW w:w="186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28,704,450</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29,037,173</w:t>
            </w:r>
          </w:p>
        </w:tc>
        <w:tc>
          <w:tcPr>
            <w:tcW w:w="60" w:type="dxa"/>
            <w:vAlign w:val="bottom"/>
            <w:tcBorders>
              <w:bottom w:val="single" w:sz="8" w:color="CCEEFF"/>
            </w:tcBorders>
          </w:tcPr>
          <w:p>
            <w:pPr>
              <w:spacing w:after="0"/>
              <w:rPr>
                <w:sz w:val="22"/>
                <w:szCs w:val="22"/>
                <w:color w:val="auto"/>
              </w:rPr>
            </w:pPr>
          </w:p>
        </w:tc>
      </w:tr>
      <w:tr>
        <w:trPr>
          <w:trHeight w:val="196"/>
        </w:trPr>
        <w:tc>
          <w:tcPr>
            <w:tcW w:w="1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76"/>
        </w:trPr>
        <w:tc>
          <w:tcPr>
            <w:tcW w:w="38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Timing of Revenue Recognition</w:t>
            </w: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
        </w:trPr>
        <w:tc>
          <w:tcPr>
            <w:tcW w:w="186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3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Goods transferred at a point in time</w:t>
            </w:r>
          </w:p>
        </w:tc>
        <w:tc>
          <w:tcPr>
            <w:tcW w:w="13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17,979,697</w:t>
            </w:r>
          </w:p>
        </w:tc>
        <w:tc>
          <w:tcPr>
            <w:tcW w:w="4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18,147,136</w:t>
            </w:r>
          </w:p>
        </w:tc>
      </w:tr>
      <w:tr>
        <w:trPr>
          <w:trHeight w:val="229"/>
        </w:trPr>
        <w:tc>
          <w:tcPr>
            <w:tcW w:w="3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Services transferred at a point in time</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10,724,753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10,890,037</w:t>
            </w:r>
          </w:p>
        </w:tc>
      </w:tr>
      <w:tr>
        <w:trPr>
          <w:trHeight w:val="223"/>
        </w:trPr>
        <w:tc>
          <w:tcPr>
            <w:tcW w:w="186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148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28,704,450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29,037,173</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Judgments and Estimates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cemetery and mortuary segment recognizes revenue on future performance obligations when goods are delivered and when services are performed and is not determined by the terms or payments of the contract as long as any good or service is paid in full prior to delivery. Prices are determined based on the market at the time a contract is created. Goods or services are not partially completed. There are no significant judgements, estimations, or allocation methods for when revenue should be recognized.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Practical Expedients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not elected to use any of the practical expedients.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7" w:lineRule="exact"/>
        <w:rPr>
          <w:sz w:val="20"/>
          <w:szCs w:val="20"/>
          <w:color w:val="auto"/>
        </w:rPr>
      </w:pPr>
    </w:p>
    <w:p>
      <w:pPr>
        <w:ind w:left="660" w:hanging="652"/>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Receivables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Costs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cemetery and mortuary segment defer certain costs associated with obtaining a contract on future obligations.</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Pre-need Merchandise and Service Revenue</w:t>
      </w:r>
      <w:r>
        <w:rPr>
          <w:rFonts w:ascii="Times New Roman" w:cs="Times New Roman" w:eastAsia="Times New Roman" w:hAnsi="Times New Roman"/>
          <w:sz w:val="18"/>
          <w:szCs w:val="18"/>
          <w:color w:val="auto"/>
        </w:rPr>
        <w:t>: Pre-need merchandise and service revenues are deferred until the goods or services are delivered. Recognition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 be years until the obligations are satisfied. Commissions and other costs are capitalized and deferred until the obligation is satisfied. Other costs include rent on pre-need offices and training rooms, and call center costs. Costs that are allocated based on a percentage include family service advisor compensation, bonuses, utilities, and supplies that are all used to procure a pre-need sale.</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At-need Specialty Merchandise Revenue</w:t>
      </w:r>
      <w:r>
        <w:rPr>
          <w:rFonts w:ascii="Times New Roman" w:cs="Times New Roman" w:eastAsia="Times New Roman" w:hAnsi="Times New Roman"/>
          <w:sz w:val="18"/>
          <w:szCs w:val="18"/>
          <w:color w:val="auto"/>
        </w:rPr>
        <w:t>: At-need specialty merchandise is ordered from a third-party manufacturer. Generally, at-need specialty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merchandise is ordered and received within 90 days of order. These orders are also short-term in nature and are deferred until the product is received from the manufacturer and the obligation is satisfied.</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disaggregates contract costs that are included in the deferred policy and pre-need contract acquisition costs on the consolidated balances sheets.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8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color w:val="auto"/>
              </w:rPr>
              <w:t>Years Ended December 31</w:t>
            </w:r>
          </w:p>
        </w:tc>
        <w:tc>
          <w:tcPr>
            <w:tcW w:w="3380" w:type="dxa"/>
            <w:vAlign w:val="bottom"/>
          </w:tcPr>
          <w:p>
            <w:pPr>
              <w:spacing w:after="0"/>
              <w:rPr>
                <w:sz w:val="20"/>
                <w:szCs w:val="20"/>
                <w:color w:val="auto"/>
              </w:rPr>
            </w:pPr>
          </w:p>
        </w:tc>
      </w:tr>
      <w:tr>
        <w:trPr>
          <w:trHeight w:val="223"/>
        </w:trPr>
        <w:tc>
          <w:tcPr>
            <w:tcW w:w="37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3380" w:type="dxa"/>
            <w:vAlign w:val="bottom"/>
          </w:tcPr>
          <w:p>
            <w:pPr>
              <w:spacing w:after="0"/>
              <w:rPr>
                <w:sz w:val="19"/>
                <w:szCs w:val="19"/>
                <w:color w:val="auto"/>
              </w:rPr>
            </w:pPr>
          </w:p>
        </w:tc>
      </w:tr>
      <w:tr>
        <w:trPr>
          <w:trHeight w:val="209"/>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Pre-need merchandise and services</w:t>
            </w: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4,321,822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4,113,793</w:t>
            </w:r>
          </w:p>
        </w:tc>
        <w:tc>
          <w:tcPr>
            <w:tcW w:w="3380" w:type="dxa"/>
            <w:vAlign w:val="bottom"/>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At-need specialty merchandise</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15,807</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11,268</w:t>
            </w:r>
          </w:p>
        </w:tc>
        <w:tc>
          <w:tcPr>
            <w:tcW w:w="3380" w:type="dxa"/>
            <w:vAlign w:val="bottom"/>
          </w:tcPr>
          <w:p>
            <w:pPr>
              <w:spacing w:after="0"/>
              <w:rPr>
                <w:sz w:val="18"/>
                <w:szCs w:val="18"/>
                <w:color w:val="auto"/>
              </w:rPr>
            </w:pPr>
          </w:p>
        </w:tc>
      </w:tr>
      <w:tr>
        <w:trPr>
          <w:trHeight w:val="229"/>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Pre-need land sales</w:t>
            </w:r>
          </w:p>
        </w:tc>
        <w:tc>
          <w:tcPr>
            <w:tcW w:w="1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380" w:type="dxa"/>
            <w:vAlign w:val="bottom"/>
          </w:tcPr>
          <w:p>
            <w:pPr>
              <w:spacing w:after="0"/>
              <w:rPr>
                <w:sz w:val="19"/>
                <w:szCs w:val="19"/>
                <w:color w:val="auto"/>
              </w:rPr>
            </w:pPr>
          </w:p>
        </w:tc>
      </w:tr>
      <w:tr>
        <w:trPr>
          <w:trHeight w:val="223"/>
        </w:trPr>
        <w:tc>
          <w:tcPr>
            <w:tcW w:w="37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4,337,629</w:t>
            </w:r>
          </w:p>
        </w:tc>
        <w:tc>
          <w:tcPr>
            <w:tcW w:w="2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4,125,061</w:t>
            </w:r>
          </w:p>
        </w:tc>
        <w:tc>
          <w:tcPr>
            <w:tcW w:w="3380" w:type="dxa"/>
            <w:vAlign w:val="bottom"/>
          </w:tcPr>
          <w:p>
            <w:pPr>
              <w:spacing w:after="0"/>
              <w:rPr>
                <w:sz w:val="19"/>
                <w:szCs w:val="19"/>
                <w:color w:val="auto"/>
              </w:rPr>
            </w:pPr>
          </w:p>
        </w:tc>
      </w:tr>
      <w:tr>
        <w:trPr>
          <w:trHeight w:val="20"/>
        </w:trPr>
        <w:tc>
          <w:tcPr>
            <w:tcW w:w="3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413"/>
        </w:trPr>
        <w:tc>
          <w:tcPr>
            <w:tcW w:w="37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7" w:lineRule="exact"/>
        <w:rPr>
          <w:sz w:val="20"/>
          <w:szCs w:val="20"/>
          <w:color w:val="auto"/>
        </w:rPr>
      </w:pPr>
    </w:p>
    <w:p>
      <w:pPr>
        <w:ind w:left="660" w:hanging="652"/>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Assets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established certain restricted assets to provide for future merchandise and service obligations incurred in connection with its pre-need sales for its cemetery and mortuary segment.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Restricted cash also represents escrows held for borrowers and investors under servicing and appraisal agreements relating to mortgage loans, funds held by warehouse banks in accordance with loan purchase agreements and funds held in escrow for certain real estate construction development projects. Additionally, the Company elected to maintain its medical benefit fund without change from the prior year and has included this amount as a component of restricted cash. These restricted cash items are for the Company’s life insurance and mortgage segments.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assets as of December 31, 2025 are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9"/>
              </w:rPr>
              <w:t>Gross</w:t>
            </w:r>
          </w:p>
        </w:tc>
        <w:tc>
          <w:tcPr>
            <w:tcW w:w="180" w:type="dxa"/>
            <w:vAlign w:val="bottom"/>
          </w:tcPr>
          <w:p>
            <w:pPr>
              <w:spacing w:after="0"/>
              <w:rPr>
                <w:sz w:val="18"/>
                <w:szCs w:val="18"/>
                <w:color w:val="auto"/>
              </w:rPr>
            </w:pPr>
          </w:p>
        </w:tc>
        <w:tc>
          <w:tcPr>
            <w:tcW w:w="134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color w:val="auto"/>
                <w:w w:val="99"/>
              </w:rPr>
              <w:t>Gross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Amortized</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8"/>
              </w:rPr>
              <w:t>Unrealized</w:t>
            </w:r>
          </w:p>
        </w:tc>
        <w:tc>
          <w:tcPr>
            <w:tcW w:w="180" w:type="dxa"/>
            <w:vAlign w:val="bottom"/>
          </w:tcPr>
          <w:p>
            <w:pPr>
              <w:spacing w:after="0"/>
              <w:rPr>
                <w:sz w:val="18"/>
                <w:szCs w:val="18"/>
                <w:color w:val="auto"/>
              </w:rPr>
            </w:pPr>
          </w:p>
        </w:tc>
        <w:tc>
          <w:tcPr>
            <w:tcW w:w="134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color w:val="auto"/>
              </w:rPr>
              <w:t>Unrealized</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Estimated</w:t>
            </w:r>
          </w:p>
        </w:tc>
      </w:tr>
      <w:tr>
        <w:trPr>
          <w:trHeight w:val="234"/>
        </w:trPr>
        <w:tc>
          <w:tcPr>
            <w:tcW w:w="14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Cost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9"/>
              </w:rPr>
              <w:t>Gains</w:t>
            </w:r>
          </w:p>
        </w:tc>
        <w:tc>
          <w:tcPr>
            <w:tcW w:w="180" w:type="dxa"/>
            <w:vAlign w:val="bottom"/>
          </w:tcPr>
          <w:p>
            <w:pPr>
              <w:spacing w:after="0"/>
              <w:rPr>
                <w:sz w:val="20"/>
                <w:szCs w:val="20"/>
                <w:color w:val="auto"/>
              </w:rPr>
            </w:pPr>
          </w:p>
        </w:tc>
        <w:tc>
          <w:tcPr>
            <w:tcW w:w="134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color w:val="auto"/>
                <w:w w:val="97"/>
              </w:rPr>
              <w:t>Losses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Fair Value</w:t>
            </w:r>
          </w:p>
        </w:tc>
      </w:tr>
      <w:tr>
        <w:trPr>
          <w:trHeight w:val="189"/>
        </w:trPr>
        <w:tc>
          <w:tcPr>
            <w:tcW w:w="148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9"/>
              </w:rPr>
              <w:t>December 31, 2025:</w:t>
            </w:r>
          </w:p>
        </w:tc>
        <w:tc>
          <w:tcPr>
            <w:tcW w:w="326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116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11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98"/>
        </w:trPr>
        <w:tc>
          <w:tcPr>
            <w:tcW w:w="47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Fixed maturity securities, available for sale, at estimated fair</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value:</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74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Government agencies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895,817</w:t>
            </w:r>
          </w:p>
        </w:tc>
        <w:tc>
          <w:tcPr>
            <w:tcW w:w="18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1,735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897,552</w:t>
            </w:r>
          </w:p>
        </w:tc>
      </w:tr>
      <w:tr>
        <w:trPr>
          <w:trHeight w:val="216"/>
        </w:trPr>
        <w:tc>
          <w:tcPr>
            <w:tcW w:w="4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228,512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124</w:t>
            </w:r>
          </w:p>
        </w:tc>
        <w:tc>
          <w:tcPr>
            <w:tcW w:w="180" w:type="dxa"/>
            <w:vAlign w:val="bottom"/>
          </w:tcPr>
          <w:p>
            <w:pPr>
              <w:spacing w:after="0"/>
              <w:rPr>
                <w:sz w:val="18"/>
                <w:szCs w:val="18"/>
                <w:color w:val="auto"/>
              </w:rPr>
            </w:pPr>
          </w:p>
        </w:tc>
        <w:tc>
          <w:tcPr>
            <w:tcW w:w="13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228,628</w:t>
            </w:r>
          </w:p>
        </w:tc>
      </w:tr>
      <w:tr>
        <w:trPr>
          <w:trHeight w:val="229"/>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securities including public utilities</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52,030</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(959)</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51,071</w:t>
            </w:r>
          </w:p>
        </w:tc>
      </w:tr>
      <w:tr>
        <w:trPr>
          <w:trHeight w:val="263"/>
        </w:trPr>
        <w:tc>
          <w:tcPr>
            <w:tcW w:w="474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fixed maturity securities available for sale</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1,176,359</w:t>
            </w:r>
          </w:p>
        </w:tc>
        <w:tc>
          <w:tcPr>
            <w:tcW w:w="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3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80" w:type="dxa"/>
            <w:vAlign w:val="bottom"/>
            <w:tcBorders>
              <w:bottom w:val="single" w:sz="8" w:color="CCEEFF"/>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1,177,251</w:t>
            </w:r>
          </w:p>
        </w:tc>
        <w:tc>
          <w:tcPr>
            <w:tcW w:w="100" w:type="dxa"/>
            <w:vAlign w:val="bottom"/>
            <w:tcBorders>
              <w:bottom w:val="single" w:sz="8" w:color="CCEEFF"/>
            </w:tcBorders>
          </w:tcPr>
          <w:p>
            <w:pPr>
              <w:spacing w:after="0"/>
              <w:rPr>
                <w:sz w:val="22"/>
                <w:szCs w:val="22"/>
                <w:color w:val="auto"/>
              </w:rPr>
            </w:pPr>
          </w:p>
        </w:tc>
      </w:tr>
      <w:tr>
        <w:trPr>
          <w:trHeight w:val="196"/>
        </w:trPr>
        <w:tc>
          <w:tcPr>
            <w:tcW w:w="1480" w:type="dxa"/>
            <w:vAlign w:val="bottom"/>
            <w:shd w:val="clear" w:color="auto" w:fill="CCEEFF"/>
          </w:tcPr>
          <w:p>
            <w:pPr>
              <w:spacing w:after="0"/>
              <w:rPr>
                <w:sz w:val="17"/>
                <w:szCs w:val="17"/>
                <w:color w:val="auto"/>
              </w:rPr>
            </w:pPr>
          </w:p>
        </w:tc>
        <w:tc>
          <w:tcPr>
            <w:tcW w:w="3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securities at estimated fair value:</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Industrial, miscellaneous and all other</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12,582,890</w:t>
            </w:r>
          </w:p>
        </w:tc>
        <w:tc>
          <w:tcPr>
            <w:tcW w:w="180" w:type="dxa"/>
            <w:vAlign w:val="bottom"/>
          </w:tcPr>
          <w:p>
            <w:pPr>
              <w:spacing w:after="0"/>
              <w:rPr>
                <w:sz w:val="19"/>
                <w:szCs w:val="19"/>
                <w:color w:val="auto"/>
              </w:rPr>
            </w:pPr>
          </w:p>
        </w:tc>
        <w:tc>
          <w:tcPr>
            <w:tcW w:w="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2,690,346</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(344,319)</w:t>
            </w:r>
          </w:p>
        </w:tc>
        <w:tc>
          <w:tcPr>
            <w:tcW w:w="3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14,928,917</w:t>
            </w:r>
          </w:p>
        </w:tc>
      </w:tr>
      <w:tr>
        <w:trPr>
          <w:trHeight w:val="223"/>
        </w:trPr>
        <w:tc>
          <w:tcPr>
            <w:tcW w:w="474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equity securities at estimated fair value</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12,582,890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2,690,346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(344,319</w:t>
            </w:r>
          </w:p>
        </w:tc>
        <w:tc>
          <w:tcPr>
            <w:tcW w:w="18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14,928,917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4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4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held for investment at amortized cost: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812,427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8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(1,625)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63"/>
        </w:trPr>
        <w:tc>
          <w:tcPr>
            <w:tcW w:w="47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mortgage loans held for investment</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810,802</w:t>
            </w:r>
          </w:p>
        </w:tc>
        <w:tc>
          <w:tcPr>
            <w:tcW w:w="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18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16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1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r>
      <w:tr>
        <w:trPr>
          <w:trHeight w:val="197"/>
        </w:trPr>
        <w:tc>
          <w:tcPr>
            <w:tcW w:w="1480" w:type="dxa"/>
            <w:vAlign w:val="bottom"/>
            <w:shd w:val="clear" w:color="auto" w:fill="CCEEFF"/>
          </w:tcPr>
          <w:p>
            <w:pPr>
              <w:spacing w:after="0"/>
              <w:rPr>
                <w:sz w:val="17"/>
                <w:szCs w:val="17"/>
                <w:color w:val="auto"/>
              </w:rPr>
            </w:pPr>
          </w:p>
        </w:tc>
        <w:tc>
          <w:tcPr>
            <w:tcW w:w="3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1,957,888</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480" w:type="dxa"/>
            <w:vAlign w:val="bottom"/>
            <w:tcBorders>
              <w:top w:val="single" w:sz="8" w:color="CCEEFF"/>
            </w:tcBorders>
            <w:shd w:val="clear" w:color="auto" w:fill="CCEEFF"/>
          </w:tcPr>
          <w:p>
            <w:pPr>
              <w:spacing w:after="0"/>
              <w:rPr>
                <w:sz w:val="17"/>
                <w:szCs w:val="17"/>
                <w:color w:val="auto"/>
              </w:rPr>
            </w:pPr>
          </w:p>
        </w:tc>
        <w:tc>
          <w:tcPr>
            <w:tcW w:w="3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83"/>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(1)</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9,919,800</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480" w:type="dxa"/>
            <w:vAlign w:val="bottom"/>
            <w:tcBorders>
              <w:top w:val="single" w:sz="8" w:color="CCEEFF"/>
            </w:tcBorders>
            <w:shd w:val="clear" w:color="auto" w:fill="CCEEFF"/>
          </w:tcPr>
          <w:p>
            <w:pPr>
              <w:spacing w:after="0"/>
              <w:rPr>
                <w:sz w:val="17"/>
                <w:szCs w:val="17"/>
                <w:color w:val="auto"/>
              </w:rPr>
            </w:pPr>
          </w:p>
        </w:tc>
        <w:tc>
          <w:tcPr>
            <w:tcW w:w="3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83"/>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11,288</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1480" w:type="dxa"/>
            <w:vAlign w:val="bottom"/>
            <w:tcBorders>
              <w:top w:val="single" w:sz="8" w:color="CCEEFF"/>
            </w:tcBorders>
            <w:shd w:val="clear" w:color="auto" w:fill="CCEEFF"/>
          </w:tcPr>
          <w:p>
            <w:pPr>
              <w:spacing w:after="0"/>
              <w:rPr>
                <w:sz w:val="17"/>
                <w:szCs w:val="17"/>
                <w:color w:val="auto"/>
              </w:rPr>
            </w:pPr>
          </w:p>
        </w:tc>
        <w:tc>
          <w:tcPr>
            <w:tcW w:w="3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43"/>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restricted assets</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28,805,946</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14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32" w:lineRule="exact"/>
        <w:rPr>
          <w:sz w:val="20"/>
          <w:szCs w:val="20"/>
          <w:color w:val="auto"/>
        </w:rPr>
      </w:pPr>
    </w:p>
    <w:p>
      <w:pPr>
        <w:ind w:left="5540" w:right="3940" w:hanging="5532"/>
        <w:spacing w:after="0" w:line="532" w:lineRule="auto"/>
        <w:tabs>
          <w:tab w:leader="none" w:pos="33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cash and cash equivalents of $8,383,847 for the life insurance and mortgage segments.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7" w:lineRule="exact"/>
        <w:rPr>
          <w:sz w:val="20"/>
          <w:szCs w:val="20"/>
          <w:color w:val="auto"/>
        </w:rPr>
      </w:pPr>
    </w:p>
    <w:p>
      <w:pPr>
        <w:ind w:left="660" w:hanging="652"/>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Assets</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assets as of December 31, 2024 are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9"/>
              </w:rPr>
              <w:t>Gross</w:t>
            </w:r>
          </w:p>
        </w:tc>
        <w:tc>
          <w:tcPr>
            <w:tcW w:w="180" w:type="dxa"/>
            <w:vAlign w:val="bottom"/>
          </w:tcPr>
          <w:p>
            <w:pPr>
              <w:spacing w:after="0"/>
              <w:rPr>
                <w:sz w:val="18"/>
                <w:szCs w:val="18"/>
                <w:color w:val="auto"/>
              </w:rPr>
            </w:pPr>
          </w:p>
        </w:tc>
        <w:tc>
          <w:tcPr>
            <w:tcW w:w="134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color w:val="auto"/>
                <w:w w:val="99"/>
              </w:rPr>
              <w:t>Gross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Amortized</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8"/>
              </w:rPr>
              <w:t>Unrealized</w:t>
            </w:r>
          </w:p>
        </w:tc>
        <w:tc>
          <w:tcPr>
            <w:tcW w:w="180" w:type="dxa"/>
            <w:vAlign w:val="bottom"/>
          </w:tcPr>
          <w:p>
            <w:pPr>
              <w:spacing w:after="0"/>
              <w:rPr>
                <w:sz w:val="18"/>
                <w:szCs w:val="18"/>
                <w:color w:val="auto"/>
              </w:rPr>
            </w:pPr>
          </w:p>
        </w:tc>
        <w:tc>
          <w:tcPr>
            <w:tcW w:w="134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color w:val="auto"/>
              </w:rPr>
              <w:t>Unrealized</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Estimated</w:t>
            </w:r>
          </w:p>
        </w:tc>
      </w:tr>
      <w:tr>
        <w:trPr>
          <w:trHeight w:val="234"/>
        </w:trPr>
        <w:tc>
          <w:tcPr>
            <w:tcW w:w="14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Cost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9"/>
              </w:rPr>
              <w:t>Gains</w:t>
            </w:r>
          </w:p>
        </w:tc>
        <w:tc>
          <w:tcPr>
            <w:tcW w:w="180" w:type="dxa"/>
            <w:vAlign w:val="bottom"/>
          </w:tcPr>
          <w:p>
            <w:pPr>
              <w:spacing w:after="0"/>
              <w:rPr>
                <w:sz w:val="20"/>
                <w:szCs w:val="20"/>
                <w:color w:val="auto"/>
              </w:rPr>
            </w:pPr>
          </w:p>
        </w:tc>
        <w:tc>
          <w:tcPr>
            <w:tcW w:w="134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color w:val="auto"/>
                <w:w w:val="97"/>
              </w:rPr>
              <w:t>Losses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Fair Value</w:t>
            </w:r>
          </w:p>
        </w:tc>
      </w:tr>
      <w:tr>
        <w:trPr>
          <w:trHeight w:val="190"/>
        </w:trPr>
        <w:tc>
          <w:tcPr>
            <w:tcW w:w="148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9"/>
              </w:rPr>
              <w:t>December 31, 2024:</w:t>
            </w:r>
          </w:p>
        </w:tc>
        <w:tc>
          <w:tcPr>
            <w:tcW w:w="326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116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11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98"/>
        </w:trPr>
        <w:tc>
          <w:tcPr>
            <w:tcW w:w="47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Fixed maturity securities, available for sale, at estimated fair</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value:</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74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Government agencies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1,741,029</w:t>
            </w:r>
          </w:p>
        </w:tc>
        <w:tc>
          <w:tcPr>
            <w:tcW w:w="18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2,256</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(1,511)</w:t>
            </w:r>
          </w:p>
        </w:tc>
        <w:tc>
          <w:tcPr>
            <w:tcW w:w="3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1,741,774</w:t>
            </w:r>
          </w:p>
        </w:tc>
      </w:tr>
      <w:tr>
        <w:trPr>
          <w:trHeight w:val="216"/>
        </w:trPr>
        <w:tc>
          <w:tcPr>
            <w:tcW w:w="4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471,217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180</w:t>
            </w:r>
          </w:p>
        </w:tc>
        <w:tc>
          <w:tcPr>
            <w:tcW w:w="180" w:type="dxa"/>
            <w:vAlign w:val="bottom"/>
          </w:tcPr>
          <w:p>
            <w:pPr>
              <w:spacing w:after="0"/>
              <w:rPr>
                <w:sz w:val="18"/>
                <w:szCs w:val="18"/>
                <w:color w:val="auto"/>
              </w:rPr>
            </w:pPr>
          </w:p>
        </w:tc>
        <w:tc>
          <w:tcPr>
            <w:tcW w:w="13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(4,223)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467,174</w:t>
            </w:r>
          </w:p>
        </w:tc>
      </w:tr>
      <w:tr>
        <w:trPr>
          <w:trHeight w:val="229"/>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securities including public utilities</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144,616</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(2,227)</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142,421</w:t>
            </w:r>
          </w:p>
        </w:tc>
      </w:tr>
      <w:tr>
        <w:trPr>
          <w:trHeight w:val="263"/>
        </w:trPr>
        <w:tc>
          <w:tcPr>
            <w:tcW w:w="474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fixed maturity securities available for sale</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2,356,862</w:t>
            </w:r>
          </w:p>
        </w:tc>
        <w:tc>
          <w:tcPr>
            <w:tcW w:w="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3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(7,961</w:t>
            </w:r>
          </w:p>
        </w:tc>
        <w:tc>
          <w:tcPr>
            <w:tcW w:w="180" w:type="dxa"/>
            <w:vAlign w:val="bottom"/>
            <w:tcBorders>
              <w:bottom w:val="single" w:sz="8" w:color="CCEEFF"/>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2,351,369</w:t>
            </w:r>
          </w:p>
        </w:tc>
        <w:tc>
          <w:tcPr>
            <w:tcW w:w="100" w:type="dxa"/>
            <w:vAlign w:val="bottom"/>
            <w:tcBorders>
              <w:bottom w:val="single" w:sz="8" w:color="CCEEFF"/>
            </w:tcBorders>
          </w:tcPr>
          <w:p>
            <w:pPr>
              <w:spacing w:after="0"/>
              <w:rPr>
                <w:sz w:val="22"/>
                <w:szCs w:val="22"/>
                <w:color w:val="auto"/>
              </w:rPr>
            </w:pPr>
          </w:p>
        </w:tc>
      </w:tr>
      <w:tr>
        <w:trPr>
          <w:trHeight w:val="197"/>
        </w:trPr>
        <w:tc>
          <w:tcPr>
            <w:tcW w:w="1480" w:type="dxa"/>
            <w:vAlign w:val="bottom"/>
            <w:shd w:val="clear" w:color="auto" w:fill="CCEEFF"/>
          </w:tcPr>
          <w:p>
            <w:pPr>
              <w:spacing w:after="0"/>
              <w:rPr>
                <w:sz w:val="17"/>
                <w:szCs w:val="17"/>
                <w:color w:val="auto"/>
              </w:rPr>
            </w:pPr>
          </w:p>
        </w:tc>
        <w:tc>
          <w:tcPr>
            <w:tcW w:w="3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securities at estimated fair value:</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Industrial, miscellaneous and all other</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8,547,709</w:t>
            </w:r>
          </w:p>
        </w:tc>
        <w:tc>
          <w:tcPr>
            <w:tcW w:w="180" w:type="dxa"/>
            <w:vAlign w:val="bottom"/>
          </w:tcPr>
          <w:p>
            <w:pPr>
              <w:spacing w:after="0"/>
              <w:rPr>
                <w:sz w:val="19"/>
                <w:szCs w:val="19"/>
                <w:color w:val="auto"/>
              </w:rPr>
            </w:pPr>
          </w:p>
        </w:tc>
        <w:tc>
          <w:tcPr>
            <w:tcW w:w="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1,914,309</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(489,852)</w:t>
            </w:r>
          </w:p>
        </w:tc>
        <w:tc>
          <w:tcPr>
            <w:tcW w:w="3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9,972,166</w:t>
            </w:r>
          </w:p>
        </w:tc>
      </w:tr>
      <w:tr>
        <w:trPr>
          <w:trHeight w:val="223"/>
        </w:trPr>
        <w:tc>
          <w:tcPr>
            <w:tcW w:w="474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equity securities at estimated fair value</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8,547,709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1,914,309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(489,852</w:t>
            </w:r>
          </w:p>
        </w:tc>
        <w:tc>
          <w:tcPr>
            <w:tcW w:w="18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9,972,166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4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held for investment at amortized cost: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985,806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8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(1,972)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63"/>
        </w:trPr>
        <w:tc>
          <w:tcPr>
            <w:tcW w:w="47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mortgage loans held for investment</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983,834</w:t>
            </w:r>
          </w:p>
        </w:tc>
        <w:tc>
          <w:tcPr>
            <w:tcW w:w="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18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16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1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r>
      <w:tr>
        <w:trPr>
          <w:trHeight w:val="197"/>
        </w:trPr>
        <w:tc>
          <w:tcPr>
            <w:tcW w:w="1480" w:type="dxa"/>
            <w:vAlign w:val="bottom"/>
            <w:shd w:val="clear" w:color="auto" w:fill="CCEEFF"/>
          </w:tcPr>
          <w:p>
            <w:pPr>
              <w:spacing w:after="0"/>
              <w:rPr>
                <w:sz w:val="17"/>
                <w:szCs w:val="17"/>
                <w:color w:val="auto"/>
              </w:rPr>
            </w:pPr>
          </w:p>
        </w:tc>
        <w:tc>
          <w:tcPr>
            <w:tcW w:w="3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1,939,269</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1480" w:type="dxa"/>
            <w:vAlign w:val="bottom"/>
            <w:tcBorders>
              <w:top w:val="single" w:sz="8" w:color="CCEEFF"/>
            </w:tcBorders>
            <w:shd w:val="clear" w:color="auto" w:fill="CCEEFF"/>
          </w:tcPr>
          <w:p>
            <w:pPr>
              <w:spacing w:after="0"/>
              <w:rPr>
                <w:sz w:val="17"/>
                <w:szCs w:val="17"/>
                <w:color w:val="auto"/>
              </w:rPr>
            </w:pPr>
          </w:p>
        </w:tc>
        <w:tc>
          <w:tcPr>
            <w:tcW w:w="3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83"/>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(1)</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8,553,803</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480" w:type="dxa"/>
            <w:vAlign w:val="bottom"/>
            <w:tcBorders>
              <w:top w:val="single" w:sz="8" w:color="CCEEFF"/>
            </w:tcBorders>
            <w:shd w:val="clear" w:color="auto" w:fill="CCEEFF"/>
          </w:tcPr>
          <w:p>
            <w:pPr>
              <w:spacing w:after="0"/>
              <w:rPr>
                <w:sz w:val="17"/>
                <w:szCs w:val="17"/>
                <w:color w:val="auto"/>
              </w:rPr>
            </w:pPr>
          </w:p>
        </w:tc>
        <w:tc>
          <w:tcPr>
            <w:tcW w:w="3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83"/>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6,395</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1480" w:type="dxa"/>
            <w:vAlign w:val="bottom"/>
            <w:tcBorders>
              <w:top w:val="single" w:sz="8" w:color="CCEEFF"/>
            </w:tcBorders>
            <w:shd w:val="clear" w:color="auto" w:fill="CCEEFF"/>
          </w:tcPr>
          <w:p>
            <w:pPr>
              <w:spacing w:after="0"/>
              <w:rPr>
                <w:sz w:val="17"/>
                <w:szCs w:val="17"/>
                <w:color w:val="auto"/>
              </w:rPr>
            </w:pPr>
          </w:p>
        </w:tc>
        <w:tc>
          <w:tcPr>
            <w:tcW w:w="3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43"/>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restricted assets</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23,806,836</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14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Including cash and cash equivalents of $7,657,958 for the life insurance and mortgage segments.</w:t>
      </w:r>
    </w:p>
    <w:p>
      <w:pPr>
        <w:spacing w:after="0" w:line="225" w:lineRule="exact"/>
        <w:rPr>
          <w:sz w:val="20"/>
          <w:szCs w:val="20"/>
          <w:color w:val="auto"/>
        </w:rPr>
      </w:pPr>
    </w:p>
    <w:p>
      <w:pPr>
        <w:jc w:val="center"/>
        <w:ind w:right="460"/>
        <w:spacing w:after="0" w:line="532" w:lineRule="auto"/>
        <w:rPr>
          <w:sz w:val="20"/>
          <w:szCs w:val="20"/>
          <w:color w:val="auto"/>
        </w:rPr>
      </w:pPr>
      <w:r>
        <w:rPr>
          <w:rFonts w:ascii="Times New Roman" w:cs="Times New Roman" w:eastAsia="Times New Roman" w:hAnsi="Times New Roman"/>
          <w:sz w:val="18"/>
          <w:szCs w:val="18"/>
          <w:color w:val="auto"/>
        </w:rPr>
        <w:t>A surplus note receivable in the amount of $4,000,000 at December 31, 2025 and 2024, from Security National Life, was eliminated in consolidation.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7" w:lineRule="exact"/>
        <w:rPr>
          <w:sz w:val="20"/>
          <w:szCs w:val="20"/>
          <w:color w:val="auto"/>
        </w:rPr>
      </w:pPr>
    </w:p>
    <w:p>
      <w:pPr>
        <w:ind w:right="8420" w:firstLine="8"/>
        <w:spacing w:after="0" w:line="500" w:lineRule="auto"/>
        <w:tabs>
          <w:tab w:leader="none" w:pos="64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Assets</w:t>
      </w:r>
      <w:r>
        <w:rPr>
          <w:rFonts w:ascii="Times New Roman" w:cs="Times New Roman" w:eastAsia="Times New Roman" w:hAnsi="Times New Roman"/>
          <w:sz w:val="18"/>
          <w:szCs w:val="18"/>
          <w:color w:val="auto"/>
        </w:rPr>
        <w:t xml:space="preserve"> (Continued) </w:t>
      </w:r>
      <w:r>
        <w:rPr>
          <w:rFonts w:ascii="Times New Roman" w:cs="Times New Roman" w:eastAsia="Times New Roman" w:hAnsi="Times New Roman"/>
          <w:sz w:val="18"/>
          <w:szCs w:val="18"/>
          <w:u w:val="single" w:color="auto"/>
          <w:color w:val="auto"/>
        </w:rPr>
        <w:t>Fixed Maturity Securities</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summarizes unrealized losses on fixed maturity securities available for sale that were carried at estimated fair value as of December 31, 2025, and 2024. The unrealized losses were primarily related to interest rate fluctuations. The tables set forth unrealized losses by duration with the fair value of the related fixed maturity securities.</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At December 31,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securities including public utilities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unrealized losses</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6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rPr>
              <w:t>Unrealized</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Unrealized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10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7"/>
              </w:rPr>
              <w:t>Losses</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Losses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10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rPr>
              <w:t>for Less</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for More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10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rPr>
              <w:t>than</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than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10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6"/>
              </w:rPr>
              <w:t>Twelve</w:t>
            </w:r>
          </w:p>
        </w:tc>
        <w:tc>
          <w:tcPr>
            <w:tcW w:w="120" w:type="dxa"/>
            <w:vAlign w:val="bottom"/>
          </w:tcPr>
          <w:p>
            <w:pPr>
              <w:spacing w:after="0"/>
              <w:rPr>
                <w:sz w:val="18"/>
                <w:szCs w:val="18"/>
                <w:color w:val="auto"/>
              </w:rPr>
            </w:pPr>
          </w:p>
        </w:tc>
        <w:tc>
          <w:tcPr>
            <w:tcW w:w="8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6"/>
              </w:rPr>
              <w:t>Fair</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6"/>
              </w:rPr>
              <w:t>Twelve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Fair</w:t>
            </w:r>
          </w:p>
        </w:tc>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Unrealized</w:t>
            </w:r>
          </w:p>
        </w:tc>
        <w:tc>
          <w:tcPr>
            <w:tcW w:w="140" w:type="dxa"/>
            <w:vAlign w:val="bottom"/>
          </w:tcPr>
          <w:p>
            <w:pPr>
              <w:spacing w:after="0"/>
              <w:rPr>
                <w:sz w:val="18"/>
                <w:szCs w:val="18"/>
                <w:color w:val="auto"/>
              </w:rPr>
            </w:pPr>
          </w:p>
        </w:tc>
        <w:tc>
          <w:tcPr>
            <w:tcW w:w="7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Fair</w:t>
            </w:r>
          </w:p>
        </w:tc>
      </w:tr>
      <w:tr>
        <w:trPr>
          <w:trHeight w:val="234"/>
        </w:trPr>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8"/>
                <w:szCs w:val="18"/>
                <w:color w:val="auto"/>
              </w:rPr>
              <w:t>Months</w:t>
            </w: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8"/>
                <w:szCs w:val="18"/>
                <w:color w:val="auto"/>
                <w:w w:val="92"/>
              </w:rPr>
              <w:t>Value</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Months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Value</w:t>
            </w: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Loss</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Value</w:t>
            </w:r>
          </w:p>
        </w:tc>
      </w:tr>
      <w:tr>
        <w:trPr>
          <w:trHeight w:val="421"/>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103,504</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103,504</w:t>
            </w:r>
          </w:p>
        </w:tc>
      </w:tr>
      <w:tr>
        <w:trPr>
          <w:trHeight w:val="234"/>
        </w:trPr>
        <w:tc>
          <w:tcPr>
            <w:tcW w:w="100" w:type="dxa"/>
            <w:vAlign w:val="bottom"/>
          </w:tcPr>
          <w:p>
            <w:pPr>
              <w:spacing w:after="0"/>
              <w:rPr>
                <w:sz w:val="20"/>
                <w:szCs w:val="20"/>
                <w:color w:val="auto"/>
              </w:rPr>
            </w:pPr>
          </w:p>
        </w:tc>
        <w:tc>
          <w:tcPr>
            <w:tcW w:w="10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51,071</w:t>
            </w:r>
          </w:p>
        </w:tc>
        <w:tc>
          <w:tcPr>
            <w:tcW w:w="16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959</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51,071</w:t>
            </w:r>
          </w:p>
        </w:tc>
      </w:tr>
      <w:tr>
        <w:trPr>
          <w:trHeight w:val="223"/>
        </w:trPr>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154,575</w:t>
            </w: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154,575</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-607695</wp:posOffset>
            </wp:positionV>
            <wp:extent cx="7132320" cy="1454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-325120</wp:posOffset>
            </wp:positionV>
            <wp:extent cx="7132320" cy="146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020" w:space="720"/>
            <w:col w:w="6500"/>
          </w:cols>
          <w:pgMar w:left="320" w:top="688"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1640" w:type="dxa"/>
            <w:vAlign w:val="bottom"/>
            <w:shd w:val="clear" w:color="auto" w:fill="CCEEFF"/>
          </w:tcPr>
          <w:p>
            <w:pPr>
              <w:spacing w:after="0"/>
              <w:rPr>
                <w:sz w:val="17"/>
                <w:szCs w:val="17"/>
                <w:color w:val="auto"/>
              </w:rPr>
            </w:pPr>
          </w:p>
        </w:tc>
        <w:tc>
          <w:tcPr>
            <w:tcW w:w="3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76"/>
        </w:trPr>
        <w:tc>
          <w:tcPr>
            <w:tcW w:w="47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At December 31, 2024</w:t>
            </w: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
        </w:trPr>
        <w:tc>
          <w:tcPr>
            <w:tcW w:w="1640" w:type="dxa"/>
            <w:vAlign w:val="bottom"/>
            <w:tcBorders>
              <w:top w:val="single" w:sz="8" w:color="auto"/>
            </w:tcBorders>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8"/>
        </w:trPr>
        <w:tc>
          <w:tcPr>
            <w:tcW w:w="47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 Government</w:t>
            </w: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agencies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1,511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558,707</w:t>
            </w:r>
          </w:p>
        </w:tc>
        <w:tc>
          <w:tcPr>
            <w:tcW w:w="4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1,511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558,707</w:t>
            </w:r>
          </w:p>
        </w:tc>
        <w:tc>
          <w:tcPr>
            <w:tcW w:w="80" w:type="dxa"/>
            <w:vAlign w:val="bottom"/>
            <w:shd w:val="clear" w:color="auto" w:fill="CCEEFF"/>
          </w:tcPr>
          <w:p>
            <w:pPr>
              <w:spacing w:after="0"/>
              <w:rPr>
                <w:sz w:val="20"/>
                <w:szCs w:val="20"/>
                <w:color w:val="auto"/>
              </w:rPr>
            </w:pP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4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2,004</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237,636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2,219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129,358</w:t>
            </w:r>
          </w:p>
        </w:tc>
        <w:tc>
          <w:tcPr>
            <w:tcW w:w="24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4,223</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366,994</w:t>
            </w:r>
          </w:p>
        </w:tc>
        <w:tc>
          <w:tcPr>
            <w:tcW w:w="80" w:type="dxa"/>
            <w:vAlign w:val="bottom"/>
          </w:tcPr>
          <w:p>
            <w:pPr>
              <w:spacing w:after="0"/>
              <w:rPr>
                <w:sz w:val="18"/>
                <w:szCs w:val="18"/>
                <w:color w:val="auto"/>
              </w:rPr>
            </w:pPr>
          </w:p>
        </w:tc>
      </w:tr>
      <w:tr>
        <w:trPr>
          <w:trHeight w:val="230"/>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 including public utilities</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1,316</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51,685</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911</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65,704</w:t>
            </w: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2,227</w:t>
            </w:r>
          </w:p>
        </w:tc>
        <w:tc>
          <w:tcPr>
            <w:tcW w:w="10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117,389</w:t>
            </w:r>
          </w:p>
        </w:tc>
      </w:tr>
      <w:tr>
        <w:trPr>
          <w:trHeight w:val="223"/>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unrealized losses</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4,831</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848,028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195,062</w:t>
            </w:r>
          </w:p>
        </w:tc>
        <w:tc>
          <w:tcPr>
            <w:tcW w:w="3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7,961</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1,043,090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6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Relevant holdings were comprised of two securities with fair values aggregating 99.4% of aggregate amortized cost as of December 31, 2025 compared to 15 securities with fair values aggregating of 99.2% of aggregate amortized cost at December 31, 2024. No credit losses have been recognized for 2025, and 2024, since the unrealized losses are primarily a result of increases in interest rates. See Note 2 for additional information regarding the Company’s evaluation of the allowance for credit losses for fixed maturity securities available for sale.</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table below presents the amortized cost and estimated fair value of fixed maturity securities available for sale as of December 31, 2025, by contractual maturity. Expected maturities may differ from contractual maturities because certain borrowers may have the right to call or prepay obligations with or without call or prepayment penalties.</w:t>
      </w:r>
    </w:p>
    <w:p>
      <w:pPr>
        <w:sectPr>
          <w:pgSz w:w="11900" w:h="16838" w:orient="portrait"/>
          <w:cols w:equalWidth="0" w:num="1">
            <w:col w:w="11240"/>
          </w:cols>
          <w:pgMar w:left="320" w:top="68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in 1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in 2-5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in 5-10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in more than 10 years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8"/>
              </w:rPr>
              <w:t>Amortized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Estimated Fair</w:t>
            </w:r>
          </w:p>
        </w:tc>
      </w:tr>
      <w:tr>
        <w:trPr>
          <w:trHeight w:val="234"/>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6"/>
              </w:rPr>
              <w:t>Cost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191"/>
        </w:trPr>
        <w:tc>
          <w:tcPr>
            <w:tcW w:w="20" w:type="dxa"/>
            <w:vAlign w:val="bottom"/>
          </w:tcPr>
          <w:p>
            <w:pPr>
              <w:spacing w:after="0"/>
              <w:rPr>
                <w:sz w:val="16"/>
                <w:szCs w:val="16"/>
                <w:color w:val="auto"/>
              </w:rPr>
            </w:pPr>
          </w:p>
        </w:tc>
        <w:tc>
          <w:tcPr>
            <w:tcW w:w="180" w:type="dxa"/>
            <w:vAlign w:val="bottom"/>
            <w:tcBorders>
              <w:top w:val="single" w:sz="8" w:color="auto"/>
            </w:tcBorders>
          </w:tcPr>
          <w:p>
            <w:pPr>
              <w:jc w:val="right"/>
              <w:ind w:right="1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945,818</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947,563</w:t>
            </w: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230,541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229,688</w:t>
            </w:r>
          </w:p>
        </w:tc>
      </w:tr>
      <w:tr>
        <w:trPr>
          <w:trHeight w:val="223"/>
        </w:trPr>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1,176,359</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1,177,251</w:t>
            </w:r>
          </w:p>
        </w:tc>
      </w:tr>
      <w:tr>
        <w:trPr>
          <w:trHeight w:val="20"/>
        </w:trPr>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-3093085</wp:posOffset>
            </wp:positionH>
            <wp:positionV relativeFrom="paragraph">
              <wp:posOffset>-745490</wp:posOffset>
            </wp:positionV>
            <wp:extent cx="4989195" cy="146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989195" cy="146050"/>
                    </a:xfrm>
                    <a:prstGeom prst="rect">
                      <a:avLst/>
                    </a:prstGeom>
                    <a:noFill/>
                  </pic:spPr>
                </pic:pic>
              </a:graphicData>
            </a:graphic>
          </wp:anchor>
        </w:drawing>
        <w:drawing>
          <wp:anchor simplePos="0" relativeHeight="251657728" behindDoc="1" locked="0" layoutInCell="0" allowOverlap="1">
            <wp:simplePos x="0" y="0"/>
            <wp:positionH relativeFrom="column">
              <wp:posOffset>-3093085</wp:posOffset>
            </wp:positionH>
            <wp:positionV relativeFrom="paragraph">
              <wp:posOffset>-462280</wp:posOffset>
            </wp:positionV>
            <wp:extent cx="4989195"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989195" cy="137160"/>
                    </a:xfrm>
                    <a:prstGeom prst="rect">
                      <a:avLst/>
                    </a:prstGeom>
                    <a:noFill/>
                  </pic:spPr>
                </pic:pic>
              </a:graphicData>
            </a:graphic>
          </wp:anchor>
        </w:drawing>
        <w:drawing>
          <wp:anchor simplePos="0" relativeHeight="251657728" behindDoc="1" locked="0" layoutInCell="0" allowOverlap="1">
            <wp:simplePos x="0" y="0"/>
            <wp:positionH relativeFrom="column">
              <wp:posOffset>-3093085</wp:posOffset>
            </wp:positionH>
            <wp:positionV relativeFrom="paragraph">
              <wp:posOffset>-179070</wp:posOffset>
            </wp:positionV>
            <wp:extent cx="4989195" cy="1625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989195" cy="1625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160" w:space="720"/>
            <w:col w:w="6360"/>
          </w:cols>
          <w:pgMar w:left="320" w:top="688"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See Notes 1, 2 and 21 for additional information regarding restricted assets.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7" w:lineRule="exact"/>
        <w:rPr>
          <w:sz w:val="20"/>
          <w:szCs w:val="20"/>
          <w:color w:val="auto"/>
        </w:rPr>
      </w:pPr>
    </w:p>
    <w:p>
      <w:pPr>
        <w:ind w:left="660" w:hanging="652"/>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Cemetery Perpetual Care Trust Investments and Obligation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State law requires the Company to pay into endowment care trusts a portion of the proceeds from the sale of certain cemetery property interment rights for cemeteries that have established an endowment care trust. These endowment care trusts are defined as Variable Interest Entities pursuant to GAAP. The Company is the primary beneficiary of these trusts, as it absorbs both the losses and any expenses associated with the trusts. The Company has consolidated cemetery endowment care trust investments with a corresponding amount recorded as Cemetery Perpetual Care Obligation in the accompanying consolidated balance sheets</w:t>
      </w:r>
      <w:r>
        <w:rPr>
          <w:rFonts w:ascii="Times New Roman" w:cs="Times New Roman" w:eastAsia="Times New Roman" w:hAnsi="Times New Roman"/>
          <w:sz w:val="18"/>
          <w:szCs w:val="18"/>
          <w:i w:val="1"/>
          <w:iCs w:val="1"/>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cemetery perpetual care investments and obligation as of December 31, 2025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9"/>
              </w:rPr>
              <w:t>Gross</w:t>
            </w:r>
          </w:p>
        </w:tc>
        <w:tc>
          <w:tcPr>
            <w:tcW w:w="180" w:type="dxa"/>
            <w:vAlign w:val="bottom"/>
          </w:tcPr>
          <w:p>
            <w:pPr>
              <w:spacing w:after="0"/>
              <w:rPr>
                <w:sz w:val="18"/>
                <w:szCs w:val="18"/>
                <w:color w:val="auto"/>
              </w:rPr>
            </w:pPr>
          </w:p>
        </w:tc>
        <w:tc>
          <w:tcPr>
            <w:tcW w:w="134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color w:val="auto"/>
                <w:w w:val="99"/>
              </w:rPr>
              <w:t>Gross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Amortized</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8"/>
              </w:rPr>
              <w:t>Unrealized</w:t>
            </w:r>
          </w:p>
        </w:tc>
        <w:tc>
          <w:tcPr>
            <w:tcW w:w="180" w:type="dxa"/>
            <w:vAlign w:val="bottom"/>
          </w:tcPr>
          <w:p>
            <w:pPr>
              <w:spacing w:after="0"/>
              <w:rPr>
                <w:sz w:val="18"/>
                <w:szCs w:val="18"/>
                <w:color w:val="auto"/>
              </w:rPr>
            </w:pPr>
          </w:p>
        </w:tc>
        <w:tc>
          <w:tcPr>
            <w:tcW w:w="134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color w:val="auto"/>
              </w:rPr>
              <w:t>Unrealized</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Estimated</w:t>
            </w:r>
          </w:p>
        </w:tc>
      </w:tr>
      <w:tr>
        <w:trPr>
          <w:trHeight w:val="234"/>
        </w:trPr>
        <w:tc>
          <w:tcPr>
            <w:tcW w:w="14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Cost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9"/>
              </w:rPr>
              <w:t>Gains</w:t>
            </w:r>
          </w:p>
        </w:tc>
        <w:tc>
          <w:tcPr>
            <w:tcW w:w="180" w:type="dxa"/>
            <w:vAlign w:val="bottom"/>
          </w:tcPr>
          <w:p>
            <w:pPr>
              <w:spacing w:after="0"/>
              <w:rPr>
                <w:sz w:val="20"/>
                <w:szCs w:val="20"/>
                <w:color w:val="auto"/>
              </w:rPr>
            </w:pPr>
          </w:p>
        </w:tc>
        <w:tc>
          <w:tcPr>
            <w:tcW w:w="134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color w:val="auto"/>
                <w:w w:val="97"/>
              </w:rPr>
              <w:t>Losses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Fair Value</w:t>
            </w:r>
          </w:p>
        </w:tc>
      </w:tr>
      <w:tr>
        <w:trPr>
          <w:trHeight w:val="190"/>
        </w:trPr>
        <w:tc>
          <w:tcPr>
            <w:tcW w:w="148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9"/>
              </w:rPr>
              <w:t>December 31, 2025:</w:t>
            </w:r>
          </w:p>
        </w:tc>
        <w:tc>
          <w:tcPr>
            <w:tcW w:w="326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116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11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98"/>
        </w:trPr>
        <w:tc>
          <w:tcPr>
            <w:tcW w:w="47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Fixed maturity securities, available for sale, at estimated fair</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value:</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74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Government agencies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152,738</w:t>
            </w:r>
          </w:p>
        </w:tc>
        <w:tc>
          <w:tcPr>
            <w:tcW w:w="3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842</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153,580</w:t>
            </w:r>
          </w:p>
        </w:tc>
      </w:tr>
      <w:tr>
        <w:trPr>
          <w:trHeight w:val="230"/>
        </w:trPr>
        <w:tc>
          <w:tcPr>
            <w:tcW w:w="4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8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121,423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(2,991)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118,432</w:t>
            </w:r>
          </w:p>
        </w:tc>
      </w:tr>
      <w:tr>
        <w:trPr>
          <w:trHeight w:val="223"/>
        </w:trPr>
        <w:tc>
          <w:tcPr>
            <w:tcW w:w="4740" w:type="dxa"/>
            <w:vAlign w:val="bottom"/>
            <w:tcBorders>
              <w:top w:val="single" w:sz="8" w:color="CCEEFF"/>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fixed maturity securities available for sale</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274,161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18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4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4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 at estimated fair value:</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miscellaneous and all other</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4,835,663</w:t>
            </w:r>
          </w:p>
        </w:tc>
        <w:tc>
          <w:tcPr>
            <w:tcW w:w="3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1,637,554</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(169,485)</w:t>
            </w:r>
          </w:p>
        </w:tc>
        <w:tc>
          <w:tcPr>
            <w:tcW w:w="3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6,303,732</w:t>
            </w:r>
          </w:p>
        </w:tc>
      </w:tr>
      <w:tr>
        <w:trPr>
          <w:trHeight w:val="263"/>
        </w:trPr>
        <w:tc>
          <w:tcPr>
            <w:tcW w:w="47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equity securities at estimated fair value</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4,835,663</w:t>
            </w:r>
          </w:p>
        </w:tc>
        <w:tc>
          <w:tcPr>
            <w:tcW w:w="2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1,637,554</w:t>
            </w:r>
          </w:p>
        </w:tc>
        <w:tc>
          <w:tcPr>
            <w:tcW w:w="3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(169,485</w:t>
            </w:r>
          </w:p>
        </w:tc>
        <w:tc>
          <w:tcPr>
            <w:tcW w:w="180" w:type="dxa"/>
            <w:vAlign w:val="bottom"/>
            <w:tcBorders>
              <w:bottom w:val="single" w:sz="8" w:color="CCEEFF"/>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6,303,732</w:t>
            </w:r>
          </w:p>
        </w:tc>
        <w:tc>
          <w:tcPr>
            <w:tcW w:w="100" w:type="dxa"/>
            <w:vAlign w:val="bottom"/>
            <w:tcBorders>
              <w:bottom w:val="single" w:sz="8" w:color="CCEEFF"/>
            </w:tcBorders>
          </w:tcPr>
          <w:p>
            <w:pPr>
              <w:spacing w:after="0"/>
              <w:rPr>
                <w:sz w:val="22"/>
                <w:szCs w:val="22"/>
                <w:color w:val="auto"/>
              </w:rPr>
            </w:pPr>
          </w:p>
        </w:tc>
      </w:tr>
      <w:tr>
        <w:trPr>
          <w:trHeight w:val="197"/>
        </w:trPr>
        <w:tc>
          <w:tcPr>
            <w:tcW w:w="1480" w:type="dxa"/>
            <w:vAlign w:val="bottom"/>
            <w:shd w:val="clear" w:color="auto" w:fill="CCEEFF"/>
          </w:tcPr>
          <w:p>
            <w:pPr>
              <w:spacing w:after="0"/>
              <w:rPr>
                <w:sz w:val="17"/>
                <w:szCs w:val="17"/>
                <w:color w:val="auto"/>
              </w:rPr>
            </w:pPr>
          </w:p>
        </w:tc>
        <w:tc>
          <w:tcPr>
            <w:tcW w:w="3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Mortgage loans held for investment at amortized cost:</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66,342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8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7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mortgage loans held for investment</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66,209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4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4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1,935,480</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14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investements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1,290,271</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4,243</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14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cemetery perpetual care trust investments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9,871,947</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14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 perpetual care obligation</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(5,918,776)</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Trust investments in excess of trust obligations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3,953,171</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2"/>
        </w:trPr>
        <w:tc>
          <w:tcPr>
            <w:tcW w:w="148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85</w:t>
            </w: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7" w:lineRule="exact"/>
        <w:rPr>
          <w:sz w:val="20"/>
          <w:szCs w:val="20"/>
          <w:color w:val="auto"/>
        </w:rPr>
      </w:pPr>
    </w:p>
    <w:p>
      <w:pPr>
        <w:ind w:left="660" w:hanging="652"/>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Cemetery Perpetual Care Trust Investments and Obligation</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cemetery perpetual care investments and obligation as of December 31, 2024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9"/>
              </w:rPr>
              <w:t>Gross</w:t>
            </w:r>
          </w:p>
        </w:tc>
        <w:tc>
          <w:tcPr>
            <w:tcW w:w="180" w:type="dxa"/>
            <w:vAlign w:val="bottom"/>
          </w:tcPr>
          <w:p>
            <w:pPr>
              <w:spacing w:after="0"/>
              <w:rPr>
                <w:sz w:val="18"/>
                <w:szCs w:val="18"/>
                <w:color w:val="auto"/>
              </w:rPr>
            </w:pPr>
          </w:p>
        </w:tc>
        <w:tc>
          <w:tcPr>
            <w:tcW w:w="134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color w:val="auto"/>
                <w:w w:val="99"/>
              </w:rPr>
              <w:t>Gross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Amortized</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8"/>
              </w:rPr>
              <w:t>Unrealized</w:t>
            </w:r>
          </w:p>
        </w:tc>
        <w:tc>
          <w:tcPr>
            <w:tcW w:w="180" w:type="dxa"/>
            <w:vAlign w:val="bottom"/>
          </w:tcPr>
          <w:p>
            <w:pPr>
              <w:spacing w:after="0"/>
              <w:rPr>
                <w:sz w:val="18"/>
                <w:szCs w:val="18"/>
                <w:color w:val="auto"/>
              </w:rPr>
            </w:pPr>
          </w:p>
        </w:tc>
        <w:tc>
          <w:tcPr>
            <w:tcW w:w="134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color w:val="auto"/>
              </w:rPr>
              <w:t>Unrealized</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Estimated</w:t>
            </w:r>
          </w:p>
        </w:tc>
      </w:tr>
      <w:tr>
        <w:trPr>
          <w:trHeight w:val="234"/>
        </w:trPr>
        <w:tc>
          <w:tcPr>
            <w:tcW w:w="14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Cost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9"/>
              </w:rPr>
              <w:t>Gains</w:t>
            </w:r>
          </w:p>
        </w:tc>
        <w:tc>
          <w:tcPr>
            <w:tcW w:w="180" w:type="dxa"/>
            <w:vAlign w:val="bottom"/>
          </w:tcPr>
          <w:p>
            <w:pPr>
              <w:spacing w:after="0"/>
              <w:rPr>
                <w:sz w:val="20"/>
                <w:szCs w:val="20"/>
                <w:color w:val="auto"/>
              </w:rPr>
            </w:pPr>
          </w:p>
        </w:tc>
        <w:tc>
          <w:tcPr>
            <w:tcW w:w="134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color w:val="auto"/>
                <w:w w:val="97"/>
              </w:rPr>
              <w:t>Losses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Fair Value</w:t>
            </w:r>
          </w:p>
        </w:tc>
      </w:tr>
      <w:tr>
        <w:trPr>
          <w:trHeight w:val="190"/>
        </w:trPr>
        <w:tc>
          <w:tcPr>
            <w:tcW w:w="148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9"/>
              </w:rPr>
              <w:t>December 31, 2024:</w:t>
            </w:r>
          </w:p>
        </w:tc>
        <w:tc>
          <w:tcPr>
            <w:tcW w:w="326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116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11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98"/>
        </w:trPr>
        <w:tc>
          <w:tcPr>
            <w:tcW w:w="47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Fixed maturity securities, available for sale, at estimated fair</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value:</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74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Government agencies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651,428</w:t>
            </w:r>
          </w:p>
        </w:tc>
        <w:tc>
          <w:tcPr>
            <w:tcW w:w="3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(2,010)</w:t>
            </w:r>
          </w:p>
        </w:tc>
        <w:tc>
          <w:tcPr>
            <w:tcW w:w="3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649,418</w:t>
            </w:r>
          </w:p>
        </w:tc>
      </w:tr>
      <w:tr>
        <w:trPr>
          <w:trHeight w:val="230"/>
        </w:trPr>
        <w:tc>
          <w:tcPr>
            <w:tcW w:w="4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8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125,194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(4,950)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120,244</w:t>
            </w:r>
          </w:p>
        </w:tc>
      </w:tr>
      <w:tr>
        <w:trPr>
          <w:trHeight w:val="223"/>
        </w:trPr>
        <w:tc>
          <w:tcPr>
            <w:tcW w:w="4740" w:type="dxa"/>
            <w:vAlign w:val="bottom"/>
            <w:tcBorders>
              <w:top w:val="single" w:sz="8" w:color="CCEEFF"/>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fixed maturity securities available for sale</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776,622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(6,960</w:t>
            </w:r>
          </w:p>
        </w:tc>
        <w:tc>
          <w:tcPr>
            <w:tcW w:w="18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769,662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4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4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 at estimated fair value:</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miscellaneous and all other</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3,874,522</w:t>
            </w:r>
          </w:p>
        </w:tc>
        <w:tc>
          <w:tcPr>
            <w:tcW w:w="3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1,271,529</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(226,007)</w:t>
            </w:r>
          </w:p>
        </w:tc>
        <w:tc>
          <w:tcPr>
            <w:tcW w:w="3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4,920,044</w:t>
            </w:r>
          </w:p>
        </w:tc>
      </w:tr>
      <w:tr>
        <w:trPr>
          <w:trHeight w:val="263"/>
        </w:trPr>
        <w:tc>
          <w:tcPr>
            <w:tcW w:w="47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equity securities at estimated fair value</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3,874,522</w:t>
            </w:r>
          </w:p>
        </w:tc>
        <w:tc>
          <w:tcPr>
            <w:tcW w:w="2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1,271,529</w:t>
            </w:r>
          </w:p>
        </w:tc>
        <w:tc>
          <w:tcPr>
            <w:tcW w:w="3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(226,007</w:t>
            </w:r>
          </w:p>
        </w:tc>
        <w:tc>
          <w:tcPr>
            <w:tcW w:w="180" w:type="dxa"/>
            <w:vAlign w:val="bottom"/>
            <w:tcBorders>
              <w:bottom w:val="single" w:sz="8" w:color="CCEEFF"/>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4,920,044</w:t>
            </w:r>
          </w:p>
        </w:tc>
        <w:tc>
          <w:tcPr>
            <w:tcW w:w="100" w:type="dxa"/>
            <w:vAlign w:val="bottom"/>
            <w:tcBorders>
              <w:bottom w:val="single" w:sz="8" w:color="CCEEFF"/>
            </w:tcBorders>
          </w:tcPr>
          <w:p>
            <w:pPr>
              <w:spacing w:after="0"/>
              <w:rPr>
                <w:sz w:val="22"/>
                <w:szCs w:val="22"/>
                <w:color w:val="auto"/>
              </w:rPr>
            </w:pPr>
          </w:p>
        </w:tc>
      </w:tr>
      <w:tr>
        <w:trPr>
          <w:trHeight w:val="197"/>
        </w:trPr>
        <w:tc>
          <w:tcPr>
            <w:tcW w:w="1480" w:type="dxa"/>
            <w:vAlign w:val="bottom"/>
            <w:shd w:val="clear" w:color="auto" w:fill="CCEEFF"/>
          </w:tcPr>
          <w:p>
            <w:pPr>
              <w:spacing w:after="0"/>
              <w:rPr>
                <w:sz w:val="17"/>
                <w:szCs w:val="17"/>
                <w:color w:val="auto"/>
              </w:rPr>
            </w:pPr>
          </w:p>
        </w:tc>
        <w:tc>
          <w:tcPr>
            <w:tcW w:w="3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Mortgage loans held for investment at amortized cost:</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202,600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8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1,939,269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8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7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mortgage loans held for investment</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2,141,464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4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1,002,396</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2,937</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14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cemetery perpetual care trust investments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8,836,503</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14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 perpetual care obligation</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(5,642,693)</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Trust investments in excess of trust obligations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3,193,810</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148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7" w:lineRule="exact"/>
        <w:rPr>
          <w:sz w:val="20"/>
          <w:szCs w:val="20"/>
          <w:color w:val="auto"/>
        </w:rPr>
      </w:pPr>
    </w:p>
    <w:p>
      <w:pPr>
        <w:ind w:right="5400" w:firstLine="8"/>
        <w:spacing w:after="0" w:line="500" w:lineRule="auto"/>
        <w:tabs>
          <w:tab w:leader="none" w:pos="64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Cemetery Perpetual Care Trust Investments and Obligation</w:t>
      </w:r>
      <w:r>
        <w:rPr>
          <w:rFonts w:ascii="Times New Roman" w:cs="Times New Roman" w:eastAsia="Times New Roman" w:hAnsi="Times New Roman"/>
          <w:sz w:val="18"/>
          <w:szCs w:val="18"/>
          <w:color w:val="auto"/>
        </w:rPr>
        <w:t xml:space="preserve"> (Continued) </w:t>
      </w:r>
      <w:r>
        <w:rPr>
          <w:rFonts w:ascii="Times New Roman" w:cs="Times New Roman" w:eastAsia="Times New Roman" w:hAnsi="Times New Roman"/>
          <w:sz w:val="18"/>
          <w:szCs w:val="18"/>
          <w:u w:val="single" w:color="auto"/>
          <w:color w:val="auto"/>
        </w:rPr>
        <w:t>Fixed Maturity Securities</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summarizes unrealized losses on fixed maturity securities available for sale that were carried at estimated fair value as of December 31, 2025, and 2024. The unrealized losses were primarily related to interest rate fluctuations. The tables set forth unrealized losses by duration with the fair value of the related fixed maturity securities: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Unrealized</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Unrealized</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7"/>
              </w:rPr>
              <w:t>Losses</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7"/>
              </w:rPr>
              <w:t>Losses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rPr>
              <w:t>for Less</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9"/>
              </w:rPr>
              <w:t>for More</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rPr>
              <w:t>than</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than</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6"/>
              </w:rPr>
              <w:t>Twelve</w:t>
            </w:r>
          </w:p>
        </w:tc>
        <w:tc>
          <w:tcPr>
            <w:tcW w:w="140" w:type="dxa"/>
            <w:vAlign w:val="bottom"/>
          </w:tcPr>
          <w:p>
            <w:pPr>
              <w:spacing w:after="0"/>
              <w:rPr>
                <w:sz w:val="18"/>
                <w:szCs w:val="18"/>
                <w:color w:val="auto"/>
              </w:rPr>
            </w:pPr>
          </w:p>
        </w:tc>
        <w:tc>
          <w:tcPr>
            <w:tcW w:w="8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Fair</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6"/>
              </w:rPr>
              <w:t>Twelve</w:t>
            </w:r>
          </w:p>
        </w:tc>
        <w:tc>
          <w:tcPr>
            <w:tcW w:w="140" w:type="dxa"/>
            <w:vAlign w:val="bottom"/>
          </w:tcPr>
          <w:p>
            <w:pPr>
              <w:spacing w:after="0"/>
              <w:rPr>
                <w:sz w:val="18"/>
                <w:szCs w:val="18"/>
                <w:color w:val="auto"/>
              </w:rPr>
            </w:pPr>
          </w:p>
        </w:tc>
        <w:tc>
          <w:tcPr>
            <w:tcW w:w="8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Fair</w:t>
            </w:r>
          </w:p>
        </w:tc>
        <w:tc>
          <w:tcPr>
            <w:tcW w:w="126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Unrealized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Fair</w:t>
            </w:r>
          </w:p>
        </w:tc>
      </w:tr>
      <w:tr>
        <w:trPr>
          <w:trHeight w:val="234"/>
        </w:trPr>
        <w:tc>
          <w:tcPr>
            <w:tcW w:w="16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rPr>
              <w:t>Months</w:t>
            </w:r>
          </w:p>
        </w:tc>
        <w:tc>
          <w:tcPr>
            <w:tcW w:w="140" w:type="dxa"/>
            <w:vAlign w:val="bottom"/>
          </w:tcPr>
          <w:p>
            <w:pPr>
              <w:spacing w:after="0"/>
              <w:rPr>
                <w:sz w:val="20"/>
                <w:szCs w:val="20"/>
                <w:color w:val="auto"/>
              </w:rPr>
            </w:pPr>
          </w:p>
        </w:tc>
        <w:tc>
          <w:tcPr>
            <w:tcW w:w="8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Value</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Months</w:t>
            </w:r>
          </w:p>
        </w:tc>
        <w:tc>
          <w:tcPr>
            <w:tcW w:w="140" w:type="dxa"/>
            <w:vAlign w:val="bottom"/>
          </w:tcPr>
          <w:p>
            <w:pPr>
              <w:spacing w:after="0"/>
              <w:rPr>
                <w:sz w:val="20"/>
                <w:szCs w:val="20"/>
                <w:color w:val="auto"/>
              </w:rPr>
            </w:pPr>
          </w:p>
        </w:tc>
        <w:tc>
          <w:tcPr>
            <w:tcW w:w="8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Value</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Loss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Value</w:t>
            </w:r>
          </w:p>
        </w:tc>
      </w:tr>
      <w:tr>
        <w:trPr>
          <w:trHeight w:val="169"/>
        </w:trPr>
        <w:tc>
          <w:tcPr>
            <w:tcW w:w="4740" w:type="dxa"/>
            <w:vAlign w:val="bottom"/>
            <w:tcBorders>
              <w:top w:val="single" w:sz="8" w:color="CCEEFF"/>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At December 31, 2025</w:t>
            </w: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r>
      <w:tr>
        <w:trPr>
          <w:trHeight w:val="21"/>
        </w:trPr>
        <w:tc>
          <w:tcPr>
            <w:tcW w:w="1640" w:type="dxa"/>
            <w:vAlign w:val="bottom"/>
            <w:tcBorders>
              <w:top w:val="single" w:sz="8" w:color="auto"/>
            </w:tcBorders>
            <w:shd w:val="clear" w:color="auto" w:fill="CCEEFF"/>
          </w:tcPr>
          <w:p>
            <w:pPr>
              <w:spacing w:after="0" w:line="20" w:lineRule="exact"/>
              <w:rPr>
                <w:sz w:val="1"/>
                <w:szCs w:val="1"/>
                <w:color w:val="auto"/>
              </w:rPr>
            </w:pPr>
          </w:p>
        </w:tc>
        <w:tc>
          <w:tcPr>
            <w:tcW w:w="3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2,991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118,432</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2,991</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118,432</w:t>
            </w:r>
          </w:p>
        </w:tc>
      </w:tr>
      <w:tr>
        <w:trPr>
          <w:trHeight w:val="223"/>
        </w:trPr>
        <w:tc>
          <w:tcPr>
            <w:tcW w:w="47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unrealized losses</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118,432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5"/>
              </w:rPr>
              <w:t>118,432</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r>
      <w:tr>
        <w:trPr>
          <w:trHeight w:val="20"/>
        </w:trPr>
        <w:tc>
          <w:tcPr>
            <w:tcW w:w="16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16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75"/>
        </w:trPr>
        <w:tc>
          <w:tcPr>
            <w:tcW w:w="47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At December 31, 2024</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1"/>
        </w:trPr>
        <w:tc>
          <w:tcPr>
            <w:tcW w:w="1640" w:type="dxa"/>
            <w:vAlign w:val="bottom"/>
            <w:tcBorders>
              <w:top w:val="single" w:sz="8" w:color="auto"/>
            </w:tcBorders>
            <w:shd w:val="clear" w:color="auto" w:fill="CCEEFF"/>
          </w:tcPr>
          <w:p>
            <w:pPr>
              <w:spacing w:after="0" w:line="20" w:lineRule="exact"/>
              <w:rPr>
                <w:sz w:val="1"/>
                <w:szCs w:val="1"/>
                <w:color w:val="auto"/>
              </w:rPr>
            </w:pPr>
          </w:p>
        </w:tc>
        <w:tc>
          <w:tcPr>
            <w:tcW w:w="3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98"/>
        </w:trPr>
        <w:tc>
          <w:tcPr>
            <w:tcW w:w="47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 Government</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agencies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2,010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649,419</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2,010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649,419</w:t>
            </w:r>
          </w:p>
        </w:tc>
        <w:tc>
          <w:tcPr>
            <w:tcW w:w="80" w:type="dxa"/>
            <w:vAlign w:val="bottom"/>
          </w:tcPr>
          <w:p>
            <w:pPr>
              <w:spacing w:after="0"/>
              <w:rPr>
                <w:sz w:val="20"/>
                <w:szCs w:val="20"/>
                <w:color w:val="auto"/>
              </w:rPr>
            </w:pPr>
          </w:p>
        </w:tc>
      </w:tr>
      <w:tr>
        <w:trPr>
          <w:trHeight w:val="230"/>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4,950</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120,243</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4,950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120,243</w:t>
            </w:r>
          </w:p>
        </w:tc>
        <w:tc>
          <w:tcPr>
            <w:tcW w:w="80" w:type="dxa"/>
            <w:vAlign w:val="bottom"/>
            <w:shd w:val="clear" w:color="auto" w:fill="CCEEFF"/>
          </w:tcPr>
          <w:p>
            <w:pPr>
              <w:spacing w:after="0"/>
              <w:rPr>
                <w:sz w:val="19"/>
                <w:szCs w:val="19"/>
                <w:color w:val="auto"/>
              </w:rPr>
            </w:pPr>
          </w:p>
        </w:tc>
      </w:tr>
      <w:tr>
        <w:trPr>
          <w:trHeight w:val="223"/>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unrealized losses</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6,960</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769,662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6,960</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9"/>
              </w:rPr>
              <w:t>769,662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6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Relevant holdings were comprised of two securities with fair values aggregating 97.5% of aggregate amortized cost as of December 31, 2025 compared to four securities with fair values aggregating 99.1% of aggregate amortized cost as of December 31, 2024. No credit losses have been recognized for 2025, and 2024, since the unrealized losses are primarily the result of increases in interest rates. See Note 2 for additional information regarding the Company’s evaluation of the allowance for credit losses for fixed maturity securities available for sale.</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table below presents the amortized cost and estimated fair value of fixed maturity securities available for sale as of December 31, 2025, by contractual maturity. Expected maturities may differ from contractual maturities because certain borrowers may have the right to call or prepay obligations with or without call or prepayment penalties.</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in 1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in 2-5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in 5-10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in more than 10 years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8"/>
              </w:rPr>
              <w:t>Amortized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Estimated Fair</w:t>
            </w:r>
          </w:p>
        </w:tc>
      </w:tr>
      <w:tr>
        <w:trPr>
          <w:trHeight w:val="234"/>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6"/>
              </w:rPr>
              <w:t>Cost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191"/>
        </w:trPr>
        <w:tc>
          <w:tcPr>
            <w:tcW w:w="20" w:type="dxa"/>
            <w:vAlign w:val="bottom"/>
          </w:tcPr>
          <w:p>
            <w:pPr>
              <w:spacing w:after="0"/>
              <w:rPr>
                <w:sz w:val="16"/>
                <w:szCs w:val="16"/>
                <w:color w:val="auto"/>
              </w:rPr>
            </w:pPr>
          </w:p>
        </w:tc>
        <w:tc>
          <w:tcPr>
            <w:tcW w:w="180" w:type="dxa"/>
            <w:vAlign w:val="bottom"/>
            <w:tcBorders>
              <w:top w:val="single" w:sz="8" w:color="auto"/>
            </w:tcBorders>
          </w:tcPr>
          <w:p>
            <w:pPr>
              <w:jc w:val="right"/>
              <w:ind w:right="1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152,738</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153,579</w:t>
            </w: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70,170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67,560</w:t>
            </w:r>
          </w:p>
        </w:tc>
      </w:tr>
      <w:tr>
        <w:trPr>
          <w:trHeight w:val="230"/>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51,253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50,873</w:t>
            </w:r>
          </w:p>
        </w:tc>
      </w:tr>
      <w:tr>
        <w:trPr>
          <w:trHeight w:val="234"/>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274,161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272,012</w:t>
            </w:r>
          </w:p>
        </w:tc>
      </w:tr>
      <w:tr>
        <w:trPr>
          <w:trHeight w:val="20"/>
        </w:trPr>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-3093085</wp:posOffset>
            </wp:positionH>
            <wp:positionV relativeFrom="paragraph">
              <wp:posOffset>-745490</wp:posOffset>
            </wp:positionV>
            <wp:extent cx="4989195" cy="146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989195" cy="146050"/>
                    </a:xfrm>
                    <a:prstGeom prst="rect">
                      <a:avLst/>
                    </a:prstGeom>
                    <a:noFill/>
                  </pic:spPr>
                </pic:pic>
              </a:graphicData>
            </a:graphic>
          </wp:anchor>
        </w:drawing>
        <w:drawing>
          <wp:anchor simplePos="0" relativeHeight="251657728" behindDoc="1" locked="0" layoutInCell="0" allowOverlap="1">
            <wp:simplePos x="0" y="0"/>
            <wp:positionH relativeFrom="column">
              <wp:posOffset>-3093085</wp:posOffset>
            </wp:positionH>
            <wp:positionV relativeFrom="paragraph">
              <wp:posOffset>-462280</wp:posOffset>
            </wp:positionV>
            <wp:extent cx="4989195"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989195" cy="137160"/>
                    </a:xfrm>
                    <a:prstGeom prst="rect">
                      <a:avLst/>
                    </a:prstGeom>
                    <a:noFill/>
                  </pic:spPr>
                </pic:pic>
              </a:graphicData>
            </a:graphic>
          </wp:anchor>
        </w:drawing>
        <w:drawing>
          <wp:anchor simplePos="0" relativeHeight="251657728" behindDoc="1" locked="0" layoutInCell="0" allowOverlap="1">
            <wp:simplePos x="0" y="0"/>
            <wp:positionH relativeFrom="column">
              <wp:posOffset>-3093085</wp:posOffset>
            </wp:positionH>
            <wp:positionV relativeFrom="paragraph">
              <wp:posOffset>-179070</wp:posOffset>
            </wp:positionV>
            <wp:extent cx="4989195" cy="1625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989195" cy="1625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160" w:space="720"/>
            <w:col w:w="6360"/>
          </w:cols>
          <w:pgMar w:left="320" w:top="688"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See Notes 1, 2 and 21 for additional information regarding cemetery perpetual care trust investments.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7" w:lineRule="exact"/>
        <w:rPr>
          <w:sz w:val="20"/>
          <w:szCs w:val="20"/>
          <w:color w:val="auto"/>
        </w:rPr>
      </w:pPr>
    </w:p>
    <w:p>
      <w:pPr>
        <w:ind w:left="660" w:hanging="652"/>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Mortgage Servicing Rights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reports MSRs pursuant to the accounting policy discussed in Note 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presents the MSR activity.</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December 31,</w:t>
            </w:r>
          </w:p>
        </w:tc>
        <w:tc>
          <w:tcPr>
            <w:tcW w:w="10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2820" w:type="dxa"/>
            <w:vAlign w:val="bottom"/>
            <w:tcBorders>
              <w:bottom w:val="single" w:sz="8" w:color="CCEEFF"/>
            </w:tcBorders>
          </w:tcPr>
          <w:p>
            <w:pPr>
              <w:spacing w:after="0"/>
              <w:rPr>
                <w:sz w:val="19"/>
                <w:szCs w:val="19"/>
                <w:color w:val="auto"/>
              </w:rPr>
            </w:pPr>
          </w:p>
        </w:tc>
        <w:tc>
          <w:tcPr>
            <w:tcW w:w="27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CCEEFF"/>
            </w:tcBorders>
          </w:tcPr>
          <w:p>
            <w:pPr>
              <w:spacing w:after="0"/>
              <w:rPr>
                <w:sz w:val="19"/>
                <w:szCs w:val="19"/>
                <w:color w:val="auto"/>
              </w:rPr>
            </w:pPr>
          </w:p>
        </w:tc>
      </w:tr>
      <w:tr>
        <w:trPr>
          <w:trHeight w:val="210"/>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Amortized cost: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before valuation allowance at beginning of year</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2,939,878</w:t>
            </w: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3,461,146</w:t>
            </w:r>
          </w:p>
        </w:tc>
      </w:tr>
      <w:tr>
        <w:trPr>
          <w:trHeight w:val="216"/>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MSR additions resulting from loan sales</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151,056</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90,370</w:t>
            </w: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(1)</w:t>
            </w:r>
          </w:p>
        </w:tc>
        <w:tc>
          <w:tcPr>
            <w:tcW w:w="34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(562,475)</w:t>
            </w:r>
          </w:p>
        </w:tc>
        <w:tc>
          <w:tcPr>
            <w:tcW w:w="4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(611,638)</w:t>
            </w:r>
          </w:p>
        </w:tc>
      </w:tr>
      <w:tr>
        <w:trPr>
          <w:trHeight w:val="216"/>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MSRs</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56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Application of valuation allowance to write down MSRs with other than</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8"/>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temporary impairment</w:t>
            </w:r>
          </w:p>
        </w:tc>
        <w:tc>
          <w:tcPr>
            <w:tcW w:w="340" w:type="dxa"/>
            <w:vAlign w:val="bottom"/>
          </w:tcPr>
          <w:p>
            <w:pPr>
              <w:spacing w:after="0"/>
              <w:rPr>
                <w:sz w:val="21"/>
                <w:szCs w:val="21"/>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6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before valuation allowance at year end</w:t>
            </w:r>
          </w:p>
        </w:tc>
        <w:tc>
          <w:tcPr>
            <w:tcW w:w="3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2,528,459</w:t>
            </w:r>
          </w:p>
        </w:tc>
        <w:tc>
          <w:tcPr>
            <w:tcW w:w="2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2,939,878</w:t>
            </w: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28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 for impairment of MSRs: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56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Application of valuation allowance to write down MSRs with other than</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8"/>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temporary impairment</w:t>
            </w:r>
          </w:p>
        </w:tc>
        <w:tc>
          <w:tcPr>
            <w:tcW w:w="340" w:type="dxa"/>
            <w:vAlign w:val="bottom"/>
          </w:tcPr>
          <w:p>
            <w:pPr>
              <w:spacing w:after="0"/>
              <w:rPr>
                <w:sz w:val="21"/>
                <w:szCs w:val="21"/>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6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year end</w:t>
            </w:r>
          </w:p>
        </w:tc>
        <w:tc>
          <w:tcPr>
            <w:tcW w:w="3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28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servicing rights, net</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2,528,459</w:t>
            </w: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2,939,878</w:t>
            </w: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97"/>
        </w:trPr>
        <w:tc>
          <w:tcPr>
            <w:tcW w:w="28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3"/>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fair value of MSRs at year end</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4,035,635</w:t>
            </w: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4,552,316</w:t>
            </w: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96"/>
        </w:trPr>
        <w:tc>
          <w:tcPr>
            <w:tcW w:w="5600" w:type="dxa"/>
            <w:vAlign w:val="bottom"/>
            <w:gridSpan w:val="2"/>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8"/>
        </w:trPr>
        <w:tc>
          <w:tcPr>
            <w:tcW w:w="2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 Included in other expenses on the</w:t>
            </w: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earnings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r>
    </w:tbl>
    <w:p>
      <w:pPr>
        <w:spacing w:after="0" w:line="1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summarizes the Company’s estimate of future amortization of its existing MSRs carried at amortized cost. This projection was developed using the Company’s assumptions for the December 31, 2025, valuation of MSRs. The assumptions used in the following table are likely to change as market conditions, portfolio composition and borrower behavior change, causing both actual and projected amortization levels to change over time.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Estimated MSR</w:t>
            </w:r>
          </w:p>
        </w:tc>
      </w:tr>
      <w:tr>
        <w:trPr>
          <w:trHeight w:val="234"/>
        </w:trPr>
        <w:tc>
          <w:tcPr>
            <w:tcW w:w="3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Amortization</w:t>
            </w:r>
          </w:p>
        </w:tc>
      </w:tr>
      <w:tr>
        <w:trPr>
          <w:trHeight w:val="210"/>
        </w:trPr>
        <w:tc>
          <w:tcPr>
            <w:tcW w:w="3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264,862</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243,111</w:t>
            </w: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221,463</w:t>
            </w: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198,063</w:t>
            </w: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177,913</w:t>
            </w:r>
          </w:p>
        </w:tc>
      </w:tr>
      <w:tr>
        <w:trPr>
          <w:trHeight w:val="230"/>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1,423,047</w:t>
            </w:r>
          </w:p>
        </w:tc>
      </w:tr>
      <w:tr>
        <w:trPr>
          <w:trHeight w:val="223"/>
        </w:trPr>
        <w:tc>
          <w:tcPr>
            <w:tcW w:w="3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2,528,459</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7" w:lineRule="exact"/>
        <w:rPr>
          <w:sz w:val="20"/>
          <w:szCs w:val="20"/>
          <w:color w:val="auto"/>
        </w:rPr>
      </w:pPr>
    </w:p>
    <w:p>
      <w:pPr>
        <w:ind w:left="660" w:hanging="652"/>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Mortgage Servicing Rights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collected the following contractual servicing fee income and late fee income as reported in other revenues on the consolidated statements of earnings.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6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Years Ended December 31,</w:t>
            </w:r>
          </w:p>
        </w:tc>
      </w:tr>
      <w:tr>
        <w:trPr>
          <w:trHeight w:val="223"/>
        </w:trPr>
        <w:tc>
          <w:tcPr>
            <w:tcW w:w="42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40" w:type="dxa"/>
            <w:vAlign w:val="bottom"/>
            <w:tcBorders>
              <w:bottom w:val="single" w:sz="8" w:color="CCEEFF"/>
            </w:tcBorders>
          </w:tcPr>
          <w:p>
            <w:pPr>
              <w:spacing w:after="0"/>
              <w:rPr>
                <w:sz w:val="19"/>
                <w:szCs w:val="19"/>
                <w:color w:val="auto"/>
              </w:rPr>
            </w:pPr>
          </w:p>
        </w:tc>
      </w:tr>
      <w:tr>
        <w:trPr>
          <w:trHeight w:val="209"/>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Contractual servicing fees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918,850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968,814</w:t>
            </w:r>
          </w:p>
        </w:tc>
        <w:tc>
          <w:tcPr>
            <w:tcW w:w="40" w:type="dxa"/>
            <w:vAlign w:val="bottom"/>
            <w:shd w:val="clear" w:color="auto" w:fill="CCEEFF"/>
          </w:tcPr>
          <w:p>
            <w:pPr>
              <w:spacing w:after="0"/>
              <w:rPr>
                <w:sz w:val="18"/>
                <w:szCs w:val="18"/>
                <w:color w:val="auto"/>
              </w:rPr>
            </w:pPr>
          </w:p>
        </w:tc>
      </w:tr>
      <w:tr>
        <w:trPr>
          <w:trHeight w:val="23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Late fees</w:t>
            </w:r>
          </w:p>
        </w:tc>
        <w:tc>
          <w:tcPr>
            <w:tcW w:w="1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63,599</w:t>
            </w:r>
          </w:p>
        </w:tc>
        <w:tc>
          <w:tcPr>
            <w:tcW w:w="26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77,123</w:t>
            </w:r>
          </w:p>
        </w:tc>
      </w:tr>
      <w:tr>
        <w:trPr>
          <w:trHeight w:val="223"/>
        </w:trPr>
        <w:tc>
          <w:tcPr>
            <w:tcW w:w="4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982,449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1,045,937</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unpaid principal balances (“UPB”) of the servicing portfolio.</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2540" w:type="dxa"/>
            <w:vAlign w:val="bottom"/>
            <w:gridSpan w:val="4"/>
          </w:tcPr>
          <w:p>
            <w:pPr>
              <w:ind w:left="740"/>
              <w:spacing w:after="0"/>
              <w:rPr>
                <w:sz w:val="20"/>
                <w:szCs w:val="20"/>
                <w:color w:val="auto"/>
              </w:rPr>
            </w:pPr>
            <w:r>
              <w:rPr>
                <w:rFonts w:ascii="Times New Roman" w:cs="Times New Roman" w:eastAsia="Times New Roman" w:hAnsi="Times New Roman"/>
                <w:sz w:val="18"/>
                <w:szCs w:val="18"/>
                <w:color w:val="auto"/>
              </w:rPr>
              <w:t>December 31,</w:t>
            </w:r>
          </w:p>
        </w:tc>
      </w:tr>
      <w:tr>
        <w:trPr>
          <w:trHeight w:val="223"/>
        </w:trPr>
        <w:tc>
          <w:tcPr>
            <w:tcW w:w="4200" w:type="dxa"/>
            <w:vAlign w:val="bottom"/>
          </w:tcPr>
          <w:p>
            <w:pPr>
              <w:spacing w:after="0"/>
              <w:rPr>
                <w:sz w:val="19"/>
                <w:szCs w:val="19"/>
                <w:color w:val="auto"/>
              </w:rPr>
            </w:pPr>
          </w:p>
        </w:tc>
        <w:tc>
          <w:tcPr>
            <w:tcW w:w="116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c>
          <w:tcPr>
            <w:tcW w:w="1340" w:type="dxa"/>
            <w:vAlign w:val="bottom"/>
            <w:tcBorders>
              <w:top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40" w:type="dxa"/>
            <w:vAlign w:val="bottom"/>
          </w:tcPr>
          <w:p>
            <w:pPr>
              <w:spacing w:after="0"/>
              <w:rPr>
                <w:sz w:val="19"/>
                <w:szCs w:val="19"/>
                <w:color w:val="auto"/>
              </w:rPr>
            </w:pP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Servicing UPB</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361,632,543</w:t>
            </w: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385,134,774</w:t>
            </w:r>
          </w:p>
        </w:tc>
        <w:tc>
          <w:tcPr>
            <w:tcW w:w="4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key assumptions were used in determining MSR value.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4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Prepayment</w:t>
            </w: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Average</w:t>
            </w:r>
          </w:p>
        </w:tc>
        <w:tc>
          <w:tcPr>
            <w:tcW w:w="100" w:type="dxa"/>
            <w:vAlign w:val="bottom"/>
          </w:tcPr>
          <w:p>
            <w:pPr>
              <w:spacing w:after="0"/>
              <w:rPr>
                <w:sz w:val="18"/>
                <w:szCs w:val="18"/>
                <w:color w:val="auto"/>
              </w:rPr>
            </w:pPr>
          </w:p>
        </w:tc>
        <w:tc>
          <w:tcPr>
            <w:tcW w:w="12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Discount</w:t>
            </w:r>
          </w:p>
        </w:tc>
        <w:tc>
          <w:tcPr>
            <w:tcW w:w="4500" w:type="dxa"/>
            <w:vAlign w:val="bottom"/>
          </w:tcPr>
          <w:p>
            <w:pPr>
              <w:spacing w:after="0"/>
              <w:rPr>
                <w:sz w:val="18"/>
                <w:szCs w:val="18"/>
                <w:color w:val="auto"/>
              </w:rPr>
            </w:pPr>
          </w:p>
        </w:tc>
      </w:tr>
      <w:tr>
        <w:trPr>
          <w:trHeight w:val="234"/>
        </w:trPr>
        <w:tc>
          <w:tcPr>
            <w:tcW w:w="2840" w:type="dxa"/>
            <w:vAlign w:val="bottom"/>
          </w:tcPr>
          <w:p>
            <w:pPr>
              <w:spacing w:after="0"/>
              <w:rPr>
                <w:sz w:val="20"/>
                <w:szCs w:val="20"/>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Speeds</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Life(Years)</w:t>
            </w:r>
          </w:p>
        </w:tc>
        <w:tc>
          <w:tcPr>
            <w:tcW w:w="100" w:type="dxa"/>
            <w:vAlign w:val="bottom"/>
          </w:tcPr>
          <w:p>
            <w:pPr>
              <w:spacing w:after="0"/>
              <w:rPr>
                <w:sz w:val="20"/>
                <w:szCs w:val="20"/>
                <w:color w:val="auto"/>
              </w:rPr>
            </w:pPr>
          </w:p>
        </w:tc>
        <w:tc>
          <w:tcPr>
            <w:tcW w:w="12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Rate</w:t>
            </w:r>
          </w:p>
        </w:tc>
        <w:tc>
          <w:tcPr>
            <w:tcW w:w="4500" w:type="dxa"/>
            <w:vAlign w:val="bottom"/>
          </w:tcPr>
          <w:p>
            <w:pPr>
              <w:spacing w:after="0"/>
              <w:rPr>
                <w:sz w:val="20"/>
                <w:szCs w:val="20"/>
                <w:color w:val="auto"/>
              </w:rPr>
            </w:pPr>
          </w:p>
        </w:tc>
      </w:tr>
      <w:tr>
        <w:trPr>
          <w:trHeight w:val="209"/>
        </w:trPr>
        <w:tc>
          <w:tcPr>
            <w:tcW w:w="2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4500" w:type="dxa"/>
            <w:vAlign w:val="bottom"/>
          </w:tcPr>
          <w:p>
            <w:pPr>
              <w:spacing w:after="0"/>
              <w:rPr>
                <w:sz w:val="18"/>
                <w:szCs w:val="18"/>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8.79</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4500" w:type="dxa"/>
            <w:vAlign w:val="bottom"/>
          </w:tcPr>
          <w:p>
            <w:pPr>
              <w:spacing w:after="0"/>
              <w:rPr>
                <w:sz w:val="20"/>
                <w:szCs w:val="20"/>
                <w:color w:val="auto"/>
              </w:rPr>
            </w:pPr>
          </w:p>
        </w:tc>
      </w:tr>
      <w:tr>
        <w:trPr>
          <w:trHeight w:val="414"/>
        </w:trPr>
        <w:tc>
          <w:tcPr>
            <w:tcW w:w="28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right"/>
              <w:ind w:right="930"/>
              <w:spacing w:after="0"/>
              <w:rPr>
                <w:sz w:val="20"/>
                <w:szCs w:val="20"/>
                <w:color w:val="auto"/>
              </w:rPr>
            </w:pPr>
            <w:r>
              <w:rPr>
                <w:rFonts w:ascii="Times New Roman" w:cs="Times New Roman" w:eastAsia="Times New Roman" w:hAnsi="Times New Roman"/>
                <w:sz w:val="18"/>
                <w:szCs w:val="18"/>
                <w:color w:val="auto"/>
              </w:rPr>
              <w:t>89</w:t>
            </w:r>
          </w:p>
        </w:tc>
        <w:tc>
          <w:tcPr>
            <w:tcW w:w="4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1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Property and Equipment</w:t>
            </w:r>
          </w:p>
        </w:tc>
        <w:tc>
          <w:tcPr>
            <w:tcW w:w="1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53"/>
        </w:trPr>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and equipment is summarized below:</w:t>
            </w: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45"/>
        </w:trPr>
        <w:tc>
          <w:tcPr>
            <w:tcW w:w="6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9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23"/>
        </w:trPr>
        <w:tc>
          <w:tcPr>
            <w:tcW w:w="66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170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60" w:type="dxa"/>
            <w:vAlign w:val="bottom"/>
            <w:tcBorders>
              <w:bottom w:val="single" w:sz="8" w:color="CCEEFF"/>
            </w:tcBorders>
          </w:tcPr>
          <w:p>
            <w:pPr>
              <w:spacing w:after="0"/>
              <w:rPr>
                <w:sz w:val="19"/>
                <w:szCs w:val="19"/>
                <w:color w:val="auto"/>
              </w:rPr>
            </w:pPr>
          </w:p>
        </w:tc>
      </w:tr>
      <w:tr>
        <w:trPr>
          <w:trHeight w:val="209"/>
        </w:trPr>
        <w:tc>
          <w:tcPr>
            <w:tcW w:w="4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and buildings</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17,511,360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17,194,972</w:t>
            </w:r>
          </w:p>
        </w:tc>
        <w:tc>
          <w:tcPr>
            <w:tcW w:w="60" w:type="dxa"/>
            <w:vAlign w:val="bottom"/>
            <w:shd w:val="clear" w:color="auto" w:fill="CCEEFF"/>
          </w:tcPr>
          <w:p>
            <w:pPr>
              <w:spacing w:after="0"/>
              <w:rPr>
                <w:sz w:val="18"/>
                <w:szCs w:val="18"/>
                <w:color w:val="auto"/>
              </w:rPr>
            </w:pPr>
          </w:p>
        </w:tc>
      </w:tr>
      <w:tr>
        <w:trPr>
          <w:trHeight w:val="230"/>
        </w:trPr>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15,481,843</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15,998,717</w:t>
            </w:r>
          </w:p>
        </w:tc>
      </w:tr>
      <w:tr>
        <w:trPr>
          <w:trHeight w:val="209"/>
        </w:trPr>
        <w:tc>
          <w:tcPr>
            <w:tcW w:w="66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32,993,203</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33,193,689</w:t>
            </w:r>
          </w:p>
        </w:tc>
        <w:tc>
          <w:tcPr>
            <w:tcW w:w="60" w:type="dxa"/>
            <w:vAlign w:val="bottom"/>
            <w:tcBorders>
              <w:top w:val="single" w:sz="8" w:color="CCEEFF"/>
            </w:tcBorders>
            <w:shd w:val="clear" w:color="auto" w:fill="CCEEFF"/>
          </w:tcPr>
          <w:p>
            <w:pPr>
              <w:spacing w:after="0"/>
              <w:rPr>
                <w:sz w:val="18"/>
                <w:szCs w:val="18"/>
                <w:color w:val="auto"/>
              </w:rPr>
            </w:pPr>
          </w:p>
        </w:tc>
      </w:tr>
      <w:tr>
        <w:trPr>
          <w:trHeight w:val="229"/>
        </w:trPr>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(14,781,486)</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(14,146,001)</w:t>
            </w:r>
          </w:p>
        </w:tc>
      </w:tr>
      <w:tr>
        <w:trPr>
          <w:trHeight w:val="223"/>
        </w:trPr>
        <w:tc>
          <w:tcPr>
            <w:tcW w:w="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tcBorders>
              <w:top w:val="single" w:sz="8" w:color="CCEEFF"/>
              <w:bottom w:val="single" w:sz="8" w:color="CCEEFF"/>
            </w:tcBorders>
            <w:shd w:val="clear" w:color="auto" w:fill="CCEEFF"/>
          </w:tcPr>
          <w:p>
            <w:pPr>
              <w:spacing w:after="0"/>
              <w:rPr>
                <w:sz w:val="19"/>
                <w:szCs w:val="19"/>
                <w:color w:val="auto"/>
              </w:rPr>
            </w:pPr>
          </w:p>
        </w:tc>
        <w:tc>
          <w:tcPr>
            <w:tcW w:w="170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18,211,717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19,047,688</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expense for 2025 and 2024 was $2,425,185 and $2,383,621, respectively. Property and equipment are stated at cost and are depreciated over their estimated useful lives, primarily using the straight-line method. The Company did not record any impairment losses on property and equipment for 2025 or 2024. Impairment losses, if any, are included in gains (losses) on investments and other assets on the consolidated statements of earnings.</w:t>
      </w:r>
    </w:p>
    <w:p>
      <w:pPr>
        <w:spacing w:after="0" w:line="176" w:lineRule="exact"/>
        <w:rPr>
          <w:sz w:val="20"/>
          <w:szCs w:val="20"/>
          <w:color w:val="auto"/>
        </w:rPr>
      </w:pPr>
    </w:p>
    <w:p>
      <w:pPr>
        <w:ind w:left="660" w:hanging="652"/>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Deferred Policy and Pre-need Contract Acquisition Costs, Value of Business Acquired, and Unearned Premium Reserve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Policy and Pre-need Contract Acquisition Costs (“DAC”)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reports DAC pursuant to the accounting policy discussed in Note 1. Also, refer to Note 1 regarding the adoption of ASU 2018-12.</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show a roll forward for the lines of business that contain DAC balances, along with a reconciliation to the Company’s total DAC balance: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6"/>
          </w:tcPr>
          <w:p>
            <w:pPr>
              <w:jc w:val="right"/>
              <w:ind w:right="620"/>
              <w:spacing w:after="0"/>
              <w:rPr>
                <w:sz w:val="20"/>
                <w:szCs w:val="20"/>
                <w:color w:val="auto"/>
              </w:rPr>
            </w:pPr>
            <w:r>
              <w:rPr>
                <w:rFonts w:ascii="Times New Roman" w:cs="Times New Roman" w:eastAsia="Times New Roman" w:hAnsi="Times New Roman"/>
                <w:sz w:val="18"/>
                <w:szCs w:val="18"/>
                <w:color w:val="auto"/>
              </w:rPr>
              <w:t>Year Ended December 31, 2025</w:t>
            </w: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500"/>
              <w:spacing w:after="0" w:line="191" w:lineRule="exact"/>
              <w:rPr>
                <w:sz w:val="20"/>
                <w:szCs w:val="20"/>
                <w:color w:val="auto"/>
              </w:rPr>
            </w:pPr>
            <w:r>
              <w:rPr>
                <w:rFonts w:ascii="Times New Roman" w:cs="Times New Roman" w:eastAsia="Times New Roman" w:hAnsi="Times New Roman"/>
                <w:sz w:val="18"/>
                <w:szCs w:val="18"/>
                <w:color w:val="auto"/>
                <w:w w:val="99"/>
              </w:rPr>
              <w:t>Traditional</w:t>
            </w:r>
          </w:p>
        </w:tc>
        <w:tc>
          <w:tcPr>
            <w:tcW w:w="180" w:type="dxa"/>
            <w:vAlign w:val="bottom"/>
          </w:tcPr>
          <w:p>
            <w:pPr>
              <w:spacing w:after="0"/>
              <w:rPr>
                <w:sz w:val="16"/>
                <w:szCs w:val="16"/>
                <w:color w:val="auto"/>
              </w:rPr>
            </w:pPr>
          </w:p>
        </w:tc>
        <w:tc>
          <w:tcPr>
            <w:tcW w:w="1400" w:type="dxa"/>
            <w:vAlign w:val="bottom"/>
            <w:gridSpan w:val="2"/>
          </w:tcPr>
          <w:p>
            <w:pPr>
              <w:jc w:val="center"/>
              <w:ind w:right="520"/>
              <w:spacing w:after="0" w:line="191" w:lineRule="exact"/>
              <w:rPr>
                <w:sz w:val="20"/>
                <w:szCs w:val="20"/>
                <w:color w:val="auto"/>
              </w:rPr>
            </w:pPr>
            <w:r>
              <w:rPr>
                <w:rFonts w:ascii="Times New Roman" w:cs="Times New Roman" w:eastAsia="Times New Roman" w:hAnsi="Times New Roman"/>
                <w:sz w:val="18"/>
                <w:szCs w:val="18"/>
                <w:color w:val="auto"/>
                <w:w w:val="97"/>
              </w:rPr>
              <w:t>Fixed</w:t>
            </w:r>
          </w:p>
        </w:tc>
        <w:tc>
          <w:tcPr>
            <w:tcW w:w="140" w:type="dxa"/>
            <w:vAlign w:val="bottom"/>
          </w:tcPr>
          <w:p>
            <w:pPr>
              <w:spacing w:after="0"/>
              <w:rPr>
                <w:sz w:val="16"/>
                <w:szCs w:val="16"/>
                <w:color w:val="auto"/>
              </w:rPr>
            </w:pPr>
          </w:p>
        </w:tc>
        <w:tc>
          <w:tcPr>
            <w:tcW w:w="1280" w:type="dxa"/>
            <w:vAlign w:val="bottom"/>
            <w:gridSpan w:val="2"/>
          </w:tcPr>
          <w:p>
            <w:pPr>
              <w:jc w:val="center"/>
              <w:ind w:right="300"/>
              <w:spacing w:after="0" w:line="191" w:lineRule="exact"/>
              <w:rPr>
                <w:sz w:val="20"/>
                <w:szCs w:val="20"/>
                <w:color w:val="auto"/>
              </w:rPr>
            </w:pPr>
            <w:r>
              <w:rPr>
                <w:rFonts w:ascii="Times New Roman" w:cs="Times New Roman" w:eastAsia="Times New Roman" w:hAnsi="Times New Roman"/>
                <w:sz w:val="18"/>
                <w:szCs w:val="18"/>
                <w:color w:val="auto"/>
                <w:w w:val="99"/>
              </w:rPr>
              <w:t>Universal</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460"/>
              <w:spacing w:after="0" w:line="191" w:lineRule="exact"/>
              <w:rPr>
                <w:sz w:val="20"/>
                <w:szCs w:val="20"/>
                <w:color w:val="auto"/>
              </w:rPr>
            </w:pPr>
            <w:r>
              <w:rPr>
                <w:rFonts w:ascii="Times New Roman" w:cs="Times New Roman" w:eastAsia="Times New Roman" w:hAnsi="Times New Roman"/>
                <w:sz w:val="18"/>
                <w:szCs w:val="18"/>
                <w:color w:val="auto"/>
                <w:w w:val="98"/>
              </w:rPr>
              <w:t>Accident and</w:t>
            </w:r>
          </w:p>
        </w:tc>
        <w:tc>
          <w:tcPr>
            <w:tcW w:w="180" w:type="dxa"/>
            <w:vAlign w:val="bottom"/>
          </w:tcPr>
          <w:p>
            <w:pPr>
              <w:spacing w:after="0"/>
              <w:rPr>
                <w:sz w:val="16"/>
                <w:szCs w:val="16"/>
                <w:color w:val="auto"/>
              </w:rPr>
            </w:pPr>
          </w:p>
        </w:tc>
        <w:tc>
          <w:tcPr>
            <w:tcW w:w="1240" w:type="dxa"/>
            <w:vAlign w:val="bottom"/>
            <w:gridSpan w:val="2"/>
          </w:tcPr>
          <w:p>
            <w:pPr>
              <w:jc w:val="center"/>
              <w:ind w:right="400"/>
              <w:spacing w:after="0" w:line="191" w:lineRule="exact"/>
              <w:rPr>
                <w:sz w:val="20"/>
                <w:szCs w:val="20"/>
                <w:color w:val="auto"/>
              </w:rPr>
            </w:pPr>
            <w:r>
              <w:rPr>
                <w:rFonts w:ascii="Times New Roman" w:cs="Times New Roman" w:eastAsia="Times New Roman" w:hAnsi="Times New Roman"/>
                <w:sz w:val="18"/>
                <w:szCs w:val="18"/>
                <w:color w:val="auto"/>
                <w:w w:val="99"/>
              </w:rPr>
              <w:t>Pre-need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9"/>
              </w:rPr>
              <w:t>Life</w:t>
            </w:r>
          </w:p>
        </w:tc>
        <w:tc>
          <w:tcPr>
            <w:tcW w:w="180" w:type="dxa"/>
            <w:vAlign w:val="bottom"/>
          </w:tcPr>
          <w:p>
            <w:pPr>
              <w:spacing w:after="0"/>
              <w:rPr>
                <w:sz w:val="20"/>
                <w:szCs w:val="20"/>
                <w:color w:val="auto"/>
              </w:rPr>
            </w:pPr>
          </w:p>
        </w:tc>
        <w:tc>
          <w:tcPr>
            <w:tcW w:w="14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9"/>
              </w:rPr>
              <w:t>Annuities</w:t>
            </w:r>
          </w:p>
        </w:tc>
        <w:tc>
          <w:tcPr>
            <w:tcW w:w="140" w:type="dxa"/>
            <w:vAlign w:val="bottom"/>
          </w:tcPr>
          <w:p>
            <w:pPr>
              <w:spacing w:after="0"/>
              <w:rPr>
                <w:sz w:val="20"/>
                <w:szCs w:val="20"/>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Life</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Health</w:t>
            </w:r>
          </w:p>
        </w:tc>
        <w:tc>
          <w:tcPr>
            <w:tcW w:w="18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Contracts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Total</w:t>
            </w:r>
          </w:p>
        </w:tc>
      </w:tr>
      <w:tr>
        <w:trPr>
          <w:trHeight w:val="178"/>
        </w:trPr>
        <w:tc>
          <w:tcPr>
            <w:tcW w:w="70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Balance,</w:t>
            </w:r>
          </w:p>
        </w:tc>
        <w:tc>
          <w:tcPr>
            <w:tcW w:w="940" w:type="dxa"/>
            <w:vAlign w:val="bottom"/>
            <w:tcBorders>
              <w:top w:val="single" w:sz="8" w:color="CCEEFF"/>
            </w:tcBorders>
            <w:shd w:val="clear" w:color="auto" w:fill="CCEEFF"/>
          </w:tcPr>
          <w:p>
            <w:pPr>
              <w:ind w:left="80"/>
              <w:spacing w:after="0" w:line="177" w:lineRule="exact"/>
              <w:rPr>
                <w:sz w:val="20"/>
                <w:szCs w:val="20"/>
                <w:color w:val="auto"/>
              </w:rPr>
            </w:pPr>
            <w:r>
              <w:rPr>
                <w:rFonts w:ascii="Times New Roman" w:cs="Times New Roman" w:eastAsia="Times New Roman" w:hAnsi="Times New Roman"/>
                <w:sz w:val="18"/>
                <w:szCs w:val="18"/>
                <w:color w:val="auto"/>
              </w:rPr>
              <w:t>beginning</w:t>
            </w:r>
          </w:p>
        </w:tc>
        <w:tc>
          <w:tcPr>
            <w:tcW w:w="400" w:type="dxa"/>
            <w:vAlign w:val="bottom"/>
            <w:tcBorders>
              <w:top w:val="single" w:sz="8" w:color="CCEEFF"/>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of</w:t>
            </w:r>
          </w:p>
        </w:tc>
        <w:tc>
          <w:tcPr>
            <w:tcW w:w="16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4"/>
        </w:trPr>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w:t>
            </w:r>
          </w:p>
        </w:tc>
        <w:tc>
          <w:tcPr>
            <w:tcW w:w="94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118,803,677</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535,836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3,754,867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466</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4,125,061</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127,219,907</w:t>
            </w:r>
          </w:p>
        </w:tc>
      </w:tr>
      <w:tr>
        <w:trPr>
          <w:trHeight w:val="216"/>
        </w:trPr>
        <w:tc>
          <w:tcPr>
            <w:tcW w:w="1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Deferrals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18,828,392</w:t>
            </w:r>
          </w:p>
        </w:tc>
        <w:tc>
          <w:tcPr>
            <w:tcW w:w="18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171,272</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926,605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19,926,269</w:t>
            </w:r>
          </w:p>
        </w:tc>
      </w:tr>
      <w:tr>
        <w:trPr>
          <w:trHeight w:val="230"/>
        </w:trPr>
        <w:tc>
          <w:tcPr>
            <w:tcW w:w="1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(9,992,783)</w:t>
            </w: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(135,738)</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(324,349)</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(466)</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(714,037)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(11,167,373)</w:t>
            </w:r>
          </w:p>
        </w:tc>
      </w:tr>
      <w:tr>
        <w:trPr>
          <w:trHeight w:val="223"/>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Balance, end of period</w:t>
            </w:r>
          </w:p>
        </w:tc>
        <w:tc>
          <w:tcPr>
            <w:tcW w:w="4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127,639,286</w:t>
            </w: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571,370</w:t>
            </w: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3,430,518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4,337,629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135,978,803</w:t>
            </w:r>
          </w:p>
        </w:tc>
        <w:tc>
          <w:tcPr>
            <w:tcW w:w="100" w:type="dxa"/>
            <w:vAlign w:val="bottom"/>
          </w:tcPr>
          <w:p>
            <w:pPr>
              <w:spacing w:after="0"/>
              <w:rPr>
                <w:sz w:val="19"/>
                <w:szCs w:val="19"/>
                <w:color w:val="auto"/>
              </w:rPr>
            </w:pPr>
          </w:p>
        </w:tc>
      </w:tr>
      <w:tr>
        <w:trPr>
          <w:trHeight w:val="20"/>
        </w:trPr>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6"/>
          </w:tcPr>
          <w:p>
            <w:pPr>
              <w:jc w:val="right"/>
              <w:ind w:right="620"/>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500"/>
              <w:spacing w:after="0" w:line="191" w:lineRule="exact"/>
              <w:rPr>
                <w:sz w:val="20"/>
                <w:szCs w:val="20"/>
                <w:color w:val="auto"/>
              </w:rPr>
            </w:pPr>
            <w:r>
              <w:rPr>
                <w:rFonts w:ascii="Times New Roman" w:cs="Times New Roman" w:eastAsia="Times New Roman" w:hAnsi="Times New Roman"/>
                <w:sz w:val="18"/>
                <w:szCs w:val="18"/>
                <w:color w:val="auto"/>
                <w:w w:val="99"/>
              </w:rPr>
              <w:t>Traditional</w:t>
            </w:r>
          </w:p>
        </w:tc>
        <w:tc>
          <w:tcPr>
            <w:tcW w:w="180" w:type="dxa"/>
            <w:vAlign w:val="bottom"/>
          </w:tcPr>
          <w:p>
            <w:pPr>
              <w:spacing w:after="0"/>
              <w:rPr>
                <w:sz w:val="16"/>
                <w:szCs w:val="16"/>
                <w:color w:val="auto"/>
              </w:rPr>
            </w:pPr>
          </w:p>
        </w:tc>
        <w:tc>
          <w:tcPr>
            <w:tcW w:w="1400" w:type="dxa"/>
            <w:vAlign w:val="bottom"/>
            <w:gridSpan w:val="2"/>
          </w:tcPr>
          <w:p>
            <w:pPr>
              <w:jc w:val="center"/>
              <w:ind w:right="520"/>
              <w:spacing w:after="0" w:line="191" w:lineRule="exact"/>
              <w:rPr>
                <w:sz w:val="20"/>
                <w:szCs w:val="20"/>
                <w:color w:val="auto"/>
              </w:rPr>
            </w:pPr>
            <w:r>
              <w:rPr>
                <w:rFonts w:ascii="Times New Roman" w:cs="Times New Roman" w:eastAsia="Times New Roman" w:hAnsi="Times New Roman"/>
                <w:sz w:val="18"/>
                <w:szCs w:val="18"/>
                <w:color w:val="auto"/>
                <w:w w:val="97"/>
              </w:rPr>
              <w:t>Fixed</w:t>
            </w:r>
          </w:p>
        </w:tc>
        <w:tc>
          <w:tcPr>
            <w:tcW w:w="140" w:type="dxa"/>
            <w:vAlign w:val="bottom"/>
          </w:tcPr>
          <w:p>
            <w:pPr>
              <w:spacing w:after="0"/>
              <w:rPr>
                <w:sz w:val="16"/>
                <w:szCs w:val="16"/>
                <w:color w:val="auto"/>
              </w:rPr>
            </w:pPr>
          </w:p>
        </w:tc>
        <w:tc>
          <w:tcPr>
            <w:tcW w:w="1280" w:type="dxa"/>
            <w:vAlign w:val="bottom"/>
            <w:gridSpan w:val="2"/>
          </w:tcPr>
          <w:p>
            <w:pPr>
              <w:jc w:val="center"/>
              <w:ind w:right="300"/>
              <w:spacing w:after="0" w:line="191" w:lineRule="exact"/>
              <w:rPr>
                <w:sz w:val="20"/>
                <w:szCs w:val="20"/>
                <w:color w:val="auto"/>
              </w:rPr>
            </w:pPr>
            <w:r>
              <w:rPr>
                <w:rFonts w:ascii="Times New Roman" w:cs="Times New Roman" w:eastAsia="Times New Roman" w:hAnsi="Times New Roman"/>
                <w:sz w:val="18"/>
                <w:szCs w:val="18"/>
                <w:color w:val="auto"/>
                <w:w w:val="99"/>
              </w:rPr>
              <w:t>Universal</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460"/>
              <w:spacing w:after="0" w:line="191" w:lineRule="exact"/>
              <w:rPr>
                <w:sz w:val="20"/>
                <w:szCs w:val="20"/>
                <w:color w:val="auto"/>
              </w:rPr>
            </w:pPr>
            <w:r>
              <w:rPr>
                <w:rFonts w:ascii="Times New Roman" w:cs="Times New Roman" w:eastAsia="Times New Roman" w:hAnsi="Times New Roman"/>
                <w:sz w:val="18"/>
                <w:szCs w:val="18"/>
                <w:color w:val="auto"/>
                <w:w w:val="98"/>
              </w:rPr>
              <w:t>Accident and</w:t>
            </w:r>
          </w:p>
        </w:tc>
        <w:tc>
          <w:tcPr>
            <w:tcW w:w="180" w:type="dxa"/>
            <w:vAlign w:val="bottom"/>
          </w:tcPr>
          <w:p>
            <w:pPr>
              <w:spacing w:after="0"/>
              <w:rPr>
                <w:sz w:val="16"/>
                <w:szCs w:val="16"/>
                <w:color w:val="auto"/>
              </w:rPr>
            </w:pPr>
          </w:p>
        </w:tc>
        <w:tc>
          <w:tcPr>
            <w:tcW w:w="1240" w:type="dxa"/>
            <w:vAlign w:val="bottom"/>
            <w:gridSpan w:val="2"/>
          </w:tcPr>
          <w:p>
            <w:pPr>
              <w:jc w:val="center"/>
              <w:ind w:right="400"/>
              <w:spacing w:after="0" w:line="191" w:lineRule="exact"/>
              <w:rPr>
                <w:sz w:val="20"/>
                <w:szCs w:val="20"/>
                <w:color w:val="auto"/>
              </w:rPr>
            </w:pPr>
            <w:r>
              <w:rPr>
                <w:rFonts w:ascii="Times New Roman" w:cs="Times New Roman" w:eastAsia="Times New Roman" w:hAnsi="Times New Roman"/>
                <w:sz w:val="18"/>
                <w:szCs w:val="18"/>
                <w:color w:val="auto"/>
                <w:w w:val="99"/>
              </w:rPr>
              <w:t>Pre-need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9"/>
              </w:rPr>
              <w:t>Life</w:t>
            </w:r>
          </w:p>
        </w:tc>
        <w:tc>
          <w:tcPr>
            <w:tcW w:w="180" w:type="dxa"/>
            <w:vAlign w:val="bottom"/>
          </w:tcPr>
          <w:p>
            <w:pPr>
              <w:spacing w:after="0"/>
              <w:rPr>
                <w:sz w:val="20"/>
                <w:szCs w:val="20"/>
                <w:color w:val="auto"/>
              </w:rPr>
            </w:pPr>
          </w:p>
        </w:tc>
        <w:tc>
          <w:tcPr>
            <w:tcW w:w="14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9"/>
              </w:rPr>
              <w:t>Annuities</w:t>
            </w:r>
          </w:p>
        </w:tc>
        <w:tc>
          <w:tcPr>
            <w:tcW w:w="140" w:type="dxa"/>
            <w:vAlign w:val="bottom"/>
          </w:tcPr>
          <w:p>
            <w:pPr>
              <w:spacing w:after="0"/>
              <w:rPr>
                <w:sz w:val="20"/>
                <w:szCs w:val="20"/>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Life</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Health</w:t>
            </w:r>
          </w:p>
        </w:tc>
        <w:tc>
          <w:tcPr>
            <w:tcW w:w="18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Contracts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Total</w:t>
            </w:r>
          </w:p>
        </w:tc>
      </w:tr>
      <w:tr>
        <w:trPr>
          <w:trHeight w:val="178"/>
        </w:trPr>
        <w:tc>
          <w:tcPr>
            <w:tcW w:w="70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Balance,</w:t>
            </w:r>
          </w:p>
        </w:tc>
        <w:tc>
          <w:tcPr>
            <w:tcW w:w="940" w:type="dxa"/>
            <w:vAlign w:val="bottom"/>
            <w:tcBorders>
              <w:top w:val="single" w:sz="8" w:color="CCEEFF"/>
            </w:tcBorders>
            <w:shd w:val="clear" w:color="auto" w:fill="CCEEFF"/>
          </w:tcPr>
          <w:p>
            <w:pPr>
              <w:ind w:left="80"/>
              <w:spacing w:after="0" w:line="177" w:lineRule="exact"/>
              <w:rPr>
                <w:sz w:val="20"/>
                <w:szCs w:val="20"/>
                <w:color w:val="auto"/>
              </w:rPr>
            </w:pPr>
            <w:r>
              <w:rPr>
                <w:rFonts w:ascii="Times New Roman" w:cs="Times New Roman" w:eastAsia="Times New Roman" w:hAnsi="Times New Roman"/>
                <w:sz w:val="18"/>
                <w:szCs w:val="18"/>
                <w:color w:val="auto"/>
              </w:rPr>
              <w:t>beginning</w:t>
            </w:r>
          </w:p>
        </w:tc>
        <w:tc>
          <w:tcPr>
            <w:tcW w:w="400" w:type="dxa"/>
            <w:vAlign w:val="bottom"/>
            <w:tcBorders>
              <w:top w:val="single" w:sz="8" w:color="CCEEFF"/>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of</w:t>
            </w:r>
          </w:p>
        </w:tc>
        <w:tc>
          <w:tcPr>
            <w:tcW w:w="16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4"/>
        </w:trPr>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w:t>
            </w:r>
          </w:p>
        </w:tc>
        <w:tc>
          <w:tcPr>
            <w:tcW w:w="94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107,480,923</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833,218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4,064,299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1,801</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3,974,357</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116,354,598</w:t>
            </w:r>
          </w:p>
        </w:tc>
      </w:tr>
      <w:tr>
        <w:trPr>
          <w:trHeight w:val="216"/>
        </w:trPr>
        <w:tc>
          <w:tcPr>
            <w:tcW w:w="1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Deferrals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20,210,400</w:t>
            </w:r>
          </w:p>
        </w:tc>
        <w:tc>
          <w:tcPr>
            <w:tcW w:w="18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204,551</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928,080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21,343,031</w:t>
            </w:r>
          </w:p>
        </w:tc>
      </w:tr>
      <w:tr>
        <w:trPr>
          <w:trHeight w:val="229"/>
        </w:trPr>
        <w:tc>
          <w:tcPr>
            <w:tcW w:w="1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(8,887,646)</w:t>
            </w: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(501,933)</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(309,432)</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(1,335)</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(777,376)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(10,477,722)</w:t>
            </w:r>
          </w:p>
        </w:tc>
      </w:tr>
      <w:tr>
        <w:trPr>
          <w:trHeight w:val="223"/>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Balance, end of period</w:t>
            </w:r>
          </w:p>
        </w:tc>
        <w:tc>
          <w:tcPr>
            <w:tcW w:w="4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118,803,677</w:t>
            </w: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535,836</w:t>
            </w: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3,754,867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4,125,061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127,219,907</w:t>
            </w:r>
          </w:p>
        </w:tc>
        <w:tc>
          <w:tcPr>
            <w:tcW w:w="100" w:type="dxa"/>
            <w:vAlign w:val="bottom"/>
          </w:tcPr>
          <w:p>
            <w:pPr>
              <w:spacing w:after="0"/>
              <w:rPr>
                <w:sz w:val="19"/>
                <w:szCs w:val="19"/>
                <w:color w:val="auto"/>
              </w:rPr>
            </w:pPr>
          </w:p>
        </w:tc>
      </w:tr>
      <w:tr>
        <w:trPr>
          <w:trHeight w:val="20"/>
        </w:trPr>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7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90</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7" w:lineRule="exact"/>
        <w:rPr>
          <w:sz w:val="20"/>
          <w:szCs w:val="20"/>
          <w:color w:val="auto"/>
        </w:rPr>
      </w:pPr>
    </w:p>
    <w:p>
      <w:pPr>
        <w:ind w:left="660" w:hanging="652"/>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Deferred Policy and Pre-need Contract Acquisition Costs, Value of Business Acquired, and Unearned Premium Reserve</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Value of Business Acquired (“VOBA”)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reports VOBA pursuant to the accounting policy discussed in Note 1. Also, refer to Note 1 regarding the adoption of ASU 2018-12.</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show a roll forward for the lines of business that contain VOBA balances, along with a reconciliation to the Company’s total VOBA balance: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6"/>
          </w:tcPr>
          <w:p>
            <w:pPr>
              <w:jc w:val="right"/>
              <w:ind w:right="36"/>
              <w:spacing w:after="0"/>
              <w:rPr>
                <w:sz w:val="20"/>
                <w:szCs w:val="20"/>
                <w:color w:val="auto"/>
              </w:rPr>
            </w:pPr>
            <w:r>
              <w:rPr>
                <w:rFonts w:ascii="Times New Roman" w:cs="Times New Roman" w:eastAsia="Times New Roman" w:hAnsi="Times New Roman"/>
                <w:sz w:val="18"/>
                <w:szCs w:val="18"/>
                <w:color w:val="auto"/>
              </w:rPr>
              <w:t>Year Ended December 31, 2025</w:t>
            </w:r>
          </w:p>
        </w:tc>
        <w:tc>
          <w:tcPr>
            <w:tcW w:w="12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2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jc w:val="right"/>
              <w:ind w:right="720"/>
              <w:spacing w:after="0" w:line="191" w:lineRule="exact"/>
              <w:rPr>
                <w:sz w:val="20"/>
                <w:szCs w:val="20"/>
                <w:color w:val="auto"/>
              </w:rPr>
            </w:pPr>
            <w:r>
              <w:rPr>
                <w:rFonts w:ascii="Times New Roman" w:cs="Times New Roman" w:eastAsia="Times New Roman" w:hAnsi="Times New Roman"/>
                <w:sz w:val="18"/>
                <w:szCs w:val="18"/>
                <w:color w:val="auto"/>
              </w:rPr>
              <w:t>Traditional</w:t>
            </w:r>
          </w:p>
        </w:tc>
        <w:tc>
          <w:tcPr>
            <w:tcW w:w="240" w:type="dxa"/>
            <w:vAlign w:val="bottom"/>
          </w:tcPr>
          <w:p>
            <w:pPr>
              <w:spacing w:after="0"/>
              <w:rPr>
                <w:sz w:val="16"/>
                <w:szCs w:val="16"/>
                <w:color w:val="auto"/>
              </w:rPr>
            </w:pPr>
          </w:p>
        </w:tc>
        <w:tc>
          <w:tcPr>
            <w:tcW w:w="1580" w:type="dxa"/>
            <w:vAlign w:val="bottom"/>
            <w:gridSpan w:val="2"/>
          </w:tcPr>
          <w:p>
            <w:pPr>
              <w:jc w:val="center"/>
              <w:ind w:right="640"/>
              <w:spacing w:after="0" w:line="191" w:lineRule="exact"/>
              <w:rPr>
                <w:sz w:val="20"/>
                <w:szCs w:val="20"/>
                <w:color w:val="auto"/>
              </w:rPr>
            </w:pPr>
            <w:r>
              <w:rPr>
                <w:rFonts w:ascii="Times New Roman" w:cs="Times New Roman" w:eastAsia="Times New Roman" w:hAnsi="Times New Roman"/>
                <w:sz w:val="18"/>
                <w:szCs w:val="18"/>
                <w:color w:val="auto"/>
              </w:rPr>
              <w:t>Fixed</w:t>
            </w:r>
          </w:p>
        </w:tc>
        <w:tc>
          <w:tcPr>
            <w:tcW w:w="240" w:type="dxa"/>
            <w:vAlign w:val="bottom"/>
          </w:tcPr>
          <w:p>
            <w:pPr>
              <w:spacing w:after="0"/>
              <w:rPr>
                <w:sz w:val="16"/>
                <w:szCs w:val="16"/>
                <w:color w:val="auto"/>
              </w:rPr>
            </w:pPr>
          </w:p>
        </w:tc>
        <w:tc>
          <w:tcPr>
            <w:tcW w:w="1540" w:type="dxa"/>
            <w:vAlign w:val="bottom"/>
            <w:gridSpan w:val="2"/>
          </w:tcPr>
          <w:p>
            <w:pPr>
              <w:jc w:val="center"/>
              <w:ind w:right="560"/>
              <w:spacing w:after="0" w:line="191" w:lineRule="exact"/>
              <w:rPr>
                <w:sz w:val="20"/>
                <w:szCs w:val="20"/>
                <w:color w:val="auto"/>
              </w:rPr>
            </w:pPr>
            <w:r>
              <w:rPr>
                <w:rFonts w:ascii="Times New Roman" w:cs="Times New Roman" w:eastAsia="Times New Roman" w:hAnsi="Times New Roman"/>
                <w:sz w:val="18"/>
                <w:szCs w:val="18"/>
                <w:color w:val="auto"/>
                <w:w w:val="99"/>
              </w:rPr>
              <w:t>Universal</w:t>
            </w:r>
          </w:p>
        </w:tc>
        <w:tc>
          <w:tcPr>
            <w:tcW w:w="160" w:type="dxa"/>
            <w:vAlign w:val="bottom"/>
          </w:tcPr>
          <w:p>
            <w:pPr>
              <w:spacing w:after="0"/>
              <w:rPr>
                <w:sz w:val="16"/>
                <w:szCs w:val="16"/>
                <w:color w:val="auto"/>
              </w:rPr>
            </w:pPr>
          </w:p>
        </w:tc>
        <w:tc>
          <w:tcPr>
            <w:tcW w:w="1600" w:type="dxa"/>
            <w:vAlign w:val="bottom"/>
            <w:gridSpan w:val="2"/>
          </w:tcPr>
          <w:p>
            <w:pPr>
              <w:jc w:val="center"/>
              <w:ind w:right="520"/>
              <w:spacing w:after="0" w:line="191" w:lineRule="exact"/>
              <w:rPr>
                <w:sz w:val="20"/>
                <w:szCs w:val="20"/>
                <w:color w:val="auto"/>
              </w:rPr>
            </w:pPr>
            <w:r>
              <w:rPr>
                <w:rFonts w:ascii="Times New Roman" w:cs="Times New Roman" w:eastAsia="Times New Roman" w:hAnsi="Times New Roman"/>
                <w:sz w:val="18"/>
                <w:szCs w:val="18"/>
                <w:color w:val="auto"/>
              </w:rPr>
              <w:t>Accident and</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2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Life</w:t>
            </w:r>
          </w:p>
        </w:tc>
        <w:tc>
          <w:tcPr>
            <w:tcW w:w="240" w:type="dxa"/>
            <w:vAlign w:val="bottom"/>
          </w:tcPr>
          <w:p>
            <w:pPr>
              <w:spacing w:after="0"/>
              <w:rPr>
                <w:sz w:val="20"/>
                <w:szCs w:val="20"/>
                <w:color w:val="auto"/>
              </w:rPr>
            </w:pPr>
          </w:p>
        </w:tc>
        <w:tc>
          <w:tcPr>
            <w:tcW w:w="158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9"/>
              </w:rPr>
              <w:t>Annuities</w:t>
            </w:r>
          </w:p>
        </w:tc>
        <w:tc>
          <w:tcPr>
            <w:tcW w:w="240" w:type="dxa"/>
            <w:vAlign w:val="bottom"/>
          </w:tcPr>
          <w:p>
            <w:pPr>
              <w:spacing w:after="0"/>
              <w:rPr>
                <w:sz w:val="20"/>
                <w:szCs w:val="20"/>
                <w:color w:val="auto"/>
              </w:rPr>
            </w:pPr>
          </w:p>
        </w:tc>
        <w:tc>
          <w:tcPr>
            <w:tcW w:w="154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9"/>
              </w:rPr>
              <w:t>Life</w:t>
            </w:r>
          </w:p>
        </w:tc>
        <w:tc>
          <w:tcPr>
            <w:tcW w:w="160" w:type="dxa"/>
            <w:vAlign w:val="bottom"/>
          </w:tcPr>
          <w:p>
            <w:pPr>
              <w:spacing w:after="0"/>
              <w:rPr>
                <w:sz w:val="20"/>
                <w:szCs w:val="20"/>
                <w:color w:val="auto"/>
              </w:rPr>
            </w:pPr>
          </w:p>
        </w:tc>
        <w:tc>
          <w:tcPr>
            <w:tcW w:w="16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Health</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2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7,397,519</w:t>
            </w:r>
          </w:p>
        </w:tc>
        <w:tc>
          <w:tcPr>
            <w:tcW w:w="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186,632</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18,370</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7,602,521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Deferrals</w:t>
            </w:r>
          </w:p>
        </w:tc>
        <w:tc>
          <w:tcPr>
            <w:tcW w:w="200" w:type="dxa"/>
            <w:vAlign w:val="bottom"/>
          </w:tcPr>
          <w:p>
            <w:pPr>
              <w:spacing w:after="0"/>
              <w:rPr>
                <w:sz w:val="18"/>
                <w:szCs w:val="18"/>
                <w:color w:val="auto"/>
              </w:rPr>
            </w:pPr>
          </w:p>
        </w:tc>
        <w:tc>
          <w:tcPr>
            <w:tcW w:w="16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5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2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(429,188)</w:t>
            </w:r>
          </w:p>
        </w:tc>
        <w:tc>
          <w:tcPr>
            <w:tcW w:w="2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(61,700)</w:t>
            </w:r>
          </w:p>
        </w:tc>
        <w:tc>
          <w:tcPr>
            <w:tcW w:w="1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(2,447)</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(493,335)</w:t>
            </w:r>
          </w:p>
        </w:tc>
      </w:tr>
      <w:tr>
        <w:trPr>
          <w:trHeight w:val="223"/>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6,968,331</w:t>
            </w:r>
          </w:p>
        </w:tc>
        <w:tc>
          <w:tcPr>
            <w:tcW w:w="3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124,932</w:t>
            </w: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15,923</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7,109,186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6"/>
        </w:trPr>
        <w:tc>
          <w:tcPr>
            <w:tcW w:w="25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6"/>
          </w:tcPr>
          <w:p>
            <w:pPr>
              <w:jc w:val="right"/>
              <w:ind w:right="36"/>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1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1"/>
        </w:trPr>
        <w:tc>
          <w:tcPr>
            <w:tcW w:w="2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jc w:val="right"/>
              <w:ind w:right="720"/>
              <w:spacing w:after="0" w:line="191" w:lineRule="exact"/>
              <w:rPr>
                <w:sz w:val="20"/>
                <w:szCs w:val="20"/>
                <w:color w:val="auto"/>
              </w:rPr>
            </w:pPr>
            <w:r>
              <w:rPr>
                <w:rFonts w:ascii="Times New Roman" w:cs="Times New Roman" w:eastAsia="Times New Roman" w:hAnsi="Times New Roman"/>
                <w:sz w:val="18"/>
                <w:szCs w:val="18"/>
                <w:color w:val="auto"/>
              </w:rPr>
              <w:t>Traditional</w:t>
            </w:r>
          </w:p>
        </w:tc>
        <w:tc>
          <w:tcPr>
            <w:tcW w:w="240" w:type="dxa"/>
            <w:vAlign w:val="bottom"/>
          </w:tcPr>
          <w:p>
            <w:pPr>
              <w:spacing w:after="0"/>
              <w:rPr>
                <w:sz w:val="16"/>
                <w:szCs w:val="16"/>
                <w:color w:val="auto"/>
              </w:rPr>
            </w:pPr>
          </w:p>
        </w:tc>
        <w:tc>
          <w:tcPr>
            <w:tcW w:w="1580" w:type="dxa"/>
            <w:vAlign w:val="bottom"/>
            <w:gridSpan w:val="2"/>
          </w:tcPr>
          <w:p>
            <w:pPr>
              <w:jc w:val="center"/>
              <w:ind w:right="640"/>
              <w:spacing w:after="0" w:line="191" w:lineRule="exact"/>
              <w:rPr>
                <w:sz w:val="20"/>
                <w:szCs w:val="20"/>
                <w:color w:val="auto"/>
              </w:rPr>
            </w:pPr>
            <w:r>
              <w:rPr>
                <w:rFonts w:ascii="Times New Roman" w:cs="Times New Roman" w:eastAsia="Times New Roman" w:hAnsi="Times New Roman"/>
                <w:sz w:val="18"/>
                <w:szCs w:val="18"/>
                <w:color w:val="auto"/>
              </w:rPr>
              <w:t>Fixed</w:t>
            </w:r>
          </w:p>
        </w:tc>
        <w:tc>
          <w:tcPr>
            <w:tcW w:w="240" w:type="dxa"/>
            <w:vAlign w:val="bottom"/>
          </w:tcPr>
          <w:p>
            <w:pPr>
              <w:spacing w:after="0"/>
              <w:rPr>
                <w:sz w:val="16"/>
                <w:szCs w:val="16"/>
                <w:color w:val="auto"/>
              </w:rPr>
            </w:pPr>
          </w:p>
        </w:tc>
        <w:tc>
          <w:tcPr>
            <w:tcW w:w="1540" w:type="dxa"/>
            <w:vAlign w:val="bottom"/>
            <w:gridSpan w:val="2"/>
          </w:tcPr>
          <w:p>
            <w:pPr>
              <w:jc w:val="center"/>
              <w:ind w:right="560"/>
              <w:spacing w:after="0" w:line="191" w:lineRule="exact"/>
              <w:rPr>
                <w:sz w:val="20"/>
                <w:szCs w:val="20"/>
                <w:color w:val="auto"/>
              </w:rPr>
            </w:pPr>
            <w:r>
              <w:rPr>
                <w:rFonts w:ascii="Times New Roman" w:cs="Times New Roman" w:eastAsia="Times New Roman" w:hAnsi="Times New Roman"/>
                <w:sz w:val="18"/>
                <w:szCs w:val="18"/>
                <w:color w:val="auto"/>
                <w:w w:val="99"/>
              </w:rPr>
              <w:t>Universal</w:t>
            </w:r>
          </w:p>
        </w:tc>
        <w:tc>
          <w:tcPr>
            <w:tcW w:w="160" w:type="dxa"/>
            <w:vAlign w:val="bottom"/>
          </w:tcPr>
          <w:p>
            <w:pPr>
              <w:spacing w:after="0"/>
              <w:rPr>
                <w:sz w:val="16"/>
                <w:szCs w:val="16"/>
                <w:color w:val="auto"/>
              </w:rPr>
            </w:pPr>
          </w:p>
        </w:tc>
        <w:tc>
          <w:tcPr>
            <w:tcW w:w="1600" w:type="dxa"/>
            <w:vAlign w:val="bottom"/>
            <w:gridSpan w:val="2"/>
          </w:tcPr>
          <w:p>
            <w:pPr>
              <w:jc w:val="center"/>
              <w:ind w:right="520"/>
              <w:spacing w:after="0" w:line="191" w:lineRule="exact"/>
              <w:rPr>
                <w:sz w:val="20"/>
                <w:szCs w:val="20"/>
                <w:color w:val="auto"/>
              </w:rPr>
            </w:pPr>
            <w:r>
              <w:rPr>
                <w:rFonts w:ascii="Times New Roman" w:cs="Times New Roman" w:eastAsia="Times New Roman" w:hAnsi="Times New Roman"/>
                <w:sz w:val="18"/>
                <w:szCs w:val="18"/>
                <w:color w:val="auto"/>
              </w:rPr>
              <w:t>Accident and</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2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Life</w:t>
            </w:r>
          </w:p>
        </w:tc>
        <w:tc>
          <w:tcPr>
            <w:tcW w:w="240" w:type="dxa"/>
            <w:vAlign w:val="bottom"/>
          </w:tcPr>
          <w:p>
            <w:pPr>
              <w:spacing w:after="0"/>
              <w:rPr>
                <w:sz w:val="20"/>
                <w:szCs w:val="20"/>
                <w:color w:val="auto"/>
              </w:rPr>
            </w:pPr>
          </w:p>
        </w:tc>
        <w:tc>
          <w:tcPr>
            <w:tcW w:w="158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9"/>
              </w:rPr>
              <w:t>Annuities</w:t>
            </w:r>
          </w:p>
        </w:tc>
        <w:tc>
          <w:tcPr>
            <w:tcW w:w="240" w:type="dxa"/>
            <w:vAlign w:val="bottom"/>
          </w:tcPr>
          <w:p>
            <w:pPr>
              <w:spacing w:after="0"/>
              <w:rPr>
                <w:sz w:val="20"/>
                <w:szCs w:val="20"/>
                <w:color w:val="auto"/>
              </w:rPr>
            </w:pPr>
          </w:p>
        </w:tc>
        <w:tc>
          <w:tcPr>
            <w:tcW w:w="154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9"/>
              </w:rPr>
              <w:t>Life</w:t>
            </w:r>
          </w:p>
        </w:tc>
        <w:tc>
          <w:tcPr>
            <w:tcW w:w="160" w:type="dxa"/>
            <w:vAlign w:val="bottom"/>
          </w:tcPr>
          <w:p>
            <w:pPr>
              <w:spacing w:after="0"/>
              <w:rPr>
                <w:sz w:val="20"/>
                <w:szCs w:val="20"/>
                <w:color w:val="auto"/>
              </w:rPr>
            </w:pPr>
          </w:p>
        </w:tc>
        <w:tc>
          <w:tcPr>
            <w:tcW w:w="16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Health</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2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7,841,767</w:t>
            </w:r>
          </w:p>
        </w:tc>
        <w:tc>
          <w:tcPr>
            <w:tcW w:w="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11,436</w:t>
            </w:r>
          </w:p>
        </w:tc>
        <w:tc>
          <w:tcPr>
            <w:tcW w:w="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263,025</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21,187</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8,137,415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Deferrals</w:t>
            </w:r>
          </w:p>
        </w:tc>
        <w:tc>
          <w:tcPr>
            <w:tcW w:w="200" w:type="dxa"/>
            <w:vAlign w:val="bottom"/>
          </w:tcPr>
          <w:p>
            <w:pPr>
              <w:spacing w:after="0"/>
              <w:rPr>
                <w:sz w:val="18"/>
                <w:szCs w:val="18"/>
                <w:color w:val="auto"/>
              </w:rPr>
            </w:pPr>
          </w:p>
        </w:tc>
        <w:tc>
          <w:tcPr>
            <w:tcW w:w="16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5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2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(444,248)</w:t>
            </w:r>
          </w:p>
        </w:tc>
        <w:tc>
          <w:tcPr>
            <w:tcW w:w="2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(11,436)</w:t>
            </w:r>
          </w:p>
        </w:tc>
        <w:tc>
          <w:tcPr>
            <w:tcW w:w="2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(76,393)</w:t>
            </w:r>
          </w:p>
        </w:tc>
        <w:tc>
          <w:tcPr>
            <w:tcW w:w="1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(2,817)</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(534,894)</w:t>
            </w:r>
          </w:p>
        </w:tc>
      </w:tr>
      <w:tr>
        <w:trPr>
          <w:trHeight w:val="223"/>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7,397,519</w:t>
            </w:r>
          </w:p>
        </w:tc>
        <w:tc>
          <w:tcPr>
            <w:tcW w:w="3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186,632</w:t>
            </w: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18,370</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7,602,521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Presuming no additional acquisitions, amortization expense is expected to approximate the following:</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445,378</w:t>
            </w: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406,158</w:t>
            </w: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373,840</w:t>
            </w: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4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346,290</w:t>
            </w: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321,933</w:t>
            </w:r>
          </w:p>
        </w:tc>
      </w:tr>
      <w:tr>
        <w:trPr>
          <w:trHeight w:val="230"/>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5,215,587</w:t>
            </w:r>
          </w:p>
        </w:tc>
      </w:tr>
      <w:tr>
        <w:trPr>
          <w:trHeight w:val="223"/>
        </w:trPr>
        <w:tc>
          <w:tcPr>
            <w:tcW w:w="3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7,109,186</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0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5" w:name="page96"/>
    <w:bookmarkEnd w:id="95"/>
    <w:p>
      <w:pPr>
        <w:jc w:val="center"/>
        <w:ind w:right="-19"/>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7" w:lineRule="exact"/>
        <w:rPr>
          <w:sz w:val="20"/>
          <w:szCs w:val="20"/>
          <w:color w:val="auto"/>
        </w:rPr>
      </w:pPr>
    </w:p>
    <w:p>
      <w:pPr>
        <w:ind w:left="660" w:hanging="652"/>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Deferred Policy and Pre-need Contract Acquisition Costs, Value of Business Acquired, and Unearned Premium Reserve</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Unearned Premium Reserve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reports unearned premium reserve pursuant to the accounting policy discussed in Note 1. Also, refer to Note 1 regarding the adoption of ASU 2018-12.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balance and the changes in Unearned Premium Reserve are as follows:</w:t>
      </w:r>
    </w:p>
    <w:p>
      <w:pPr>
        <w:sectPr>
          <w:pgSz w:w="11900" w:h="16838" w:orient="portrait"/>
          <w:cols w:equalWidth="0" w:num="1">
            <w:col w:w="11220"/>
          </w:cols>
          <w:pgMar w:left="320" w:top="68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beginning of year</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Deferrals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Amortization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Unearned premium reserve,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7830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jc w:val="center"/>
        <w:ind w:right="52"/>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10883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088390" cy="8255"/>
                    </a:xfrm>
                    <a:prstGeom prst="rect">
                      <a:avLst/>
                    </a:prstGeom>
                    <a:noFill/>
                  </pic:spPr>
                </pic:pic>
              </a:graphicData>
            </a:graphic>
          </wp:anchor>
        </w:drawing>
      </w:r>
    </w:p>
    <w:p>
      <w:pPr>
        <w:spacing w:after="0" w:line="7" w:lineRule="exact"/>
        <w:rPr>
          <w:sz w:val="20"/>
          <w:szCs w:val="20"/>
          <w:color w:val="auto"/>
        </w:rPr>
      </w:pPr>
    </w:p>
    <w:p>
      <w:pPr>
        <w:jc w:val="center"/>
        <w:ind w:right="52"/>
        <w:spacing w:after="0"/>
        <w:rPr>
          <w:sz w:val="20"/>
          <w:szCs w:val="20"/>
          <w:color w:val="auto"/>
        </w:rPr>
      </w:pPr>
      <w:r>
        <w:rPr>
          <w:rFonts w:ascii="Times New Roman" w:cs="Times New Roman" w:eastAsia="Times New Roman" w:hAnsi="Times New Roman"/>
          <w:sz w:val="18"/>
          <w:szCs w:val="18"/>
          <w:color w:val="auto"/>
        </w:rPr>
        <w:t>Universal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-3316605</wp:posOffset>
            </wp:positionH>
            <wp:positionV relativeFrom="paragraph">
              <wp:posOffset>14605</wp:posOffset>
            </wp:positionV>
            <wp:extent cx="5700395" cy="1454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spacing w:after="0" w:line="3" w:lineRule="exact"/>
        <w:rPr>
          <w:sz w:val="20"/>
          <w:szCs w:val="20"/>
          <w:color w:val="auto"/>
        </w:rPr>
      </w:pPr>
    </w:p>
    <w:p>
      <w:pPr>
        <w:ind w:left="988" w:hanging="988"/>
        <w:spacing w:after="0"/>
        <w:tabs>
          <w:tab w:leader="none" w:pos="98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2,013,245</w:t>
      </w:r>
    </w:p>
    <w:p>
      <w:pPr>
        <w:spacing w:after="0" w:line="22" w:lineRule="exact"/>
        <w:rPr>
          <w:rFonts w:ascii="Times New Roman" w:cs="Times New Roman" w:eastAsia="Times New Roman" w:hAnsi="Times New Roman"/>
          <w:sz w:val="18"/>
          <w:szCs w:val="18"/>
          <w:color w:val="auto"/>
        </w:rPr>
      </w:pPr>
    </w:p>
    <w:p>
      <w:pPr>
        <w:ind w:left="16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-3316605</wp:posOffset>
            </wp:positionH>
            <wp:positionV relativeFrom="paragraph">
              <wp:posOffset>5715</wp:posOffset>
            </wp:positionV>
            <wp:extent cx="5700395" cy="146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(188,449)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0883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088390" cy="8255"/>
                    </a:xfrm>
                    <a:prstGeom prst="rect">
                      <a:avLst/>
                    </a:prstGeom>
                    <a:noFill/>
                  </pic:spPr>
                </pic:pic>
              </a:graphicData>
            </a:graphic>
          </wp:anchor>
        </w:drawing>
      </w:r>
    </w:p>
    <w:p>
      <w:pPr>
        <w:spacing w:after="0" w:line="11" w:lineRule="exact"/>
        <w:rPr>
          <w:sz w:val="20"/>
          <w:szCs w:val="20"/>
          <w:color w:val="auto"/>
        </w:rPr>
      </w:pPr>
    </w:p>
    <w:p>
      <w:pPr>
        <w:ind w:left="988" w:hanging="988"/>
        <w:spacing w:after="0"/>
        <w:tabs>
          <w:tab w:leader="none" w:pos="98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1,824,796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10883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0883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34290</wp:posOffset>
            </wp:positionV>
            <wp:extent cx="10883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0883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jc w:val="center"/>
        <w:ind w:right="2320"/>
        <w:spacing w:after="0"/>
        <w:rPr>
          <w:sz w:val="20"/>
          <w:szCs w:val="20"/>
          <w:color w:val="auto"/>
        </w:rPr>
      </w:pPr>
      <w:r>
        <w:rPr>
          <w:rFonts w:ascii="Times New Roman" w:cs="Times New Roman" w:eastAsia="Times New Roman" w:hAnsi="Times New Roman"/>
          <w:sz w:val="18"/>
          <w:szCs w:val="18"/>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10801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7" w:lineRule="exact"/>
        <w:rPr>
          <w:sz w:val="20"/>
          <w:szCs w:val="20"/>
          <w:color w:val="auto"/>
        </w:rPr>
      </w:pPr>
    </w:p>
    <w:p>
      <w:pPr>
        <w:jc w:val="center"/>
        <w:ind w:right="2320"/>
        <w:spacing w:after="0"/>
        <w:rPr>
          <w:sz w:val="20"/>
          <w:szCs w:val="20"/>
          <w:color w:val="auto"/>
        </w:rPr>
      </w:pPr>
      <w:r>
        <w:rPr>
          <w:rFonts w:ascii="Times New Roman" w:cs="Times New Roman" w:eastAsia="Times New Roman" w:hAnsi="Times New Roman"/>
          <w:sz w:val="18"/>
          <w:szCs w:val="18"/>
          <w:color w:val="auto"/>
        </w:rPr>
        <w:t>Universal Life</w:t>
      </w:r>
    </w:p>
    <w:p>
      <w:pPr>
        <w:spacing w:after="0" w:line="23" w:lineRule="exact"/>
        <w:rPr>
          <w:sz w:val="20"/>
          <w:szCs w:val="20"/>
          <w:color w:val="auto"/>
        </w:rPr>
      </w:pPr>
    </w:p>
    <w:p>
      <w:pPr>
        <w:ind w:left="980" w:hanging="977"/>
        <w:spacing w:after="0"/>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2,545,132</w:t>
      </w:r>
    </w:p>
    <w:p>
      <w:pPr>
        <w:spacing w:after="0" w:line="22"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ind w:right="2260"/>
        <w:spacing w:after="0"/>
        <w:rPr>
          <w:sz w:val="20"/>
          <w:szCs w:val="20"/>
          <w:color w:val="auto"/>
        </w:rPr>
      </w:pPr>
      <w:r>
        <w:rPr>
          <w:rFonts w:ascii="Times New Roman" w:cs="Times New Roman" w:eastAsia="Times New Roman" w:hAnsi="Times New Roman"/>
          <w:sz w:val="18"/>
          <w:szCs w:val="18"/>
          <w:color w:val="auto"/>
        </w:rPr>
        <w:t>(531,887)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10801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11" w:lineRule="exact"/>
        <w:rPr>
          <w:sz w:val="20"/>
          <w:szCs w:val="20"/>
          <w:color w:val="auto"/>
        </w:rPr>
      </w:pPr>
    </w:p>
    <w:p>
      <w:pPr>
        <w:ind w:left="980" w:hanging="977"/>
        <w:spacing w:after="0"/>
        <w:tabs>
          <w:tab w:leader="none" w:pos="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2,013,245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10801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0801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34290</wp:posOffset>
            </wp:positionV>
            <wp:extent cx="10801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4512" w:space="720"/>
            <w:col w:w="1768" w:space="200"/>
            <w:col w:w="4020"/>
          </w:cols>
          <w:pgMar w:left="320" w:top="688" w:right="359" w:bottom="1440" w:gutter="0" w:footer="0" w:header="0"/>
          <w:type w:val="continuous"/>
        </w:sectPr>
      </w:pP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Included in premiums and other considerations on the consolidated statements of earnings.</w:t>
      </w:r>
    </w:p>
    <w:p>
      <w:pPr>
        <w:spacing w:after="0" w:line="225" w:lineRule="exact"/>
        <w:rPr>
          <w:sz w:val="20"/>
          <w:szCs w:val="20"/>
          <w:color w:val="auto"/>
        </w:rPr>
      </w:pPr>
    </w:p>
    <w:p>
      <w:pPr>
        <w:ind w:right="6900" w:firstLine="8"/>
        <w:spacing w:after="0" w:line="500" w:lineRule="auto"/>
        <w:tabs>
          <w:tab w:leader="none" w:pos="64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Goodwill and Other Intangible Assets </w:t>
      </w:r>
      <w:r>
        <w:rPr>
          <w:rFonts w:ascii="Times New Roman" w:cs="Times New Roman" w:eastAsia="Times New Roman" w:hAnsi="Times New Roman"/>
          <w:sz w:val="18"/>
          <w:szCs w:val="18"/>
          <w:color w:val="auto"/>
        </w:rPr>
        <w:t>Information regarding goodwill by segment was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Cemetery/</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3780" w:type="dxa"/>
            <w:vAlign w:val="bottom"/>
          </w:tcPr>
          <w:p>
            <w:pPr>
              <w:spacing w:after="0"/>
              <w:rPr>
                <w:sz w:val="20"/>
                <w:szCs w:val="20"/>
                <w:color w:val="auto"/>
              </w:rPr>
            </w:pPr>
          </w:p>
        </w:tc>
        <w:tc>
          <w:tcPr>
            <w:tcW w:w="13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Life Insurance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Mortuary</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3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3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2,765,570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2,488,213</w:t>
            </w: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5,253,783</w:t>
            </w:r>
          </w:p>
        </w:tc>
        <w:tc>
          <w:tcPr>
            <w:tcW w:w="40" w:type="dxa"/>
            <w:vAlign w:val="bottom"/>
          </w:tcPr>
          <w:p>
            <w:pPr>
              <w:spacing w:after="0"/>
              <w:rPr>
                <w:sz w:val="18"/>
                <w:szCs w:val="18"/>
                <w:color w:val="auto"/>
              </w:rPr>
            </w:pPr>
          </w:p>
        </w:tc>
      </w:tr>
      <w:tr>
        <w:trPr>
          <w:trHeight w:val="229"/>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impairment</w:t>
            </w: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goodwill, net</w:t>
            </w:r>
          </w:p>
        </w:tc>
        <w:tc>
          <w:tcPr>
            <w:tcW w:w="3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2,765,570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2,488,213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5,253,783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Acquisition</w:t>
            </w:r>
          </w:p>
        </w:tc>
        <w:tc>
          <w:tcPr>
            <w:tcW w:w="3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2,765,570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2,488,213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5,253,783</w:t>
            </w:r>
          </w:p>
        </w:tc>
        <w:tc>
          <w:tcPr>
            <w:tcW w:w="40" w:type="dxa"/>
            <w:vAlign w:val="bottom"/>
            <w:shd w:val="clear" w:color="auto" w:fill="CCEEFF"/>
          </w:tcPr>
          <w:p>
            <w:pPr>
              <w:spacing w:after="0"/>
              <w:rPr>
                <w:sz w:val="18"/>
                <w:szCs w:val="18"/>
                <w:color w:val="auto"/>
              </w:rPr>
            </w:pPr>
          </w:p>
        </w:tc>
      </w:tr>
      <w:tr>
        <w:trPr>
          <w:trHeight w:val="23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impairment</w:t>
            </w:r>
          </w:p>
        </w:tc>
        <w:tc>
          <w:tcPr>
            <w:tcW w:w="3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goodwill, net</w:t>
            </w:r>
          </w:p>
        </w:tc>
        <w:tc>
          <w:tcPr>
            <w:tcW w:w="3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2,765,570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2,488,213</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5,253,783</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2,765,570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2,488,213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5,253,783</w:t>
            </w:r>
          </w:p>
        </w:tc>
        <w:tc>
          <w:tcPr>
            <w:tcW w:w="40" w:type="dxa"/>
            <w:vAlign w:val="bottom"/>
          </w:tcPr>
          <w:p>
            <w:pPr>
              <w:spacing w:after="0"/>
              <w:rPr>
                <w:sz w:val="18"/>
                <w:szCs w:val="18"/>
                <w:color w:val="auto"/>
              </w:rPr>
            </w:pPr>
          </w:p>
        </w:tc>
      </w:tr>
      <w:tr>
        <w:trPr>
          <w:trHeight w:val="230"/>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impairment</w:t>
            </w: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goodwill, net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2,765,570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2,488,213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5,253,783</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3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Goodwill is not amortized but is tested annually for impairment. The annual impairment tests resulted in no impairment of goodwill for 2025 and 2024.</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type w:val="continuous"/>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7" w:lineRule="exact"/>
        <w:rPr>
          <w:sz w:val="20"/>
          <w:szCs w:val="20"/>
          <w:color w:val="auto"/>
        </w:rPr>
      </w:pPr>
    </w:p>
    <w:p>
      <w:pPr>
        <w:ind w:left="660" w:hanging="652"/>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Goodwill and Other Intangible Assets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value of the Company’s other intangible assets were as follows, which are included in other assets on the consolidated balance sheets: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December 31,</w:t>
            </w:r>
          </w:p>
        </w:tc>
        <w:tc>
          <w:tcPr>
            <w:tcW w:w="10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28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Useful Life</w:t>
            </w:r>
          </w:p>
        </w:tc>
        <w:tc>
          <w:tcPr>
            <w:tcW w:w="340" w:type="dxa"/>
            <w:vAlign w:val="bottom"/>
          </w:tcPr>
          <w:p>
            <w:pPr>
              <w:spacing w:after="0"/>
              <w:rPr>
                <w:sz w:val="19"/>
                <w:szCs w:val="19"/>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Pr>
          <w:p>
            <w:pPr>
              <w:spacing w:after="0"/>
              <w:rPr>
                <w:sz w:val="19"/>
                <w:szCs w:val="19"/>
                <w:color w:val="auto"/>
              </w:rPr>
            </w:pPr>
          </w:p>
        </w:tc>
      </w:tr>
      <w:tr>
        <w:trPr>
          <w:trHeight w:val="209"/>
        </w:trPr>
        <w:tc>
          <w:tcPr>
            <w:tcW w:w="432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 - trade name (1)</w:t>
            </w: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 years</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2,100,000</w:t>
            </w:r>
          </w:p>
        </w:tc>
        <w:tc>
          <w:tcPr>
            <w:tcW w:w="2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Intangible assets - other (1)</w:t>
            </w: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15 years</w:t>
            </w:r>
          </w:p>
        </w:tc>
        <w:tc>
          <w:tcPr>
            <w:tcW w:w="34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210,000</w:t>
            </w:r>
          </w:p>
        </w:tc>
        <w:tc>
          <w:tcPr>
            <w:tcW w:w="4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210,000</w:t>
            </w:r>
          </w:p>
        </w:tc>
      </w:tr>
      <w:tr>
        <w:trPr>
          <w:trHeight w:val="216"/>
        </w:trPr>
        <w:tc>
          <w:tcPr>
            <w:tcW w:w="4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 - trade name (2)</w:t>
            </w:r>
          </w:p>
        </w:tc>
        <w:tc>
          <w:tcPr>
            <w:tcW w:w="12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15 years</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610,000</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610,000</w:t>
            </w:r>
          </w:p>
        </w:tc>
      </w:tr>
      <w:tr>
        <w:trPr>
          <w:trHeight w:val="216"/>
        </w:trPr>
        <w:tc>
          <w:tcPr>
            <w:tcW w:w="4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Intangible asset - customer lists (2)</w:t>
            </w: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15 years</w:t>
            </w:r>
          </w:p>
        </w:tc>
        <w:tc>
          <w:tcPr>
            <w:tcW w:w="34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2,290,000</w:t>
            </w:r>
          </w:p>
        </w:tc>
        <w:tc>
          <w:tcPr>
            <w:tcW w:w="4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2,290,000</w:t>
            </w:r>
          </w:p>
        </w:tc>
      </w:tr>
      <w:tr>
        <w:trPr>
          <w:trHeight w:val="229"/>
        </w:trPr>
        <w:tc>
          <w:tcPr>
            <w:tcW w:w="4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(1,478,666)</w:t>
            </w:r>
          </w:p>
        </w:tc>
        <w:tc>
          <w:tcPr>
            <w:tcW w:w="4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(1,131,333)</w:t>
            </w:r>
          </w:p>
        </w:tc>
      </w:tr>
      <w:tr>
        <w:trPr>
          <w:trHeight w:val="223"/>
        </w:trPr>
        <w:tc>
          <w:tcPr>
            <w:tcW w:w="4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3,731,334</w:t>
            </w:r>
          </w:p>
        </w:tc>
        <w:tc>
          <w:tcPr>
            <w:tcW w:w="26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4,078,667</w:t>
            </w:r>
          </w:p>
        </w:tc>
        <w:tc>
          <w:tcPr>
            <w:tcW w:w="80" w:type="dxa"/>
            <w:vAlign w:val="bottom"/>
          </w:tcPr>
          <w:p>
            <w:pPr>
              <w:spacing w:after="0"/>
              <w:rPr>
                <w:sz w:val="19"/>
                <w:szCs w:val="19"/>
                <w:color w:val="auto"/>
              </w:rPr>
            </w:pPr>
          </w:p>
        </w:tc>
      </w:tr>
      <w:tr>
        <w:trPr>
          <w:trHeight w:val="20"/>
        </w:trPr>
        <w:tc>
          <w:tcPr>
            <w:tcW w:w="2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280" w:type="dxa"/>
            <w:vAlign w:val="bottom"/>
          </w:tcPr>
          <w:p>
            <w:pPr>
              <w:spacing w:after="0"/>
              <w:rPr>
                <w:sz w:val="17"/>
                <w:szCs w:val="17"/>
                <w:color w:val="auto"/>
              </w:rPr>
            </w:pPr>
          </w:p>
        </w:tc>
        <w:tc>
          <w:tcPr>
            <w:tcW w:w="4040" w:type="dxa"/>
            <w:vAlign w:val="bottom"/>
            <w:gridSpan w:val="2"/>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28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(1)</w:t>
            </w:r>
          </w:p>
        </w:tc>
        <w:tc>
          <w:tcPr>
            <w:tcW w:w="2540" w:type="dxa"/>
            <w:vAlign w:val="bottom"/>
            <w:tcBorders>
              <w:top w:val="single" w:sz="8" w:color="auto"/>
            </w:tcBorders>
          </w:tcPr>
          <w:p>
            <w:pPr>
              <w:ind w:left="60"/>
              <w:spacing w:after="0" w:line="205" w:lineRule="exact"/>
              <w:rPr>
                <w:sz w:val="20"/>
                <w:szCs w:val="20"/>
                <w:color w:val="auto"/>
              </w:rPr>
            </w:pPr>
            <w:r>
              <w:rPr>
                <w:rFonts w:ascii="Times New Roman" w:cs="Times New Roman" w:eastAsia="Times New Roman" w:hAnsi="Times New Roman"/>
                <w:sz w:val="18"/>
                <w:szCs w:val="18"/>
                <w:color w:val="auto"/>
              </w:rPr>
              <w:t>Cemetery/Mortuary Segment</w:t>
            </w:r>
          </w:p>
        </w:tc>
        <w:tc>
          <w:tcPr>
            <w:tcW w:w="1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40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Life Insurance Segment</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Amortization expense for 2025 and 2024 was $347,333 and $324,000, respectively, and is amortized over the estimated useful life using the straight-line method. Amortization expense is included in other expenses on the consolidated statements of earnings.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estimate of future amortization for the other intangible assets: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347,333</w:t>
            </w: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347,333</w:t>
            </w: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347,333</w:t>
            </w: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4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347,333</w:t>
            </w: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347,333</w:t>
            </w:r>
          </w:p>
        </w:tc>
      </w:tr>
      <w:tr>
        <w:trPr>
          <w:trHeight w:val="230"/>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1,994,669</w:t>
            </w:r>
          </w:p>
        </w:tc>
      </w:tr>
      <w:tr>
        <w:trPr>
          <w:trHeight w:val="223"/>
        </w:trPr>
        <w:tc>
          <w:tcPr>
            <w:tcW w:w="3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3,731,334</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0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7" w:lineRule="exact"/>
        <w:rPr>
          <w:sz w:val="20"/>
          <w:szCs w:val="20"/>
          <w:color w:val="auto"/>
        </w:rPr>
      </w:pPr>
    </w:p>
    <w:p>
      <w:pPr>
        <w:ind w:left="660" w:hanging="652"/>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Derivative Instruments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reports derivative instruments pursuant to the accounting policy discussed in Note 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fair value and notional amounts of derivative instruments.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6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Balance</w:t>
            </w:r>
          </w:p>
        </w:tc>
        <w:tc>
          <w:tcPr>
            <w:tcW w:w="24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December 31, 2025</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8"/>
                <w:szCs w:val="18"/>
                <w:color w:val="auto"/>
                <w:w w:val="98"/>
              </w:rPr>
              <w:t>December 31, 2024</w:t>
            </w: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260" w:type="dxa"/>
            <w:vAlign w:val="bottom"/>
          </w:tcPr>
          <w:p>
            <w:pPr>
              <w:spacing w:after="0"/>
              <w:rPr>
                <w:sz w:val="16"/>
                <w:szCs w:val="16"/>
                <w:color w:val="auto"/>
              </w:rPr>
            </w:pPr>
          </w:p>
        </w:tc>
        <w:tc>
          <w:tcPr>
            <w:tcW w:w="9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Sheet</w:t>
            </w:r>
          </w:p>
        </w:tc>
        <w:tc>
          <w:tcPr>
            <w:tcW w:w="240" w:type="dxa"/>
            <w:vAlign w:val="bottom"/>
          </w:tcPr>
          <w:p>
            <w:pPr>
              <w:spacing w:after="0"/>
              <w:rPr>
                <w:sz w:val="16"/>
                <w:szCs w:val="16"/>
                <w:color w:val="auto"/>
              </w:rPr>
            </w:pPr>
          </w:p>
        </w:tc>
        <w:tc>
          <w:tcPr>
            <w:tcW w:w="1100" w:type="dxa"/>
            <w:vAlign w:val="bottom"/>
            <w:gridSpan w:val="2"/>
          </w:tcPr>
          <w:p>
            <w:pPr>
              <w:jc w:val="center"/>
              <w:ind w:right="60"/>
              <w:spacing w:after="0" w:line="191" w:lineRule="exact"/>
              <w:rPr>
                <w:sz w:val="20"/>
                <w:szCs w:val="20"/>
                <w:color w:val="auto"/>
              </w:rPr>
            </w:pPr>
            <w:r>
              <w:rPr>
                <w:rFonts w:ascii="Times New Roman" w:cs="Times New Roman" w:eastAsia="Times New Roman" w:hAnsi="Times New Roman"/>
                <w:sz w:val="18"/>
                <w:szCs w:val="18"/>
                <w:color w:val="auto"/>
              </w:rPr>
              <w:t>Notional</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ind w:left="200"/>
              <w:spacing w:after="0" w:line="191" w:lineRule="exact"/>
              <w:rPr>
                <w:sz w:val="20"/>
                <w:szCs w:val="20"/>
                <w:color w:val="auto"/>
              </w:rPr>
            </w:pPr>
            <w:r>
              <w:rPr>
                <w:rFonts w:ascii="Times New Roman" w:cs="Times New Roman" w:eastAsia="Times New Roman" w:hAnsi="Times New Roman"/>
                <w:sz w:val="18"/>
                <w:szCs w:val="18"/>
                <w:color w:val="auto"/>
              </w:rPr>
              <w:t>Asset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right="10"/>
              <w:spacing w:after="0" w:line="191" w:lineRule="exact"/>
              <w:rPr>
                <w:sz w:val="20"/>
                <w:szCs w:val="20"/>
                <w:color w:val="auto"/>
              </w:rPr>
            </w:pPr>
            <w:r>
              <w:rPr>
                <w:rFonts w:ascii="Times New Roman" w:cs="Times New Roman" w:eastAsia="Times New Roman" w:hAnsi="Times New Roman"/>
                <w:sz w:val="18"/>
                <w:szCs w:val="18"/>
                <w:color w:val="auto"/>
                <w:w w:val="99"/>
              </w:rPr>
              <w:t>Liability</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60"/>
              <w:spacing w:after="0" w:line="191" w:lineRule="exact"/>
              <w:rPr>
                <w:sz w:val="20"/>
                <w:szCs w:val="20"/>
                <w:color w:val="auto"/>
              </w:rPr>
            </w:pPr>
            <w:r>
              <w:rPr>
                <w:rFonts w:ascii="Times New Roman" w:cs="Times New Roman" w:eastAsia="Times New Roman" w:hAnsi="Times New Roman"/>
                <w:sz w:val="18"/>
                <w:szCs w:val="18"/>
                <w:color w:val="auto"/>
              </w:rPr>
              <w:t>Notional</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460"/>
              <w:spacing w:after="0" w:line="191" w:lineRule="exact"/>
              <w:rPr>
                <w:sz w:val="20"/>
                <w:szCs w:val="20"/>
                <w:color w:val="auto"/>
              </w:rPr>
            </w:pPr>
            <w:r>
              <w:rPr>
                <w:rFonts w:ascii="Times New Roman" w:cs="Times New Roman" w:eastAsia="Times New Roman" w:hAnsi="Times New Roman"/>
                <w:sz w:val="18"/>
                <w:szCs w:val="18"/>
                <w:color w:val="auto"/>
                <w:w w:val="99"/>
              </w:rPr>
              <w:t>Asset</w:t>
            </w:r>
          </w:p>
        </w:tc>
        <w:tc>
          <w:tcPr>
            <w:tcW w:w="100" w:type="dxa"/>
            <w:vAlign w:val="bottom"/>
          </w:tcPr>
          <w:p>
            <w:pPr>
              <w:spacing w:after="0"/>
              <w:rPr>
                <w:sz w:val="16"/>
                <w:szCs w:val="16"/>
                <w:color w:val="auto"/>
              </w:rPr>
            </w:pPr>
          </w:p>
        </w:tc>
        <w:tc>
          <w:tcPr>
            <w:tcW w:w="900" w:type="dxa"/>
            <w:vAlign w:val="bottom"/>
          </w:tcPr>
          <w:p>
            <w:pPr>
              <w:jc w:val="center"/>
              <w:ind w:right="30"/>
              <w:spacing w:after="0" w:line="191" w:lineRule="exact"/>
              <w:rPr>
                <w:sz w:val="20"/>
                <w:szCs w:val="20"/>
                <w:color w:val="auto"/>
              </w:rPr>
            </w:pPr>
            <w:r>
              <w:rPr>
                <w:rFonts w:ascii="Times New Roman" w:cs="Times New Roman" w:eastAsia="Times New Roman" w:hAnsi="Times New Roman"/>
                <w:sz w:val="18"/>
                <w:szCs w:val="18"/>
                <w:color w:val="auto"/>
                <w:w w:val="99"/>
              </w:rPr>
              <w:t>Liability</w:t>
            </w:r>
          </w:p>
        </w:tc>
        <w:tc>
          <w:tcPr>
            <w:tcW w:w="100" w:type="dxa"/>
            <w:vAlign w:val="bottom"/>
          </w:tcPr>
          <w:p>
            <w:pPr>
              <w:spacing w:after="0"/>
              <w:rPr>
                <w:sz w:val="16"/>
                <w:szCs w:val="16"/>
                <w:color w:val="auto"/>
              </w:rPr>
            </w:pPr>
          </w:p>
        </w:tc>
      </w:tr>
      <w:tr>
        <w:trPr>
          <w:trHeight w:val="234"/>
        </w:trPr>
        <w:tc>
          <w:tcPr>
            <w:tcW w:w="226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Location</w:t>
            </w:r>
          </w:p>
        </w:tc>
        <w:tc>
          <w:tcPr>
            <w:tcW w:w="240" w:type="dxa"/>
            <w:vAlign w:val="bottom"/>
          </w:tcPr>
          <w:p>
            <w:pPr>
              <w:spacing w:after="0"/>
              <w:rPr>
                <w:sz w:val="20"/>
                <w:szCs w:val="20"/>
                <w:color w:val="auto"/>
              </w:rPr>
            </w:pPr>
          </w:p>
        </w:tc>
        <w:tc>
          <w:tcPr>
            <w:tcW w:w="11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Amount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Fair 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6"/>
              </w:rPr>
              <w:t>Fair Value</w:t>
            </w:r>
          </w:p>
        </w:tc>
        <w:tc>
          <w:tcPr>
            <w:tcW w:w="160" w:type="dxa"/>
            <w:vAlign w:val="bottom"/>
          </w:tcPr>
          <w:p>
            <w:pPr>
              <w:spacing w:after="0"/>
              <w:rPr>
                <w:sz w:val="20"/>
                <w:szCs w:val="20"/>
                <w:color w:val="auto"/>
              </w:rPr>
            </w:pP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Amount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6"/>
              </w:rPr>
              <w:t>Fair Value</w:t>
            </w:r>
          </w:p>
        </w:tc>
        <w:tc>
          <w:tcPr>
            <w:tcW w:w="100" w:type="dxa"/>
            <w:vAlign w:val="bottom"/>
          </w:tcPr>
          <w:p>
            <w:pPr>
              <w:spacing w:after="0"/>
              <w:rPr>
                <w:sz w:val="20"/>
                <w:szCs w:val="20"/>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Fair Value</w:t>
            </w:r>
          </w:p>
        </w:tc>
      </w:tr>
      <w:tr>
        <w:trPr>
          <w:trHeight w:val="178"/>
        </w:trPr>
        <w:tc>
          <w:tcPr>
            <w:tcW w:w="226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Derivatives not designated</w:t>
            </w:r>
          </w:p>
        </w:tc>
        <w:tc>
          <w:tcPr>
            <w:tcW w:w="9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4"/>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hedging instruments:</w:t>
            </w:r>
          </w:p>
        </w:tc>
        <w:tc>
          <w:tcPr>
            <w:tcW w:w="9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198"/>
        </w:trPr>
        <w:tc>
          <w:tcPr>
            <w:tcW w:w="2260" w:type="dxa"/>
            <w:vAlign w:val="bottom"/>
          </w:tcPr>
          <w:p>
            <w:pPr>
              <w:spacing w:after="0"/>
              <w:rPr>
                <w:sz w:val="17"/>
                <w:szCs w:val="17"/>
                <w:color w:val="auto"/>
              </w:rPr>
            </w:pPr>
          </w:p>
        </w:tc>
        <w:tc>
          <w:tcPr>
            <w:tcW w:w="9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2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and Other</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8"/>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Loan commitments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liabilities</w:t>
            </w:r>
          </w:p>
        </w:tc>
        <w:tc>
          <w:tcPr>
            <w:tcW w:w="134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rPr>
              <w:t>$ 132,887,592</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1,700,742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220,605</w:t>
            </w:r>
          </w:p>
        </w:tc>
        <w:tc>
          <w:tcPr>
            <w:tcW w:w="122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210,597,657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5,348,089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3,034,879</w:t>
            </w:r>
          </w:p>
        </w:tc>
      </w:tr>
      <w:tr>
        <w:trPr>
          <w:trHeight w:val="223"/>
        </w:trPr>
        <w:tc>
          <w:tcPr>
            <w:tcW w:w="2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$ 132,887,592</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7"/>
              </w:rPr>
              <w:t>1,700,742</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5"/>
              </w:rPr>
              <w:t>220,605</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210,597,657</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7"/>
              </w:rPr>
              <w:t>5,348,089</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3,034,879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gains (losses) on derivatives. There were no gains or losses reclassified from accumulated other comprehensive income into income, or gains or losses recognized into income on the ineffective portion of the derivatives or any amounts excluded from effective testing.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40" w:type="dxa"/>
            <w:vAlign w:val="bottom"/>
            <w:gridSpan w:val="5"/>
          </w:tcPr>
          <w:p>
            <w:pPr>
              <w:jc w:val="right"/>
              <w:ind w:right="760"/>
              <w:spacing w:after="0"/>
              <w:rPr>
                <w:sz w:val="20"/>
                <w:szCs w:val="20"/>
                <w:color w:val="auto"/>
              </w:rPr>
            </w:pPr>
            <w:r>
              <w:rPr>
                <w:rFonts w:ascii="Times New Roman" w:cs="Times New Roman" w:eastAsia="Times New Roman" w:hAnsi="Times New Roman"/>
                <w:sz w:val="18"/>
                <w:szCs w:val="18"/>
                <w:color w:val="auto"/>
              </w:rPr>
              <w:t>Years ended December 31,</w:t>
            </w:r>
          </w:p>
        </w:tc>
        <w:tc>
          <w:tcPr>
            <w:tcW w:w="2260" w:type="dxa"/>
            <w:vAlign w:val="bottom"/>
          </w:tcPr>
          <w:p>
            <w:pPr>
              <w:spacing w:after="0"/>
              <w:rPr>
                <w:sz w:val="20"/>
                <w:szCs w:val="20"/>
                <w:color w:val="auto"/>
              </w:rPr>
            </w:pPr>
          </w:p>
        </w:tc>
      </w:tr>
      <w:tr>
        <w:trPr>
          <w:trHeight w:val="223"/>
        </w:trPr>
        <w:tc>
          <w:tcPr>
            <w:tcW w:w="254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Derivative</w:t>
            </w:r>
          </w:p>
        </w:tc>
        <w:tc>
          <w:tcPr>
            <w:tcW w:w="180" w:type="dxa"/>
            <w:vAlign w:val="bottom"/>
            <w:tcBorders>
              <w:bottom w:val="single" w:sz="8" w:color="CCEEFF"/>
            </w:tcBorders>
          </w:tcPr>
          <w:p>
            <w:pPr>
              <w:spacing w:after="0"/>
              <w:rPr>
                <w:sz w:val="19"/>
                <w:szCs w:val="19"/>
                <w:color w:val="auto"/>
              </w:rPr>
            </w:pPr>
          </w:p>
        </w:tc>
        <w:tc>
          <w:tcPr>
            <w:tcW w:w="270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Classification</w:t>
            </w:r>
          </w:p>
        </w:tc>
        <w:tc>
          <w:tcPr>
            <w:tcW w:w="1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CCEEFF"/>
            </w:tcBorders>
          </w:tcPr>
          <w:p>
            <w:pPr>
              <w:spacing w:after="0"/>
              <w:rPr>
                <w:sz w:val="19"/>
                <w:szCs w:val="19"/>
                <w:color w:val="auto"/>
              </w:rPr>
            </w:pPr>
          </w:p>
        </w:tc>
        <w:tc>
          <w:tcPr>
            <w:tcW w:w="2260" w:type="dxa"/>
            <w:vAlign w:val="bottom"/>
          </w:tcPr>
          <w:p>
            <w:pPr>
              <w:spacing w:after="0"/>
              <w:rPr>
                <w:sz w:val="19"/>
                <w:szCs w:val="19"/>
                <w:color w:val="auto"/>
              </w:rPr>
            </w:pPr>
          </w:p>
        </w:tc>
      </w:tr>
      <w:tr>
        <w:trPr>
          <w:trHeight w:val="237"/>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commitments</w:t>
            </w:r>
          </w:p>
        </w:tc>
        <w:tc>
          <w:tcPr>
            <w:tcW w:w="180" w:type="dxa"/>
            <w:vAlign w:val="bottom"/>
            <w:shd w:val="clear" w:color="auto" w:fill="CCEEFF"/>
          </w:tcPr>
          <w:p>
            <w:pPr>
              <w:spacing w:after="0"/>
              <w:rPr>
                <w:sz w:val="20"/>
                <w:szCs w:val="20"/>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fee income</w:t>
            </w:r>
          </w:p>
        </w:tc>
        <w:tc>
          <w:tcPr>
            <w:tcW w:w="5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(833,073</w:t>
            </w:r>
          </w:p>
        </w:tc>
        <w:tc>
          <w:tcPr>
            <w:tcW w:w="2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729,948</w:t>
            </w:r>
          </w:p>
        </w:tc>
        <w:tc>
          <w:tcPr>
            <w:tcW w:w="2260" w:type="dxa"/>
            <w:vAlign w:val="bottom"/>
          </w:tcPr>
          <w:p>
            <w:pPr>
              <w:spacing w:after="0"/>
              <w:rPr>
                <w:sz w:val="20"/>
                <w:szCs w:val="20"/>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412"/>
        </w:trPr>
        <w:tc>
          <w:tcPr>
            <w:tcW w:w="2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w:t>
            </w:r>
          </w:p>
        </w:tc>
        <w:tc>
          <w:tcPr>
            <w:tcW w:w="1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7" w:lineRule="exact"/>
        <w:rPr>
          <w:sz w:val="20"/>
          <w:szCs w:val="20"/>
          <w:color w:val="auto"/>
        </w:rPr>
      </w:pPr>
    </w:p>
    <w:p>
      <w:pPr>
        <w:ind w:left="660" w:hanging="652"/>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Future Policy Benefits and Unpaid Claims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reports future policy benefits and unpaid claims pursuant to the accounting policy discussed in Note 1. Also, refer to Note 1 regarding the adoption of ASU 2018-12. The Company establishes liabilities for amounts payable under insurance policies. These liabilities are comprised of traditional and limited-payment contracts and associated deferred profit liabilities, unpaid claims, and additional insurance liabilities.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provides a reconciliation of future policy benefits and unpaid claims and the related receivable from reinsurers to the consolidated balance sheets.</w:t>
      </w:r>
    </w:p>
    <w:tbl>
      <w:tblPr>
        <w:tblLayout w:type="fixed"/>
        <w:tblInd w:w="0" w:type="dxa"/>
        <w:tblCellMar>
          <w:top w:w="0" w:type="dxa"/>
          <w:left w:w="0" w:type="dxa"/>
          <w:bottom w:w="0" w:type="dxa"/>
          <w:right w:w="0" w:type="dxa"/>
        </w:tblCellMar>
      </w:tblPr>
      <w:tr>
        <w:trPr>
          <w:trHeight w:val="229"/>
        </w:trPr>
        <w:tc>
          <w:tcPr>
            <w:tcW w:w="196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December 31,</w:t>
            </w:r>
          </w:p>
        </w:tc>
        <w:tc>
          <w:tcPr>
            <w:tcW w:w="10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23"/>
        </w:trPr>
        <w:tc>
          <w:tcPr>
            <w:tcW w:w="1960" w:type="dxa"/>
            <w:vAlign w:val="bottom"/>
            <w:tcBorders>
              <w:bottom w:val="single" w:sz="8" w:color="CCEEFF"/>
            </w:tcBorders>
          </w:tcPr>
          <w:p>
            <w:pPr>
              <w:spacing w:after="0"/>
              <w:rPr>
                <w:sz w:val="19"/>
                <w:szCs w:val="19"/>
                <w:color w:val="auto"/>
              </w:rPr>
            </w:pPr>
          </w:p>
        </w:tc>
        <w:tc>
          <w:tcPr>
            <w:tcW w:w="30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CCEEFF"/>
            </w:tcBorders>
          </w:tcPr>
          <w:p>
            <w:pPr>
              <w:spacing w:after="0"/>
              <w:rPr>
                <w:sz w:val="19"/>
                <w:szCs w:val="19"/>
                <w:color w:val="auto"/>
              </w:rPr>
            </w:pPr>
          </w:p>
        </w:tc>
        <w:tc>
          <w:tcPr>
            <w:tcW w:w="2260" w:type="dxa"/>
            <w:vAlign w:val="bottom"/>
          </w:tcPr>
          <w:p>
            <w:pPr>
              <w:spacing w:after="0"/>
              <w:rPr>
                <w:sz w:val="19"/>
                <w:szCs w:val="19"/>
                <w:color w:val="auto"/>
              </w:rPr>
            </w:pPr>
          </w:p>
        </w:tc>
      </w:tr>
      <w:tr>
        <w:trPr>
          <w:trHeight w:val="209"/>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Traditional and limited-payment life</w:t>
            </w: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581,389,399</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547,984,488</w:t>
            </w:r>
          </w:p>
        </w:tc>
        <w:tc>
          <w:tcPr>
            <w:tcW w:w="80" w:type="dxa"/>
            <w:vAlign w:val="bottom"/>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profit liability - traditional and limited-payment life</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205,802,774</w:t>
            </w:r>
          </w:p>
        </w:tc>
        <w:tc>
          <w:tcPr>
            <w:tcW w:w="4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192,278,993</w:t>
            </w:r>
          </w:p>
        </w:tc>
        <w:tc>
          <w:tcPr>
            <w:tcW w:w="2260" w:type="dxa"/>
            <w:vAlign w:val="bottom"/>
          </w:tcPr>
          <w:p>
            <w:pPr>
              <w:spacing w:after="0"/>
              <w:rPr>
                <w:sz w:val="18"/>
                <w:szCs w:val="18"/>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Payout annuities</w:t>
            </w: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95,436</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99,605</w:t>
            </w:r>
          </w:p>
        </w:tc>
        <w:tc>
          <w:tcPr>
            <w:tcW w:w="2260" w:type="dxa"/>
            <w:vAlign w:val="bottom"/>
          </w:tcPr>
          <w:p>
            <w:pPr>
              <w:spacing w:after="0"/>
              <w:rPr>
                <w:sz w:val="18"/>
                <w:szCs w:val="18"/>
                <w:color w:val="auto"/>
              </w:rPr>
            </w:pPr>
          </w:p>
        </w:tc>
      </w:tr>
      <w:tr>
        <w:trPr>
          <w:trHeight w:val="216"/>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Accident and health</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505,208</w:t>
            </w:r>
          </w:p>
        </w:tc>
        <w:tc>
          <w:tcPr>
            <w:tcW w:w="4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543,792</w:t>
            </w:r>
          </w:p>
        </w:tc>
        <w:tc>
          <w:tcPr>
            <w:tcW w:w="2260" w:type="dxa"/>
            <w:vAlign w:val="bottom"/>
          </w:tcPr>
          <w:p>
            <w:pPr>
              <w:spacing w:after="0"/>
              <w:rPr>
                <w:sz w:val="18"/>
                <w:szCs w:val="18"/>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policyholder funds</w:t>
            </w: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4,514,783</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4,482,462</w:t>
            </w:r>
          </w:p>
        </w:tc>
        <w:tc>
          <w:tcPr>
            <w:tcW w:w="2260" w:type="dxa"/>
            <w:vAlign w:val="bottom"/>
          </w:tcPr>
          <w:p>
            <w:pPr>
              <w:spacing w:after="0"/>
              <w:rPr>
                <w:sz w:val="18"/>
                <w:szCs w:val="18"/>
                <w:color w:val="auto"/>
              </w:rPr>
            </w:pPr>
          </w:p>
        </w:tc>
      </w:tr>
      <w:tr>
        <w:trPr>
          <w:trHeight w:val="216"/>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Reported but unpaid claims</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3,299,899</w:t>
            </w:r>
          </w:p>
        </w:tc>
        <w:tc>
          <w:tcPr>
            <w:tcW w:w="4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2,463,220</w:t>
            </w:r>
          </w:p>
        </w:tc>
        <w:tc>
          <w:tcPr>
            <w:tcW w:w="2260" w:type="dxa"/>
            <w:vAlign w:val="bottom"/>
          </w:tcPr>
          <w:p>
            <w:pPr>
              <w:spacing w:after="0"/>
              <w:rPr>
                <w:sz w:val="18"/>
                <w:szCs w:val="18"/>
                <w:color w:val="auto"/>
              </w:rPr>
            </w:pPr>
          </w:p>
        </w:tc>
      </w:tr>
      <w:tr>
        <w:trPr>
          <w:trHeight w:val="229"/>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Incurred but not reported claims</w:t>
            </w:r>
          </w:p>
        </w:tc>
        <w:tc>
          <w:tcPr>
            <w:tcW w:w="6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4,099,447</w:t>
            </w:r>
          </w:p>
        </w:tc>
        <w:tc>
          <w:tcPr>
            <w:tcW w:w="4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4,228,098</w:t>
            </w:r>
          </w:p>
        </w:tc>
        <w:tc>
          <w:tcPr>
            <w:tcW w:w="2260" w:type="dxa"/>
            <w:vAlign w:val="bottom"/>
          </w:tcPr>
          <w:p>
            <w:pPr>
              <w:spacing w:after="0"/>
              <w:rPr>
                <w:sz w:val="19"/>
                <w:szCs w:val="19"/>
                <w:color w:val="auto"/>
              </w:rPr>
            </w:pPr>
          </w:p>
        </w:tc>
      </w:tr>
      <w:tr>
        <w:trPr>
          <w:trHeight w:val="210"/>
        </w:trPr>
        <w:tc>
          <w:tcPr>
            <w:tcW w:w="19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43"/>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future policy benefits and unpaid claims</w:t>
            </w:r>
          </w:p>
        </w:tc>
        <w:tc>
          <w:tcPr>
            <w:tcW w:w="960" w:type="dxa"/>
            <w:vAlign w:val="bottom"/>
            <w:gridSpan w:val="2"/>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799,706,946</w:t>
            </w: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752,080,658</w:t>
            </w:r>
          </w:p>
        </w:tc>
        <w:tc>
          <w:tcPr>
            <w:tcW w:w="2260" w:type="dxa"/>
            <w:vAlign w:val="bottom"/>
          </w:tcPr>
          <w:p>
            <w:pPr>
              <w:spacing w:after="0"/>
              <w:rPr>
                <w:sz w:val="21"/>
                <w:szCs w:val="2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97"/>
        </w:trPr>
        <w:tc>
          <w:tcPr>
            <w:tcW w:w="196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196"/>
        </w:trPr>
        <w:tc>
          <w:tcPr>
            <w:tcW w:w="49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Receivable from reinsurers</w:t>
            </w: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60" w:type="dxa"/>
            <w:vAlign w:val="bottom"/>
          </w:tcPr>
          <w:p>
            <w:pPr>
              <w:spacing w:after="0"/>
              <w:rPr>
                <w:sz w:val="17"/>
                <w:szCs w:val="17"/>
                <w:color w:val="auto"/>
              </w:rPr>
            </w:pPr>
          </w:p>
        </w:tc>
      </w:tr>
      <w:tr>
        <w:trPr>
          <w:trHeight w:val="216"/>
        </w:trPr>
        <w:tc>
          <w:tcPr>
            <w:tcW w:w="1960" w:type="dxa"/>
            <w:vAlign w:val="bottom"/>
            <w:tcBorders>
              <w:top w:val="single" w:sz="8" w:color="auto"/>
            </w:tcBorders>
          </w:tcPr>
          <w:p>
            <w:pPr>
              <w:spacing w:after="0"/>
              <w:rPr>
                <w:sz w:val="18"/>
                <w:szCs w:val="18"/>
                <w:color w:val="auto"/>
              </w:rPr>
            </w:pPr>
          </w:p>
        </w:tc>
        <w:tc>
          <w:tcPr>
            <w:tcW w:w="30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Traditional and limited pay life</w:t>
            </w: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9,186,983</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9,252,984</w:t>
            </w:r>
          </w:p>
        </w:tc>
        <w:tc>
          <w:tcPr>
            <w:tcW w:w="2260" w:type="dxa"/>
            <w:vAlign w:val="bottom"/>
          </w:tcPr>
          <w:p>
            <w:pPr>
              <w:spacing w:after="0"/>
              <w:rPr>
                <w:sz w:val="18"/>
                <w:szCs w:val="18"/>
                <w:color w:val="auto"/>
              </w:rPr>
            </w:pPr>
          </w:p>
        </w:tc>
      </w:tr>
      <w:tr>
        <w:trPr>
          <w:trHeight w:val="216"/>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profit liability - traditional and limited-payment life</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985,258</w:t>
            </w:r>
          </w:p>
        </w:tc>
        <w:tc>
          <w:tcPr>
            <w:tcW w:w="4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1,017,678</w:t>
            </w:r>
          </w:p>
        </w:tc>
        <w:tc>
          <w:tcPr>
            <w:tcW w:w="2260" w:type="dxa"/>
            <w:vAlign w:val="bottom"/>
          </w:tcPr>
          <w:p>
            <w:pPr>
              <w:spacing w:after="0"/>
              <w:rPr>
                <w:sz w:val="18"/>
                <w:szCs w:val="18"/>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Accident and health</w:t>
            </w: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70,173</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74,762</w:t>
            </w:r>
          </w:p>
        </w:tc>
        <w:tc>
          <w:tcPr>
            <w:tcW w:w="2260" w:type="dxa"/>
            <w:vAlign w:val="bottom"/>
          </w:tcPr>
          <w:p>
            <w:pPr>
              <w:spacing w:after="0"/>
              <w:rPr>
                <w:sz w:val="18"/>
                <w:szCs w:val="18"/>
                <w:color w:val="auto"/>
              </w:rPr>
            </w:pPr>
          </w:p>
        </w:tc>
      </w:tr>
      <w:tr>
        <w:trPr>
          <w:trHeight w:val="216"/>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Reported but unpaid claims</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131,712</w:t>
            </w:r>
          </w:p>
        </w:tc>
        <w:tc>
          <w:tcPr>
            <w:tcW w:w="4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45,595</w:t>
            </w:r>
          </w:p>
        </w:tc>
        <w:tc>
          <w:tcPr>
            <w:tcW w:w="2260" w:type="dxa"/>
            <w:vAlign w:val="bottom"/>
          </w:tcPr>
          <w:p>
            <w:pPr>
              <w:spacing w:after="0"/>
              <w:rPr>
                <w:sz w:val="18"/>
                <w:szCs w:val="18"/>
                <w:color w:val="auto"/>
              </w:rPr>
            </w:pPr>
          </w:p>
        </w:tc>
      </w:tr>
      <w:tr>
        <w:trPr>
          <w:trHeight w:val="229"/>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Incurred but not reported claims</w:t>
            </w:r>
          </w:p>
        </w:tc>
        <w:tc>
          <w:tcPr>
            <w:tcW w:w="6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6,000</w:t>
            </w:r>
          </w:p>
        </w:tc>
        <w:tc>
          <w:tcPr>
            <w:tcW w:w="4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10,000</w:t>
            </w:r>
          </w:p>
        </w:tc>
        <w:tc>
          <w:tcPr>
            <w:tcW w:w="2260" w:type="dxa"/>
            <w:vAlign w:val="bottom"/>
          </w:tcPr>
          <w:p>
            <w:pPr>
              <w:spacing w:after="0"/>
              <w:rPr>
                <w:sz w:val="19"/>
                <w:szCs w:val="19"/>
                <w:color w:val="auto"/>
              </w:rPr>
            </w:pPr>
          </w:p>
        </w:tc>
      </w:tr>
      <w:tr>
        <w:trPr>
          <w:trHeight w:val="210"/>
        </w:trPr>
        <w:tc>
          <w:tcPr>
            <w:tcW w:w="19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30"/>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receivable from reinsurers</w:t>
            </w:r>
          </w:p>
        </w:tc>
        <w:tc>
          <w:tcPr>
            <w:tcW w:w="6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10,380,126</w:t>
            </w:r>
          </w:p>
        </w:tc>
        <w:tc>
          <w:tcPr>
            <w:tcW w:w="4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10,401,019</w:t>
            </w:r>
          </w:p>
        </w:tc>
        <w:tc>
          <w:tcPr>
            <w:tcW w:w="2260" w:type="dxa"/>
            <w:vAlign w:val="bottom"/>
          </w:tcPr>
          <w:p>
            <w:pPr>
              <w:spacing w:after="0"/>
              <w:rPr>
                <w:sz w:val="19"/>
                <w:szCs w:val="19"/>
                <w:color w:val="auto"/>
              </w:rPr>
            </w:pPr>
          </w:p>
        </w:tc>
      </w:tr>
      <w:tr>
        <w:trPr>
          <w:trHeight w:val="210"/>
        </w:trPr>
        <w:tc>
          <w:tcPr>
            <w:tcW w:w="19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43"/>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future policy benefits and unpaid claims</w:t>
            </w:r>
          </w:p>
        </w:tc>
        <w:tc>
          <w:tcPr>
            <w:tcW w:w="960" w:type="dxa"/>
            <w:vAlign w:val="bottom"/>
            <w:gridSpan w:val="2"/>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789,326,820</w:t>
            </w: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741,679,639</w:t>
            </w:r>
          </w:p>
        </w:tc>
        <w:tc>
          <w:tcPr>
            <w:tcW w:w="2260" w:type="dxa"/>
            <w:vAlign w:val="bottom"/>
          </w:tcPr>
          <w:p>
            <w:pPr>
              <w:spacing w:after="0"/>
              <w:rPr>
                <w:sz w:val="21"/>
                <w:szCs w:val="2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96"/>
        </w:trPr>
        <w:tc>
          <w:tcPr>
            <w:tcW w:w="196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43"/>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unpaid claims</w:t>
            </w:r>
          </w:p>
        </w:tc>
        <w:tc>
          <w:tcPr>
            <w:tcW w:w="960" w:type="dxa"/>
            <w:vAlign w:val="bottom"/>
            <w:gridSpan w:val="2"/>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7,261,634</w:t>
            </w: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6,635,723</w:t>
            </w:r>
          </w:p>
        </w:tc>
        <w:tc>
          <w:tcPr>
            <w:tcW w:w="2260" w:type="dxa"/>
            <w:vAlign w:val="bottom"/>
          </w:tcPr>
          <w:p>
            <w:pPr>
              <w:spacing w:after="0"/>
              <w:rPr>
                <w:sz w:val="21"/>
                <w:szCs w:val="2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413"/>
        </w:trPr>
        <w:tc>
          <w:tcPr>
            <w:tcW w:w="19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95</w:t>
            </w:r>
          </w:p>
        </w:tc>
        <w:tc>
          <w:tcPr>
            <w:tcW w:w="1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99" w:name="page100"/>
    <w:bookmarkEnd w:id="99"/>
    <w:p>
      <w:pPr>
        <w:jc w:val="center"/>
        <w:ind w:right="-19"/>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7" w:lineRule="exact"/>
        <w:rPr>
          <w:sz w:val="20"/>
          <w:szCs w:val="20"/>
          <w:color w:val="auto"/>
        </w:rPr>
      </w:pPr>
    </w:p>
    <w:p>
      <w:pPr>
        <w:ind w:left="660" w:hanging="652"/>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Future Policy Benefits and Unpaid Claims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Traditional and Limited-Payment Life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balances of and changes in the liability for future policy benefits for traditional and limited-payment life: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December 31,</w:t>
            </w:r>
          </w:p>
        </w:tc>
        <w:tc>
          <w:tcPr>
            <w:tcW w:w="10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3620" w:type="dxa"/>
            <w:vAlign w:val="bottom"/>
            <w:tcBorders>
              <w:bottom w:val="single" w:sz="8" w:color="CCEEFF"/>
            </w:tcBorders>
          </w:tcPr>
          <w:p>
            <w:pPr>
              <w:spacing w:after="0"/>
              <w:rPr>
                <w:sz w:val="19"/>
                <w:szCs w:val="19"/>
                <w:color w:val="auto"/>
              </w:rPr>
            </w:pPr>
          </w:p>
        </w:tc>
        <w:tc>
          <w:tcPr>
            <w:tcW w:w="17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CCEEFF"/>
            </w:tcBorders>
          </w:tcPr>
          <w:p>
            <w:pPr>
              <w:spacing w:after="0"/>
              <w:rPr>
                <w:sz w:val="19"/>
                <w:szCs w:val="19"/>
                <w:color w:val="auto"/>
              </w:rPr>
            </w:pPr>
          </w:p>
        </w:tc>
      </w:tr>
      <w:tr>
        <w:trPr>
          <w:trHeight w:val="210"/>
        </w:trPr>
        <w:tc>
          <w:tcPr>
            <w:tcW w:w="5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Expected Net Premiums: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9"/>
        </w:trPr>
        <w:tc>
          <w:tcPr>
            <w:tcW w:w="54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Balance, beginning of year</w:t>
            </w:r>
          </w:p>
        </w:tc>
        <w:tc>
          <w:tcPr>
            <w:tcW w:w="200" w:type="dxa"/>
            <w:vAlign w:val="bottom"/>
          </w:tcPr>
          <w:p>
            <w:pPr>
              <w:spacing w:after="0"/>
              <w:rPr>
                <w:sz w:val="18"/>
                <w:szCs w:val="18"/>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252,828,338</w:t>
            </w: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261,319,018</w:t>
            </w:r>
          </w:p>
        </w:tc>
      </w:tr>
      <w:tr>
        <w:trPr>
          <w:trHeight w:val="216"/>
        </w:trPr>
        <w:tc>
          <w:tcPr>
            <w:tcW w:w="5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at original discount rate</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258,790,211</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259,735,586</w:t>
            </w:r>
          </w:p>
        </w:tc>
      </w:tr>
      <w:tr>
        <w:trPr>
          <w:trHeight w:val="216"/>
        </w:trPr>
        <w:tc>
          <w:tcPr>
            <w:tcW w:w="56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Effect of changes in cash flow assumptions</w:t>
            </w:r>
          </w:p>
        </w:tc>
        <w:tc>
          <w:tcPr>
            <w:tcW w:w="34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6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 of actual variances from expected experience (1)</w:t>
            </w:r>
          </w:p>
        </w:tc>
        <w:tc>
          <w:tcPr>
            <w:tcW w:w="3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(19,082,021)</w:t>
            </w:r>
          </w:p>
        </w:tc>
        <w:tc>
          <w:tcPr>
            <w:tcW w:w="4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(14,132,236)</w:t>
            </w:r>
          </w:p>
        </w:tc>
      </w:tr>
      <w:tr>
        <w:trPr>
          <w:trHeight w:val="209"/>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Adjusted beginning of year balance</w:t>
            </w: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239,708,190</w:t>
            </w:r>
          </w:p>
        </w:tc>
        <w:tc>
          <w:tcPr>
            <w:tcW w:w="2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245,603,350</w:t>
            </w:r>
          </w:p>
        </w:tc>
        <w:tc>
          <w:tcPr>
            <w:tcW w:w="80" w:type="dxa"/>
            <w:vAlign w:val="bottom"/>
          </w:tcPr>
          <w:p>
            <w:pPr>
              <w:spacing w:after="0"/>
              <w:rPr>
                <w:sz w:val="18"/>
                <w:szCs w:val="18"/>
                <w:color w:val="auto"/>
              </w:rPr>
            </w:pPr>
          </w:p>
        </w:tc>
      </w:tr>
      <w:tr>
        <w:trPr>
          <w:trHeight w:val="216"/>
        </w:trPr>
        <w:tc>
          <w:tcPr>
            <w:tcW w:w="56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Issuances</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50,311,759</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53,853,867</w:t>
            </w:r>
          </w:p>
        </w:tc>
      </w:tr>
      <w:tr>
        <w:trPr>
          <w:trHeight w:val="216"/>
        </w:trPr>
        <w:tc>
          <w:tcPr>
            <w:tcW w:w="56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Interest accrual</w:t>
            </w:r>
          </w:p>
        </w:tc>
        <w:tc>
          <w:tcPr>
            <w:tcW w:w="34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12,184,348</w:t>
            </w:r>
          </w:p>
        </w:tc>
        <w:tc>
          <w:tcPr>
            <w:tcW w:w="4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12,553,581</w:t>
            </w:r>
          </w:p>
        </w:tc>
      </w:tr>
      <w:tr>
        <w:trPr>
          <w:trHeight w:val="229"/>
        </w:trPr>
        <w:tc>
          <w:tcPr>
            <w:tcW w:w="56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premiums collected (2)</w:t>
            </w:r>
          </w:p>
        </w:tc>
        <w:tc>
          <w:tcPr>
            <w:tcW w:w="3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(51,872,527)</w:t>
            </w:r>
          </w:p>
        </w:tc>
        <w:tc>
          <w:tcPr>
            <w:tcW w:w="4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(53,220,587)</w:t>
            </w:r>
          </w:p>
        </w:tc>
      </w:tr>
      <w:tr>
        <w:trPr>
          <w:trHeight w:val="209"/>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Ending balance at original discount rate</w:t>
            </w: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250,331,770</w:t>
            </w:r>
          </w:p>
        </w:tc>
        <w:tc>
          <w:tcPr>
            <w:tcW w:w="2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258,790,211</w:t>
            </w:r>
          </w:p>
        </w:tc>
        <w:tc>
          <w:tcPr>
            <w:tcW w:w="80" w:type="dxa"/>
            <w:vAlign w:val="bottom"/>
          </w:tcPr>
          <w:p>
            <w:pPr>
              <w:spacing w:after="0"/>
              <w:rPr>
                <w:sz w:val="18"/>
                <w:szCs w:val="18"/>
                <w:color w:val="auto"/>
              </w:rPr>
            </w:pPr>
          </w:p>
        </w:tc>
      </w:tr>
      <w:tr>
        <w:trPr>
          <w:trHeight w:val="230"/>
        </w:trPr>
        <w:tc>
          <w:tcPr>
            <w:tcW w:w="56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 of changes in discount rate assumptions</w:t>
            </w:r>
          </w:p>
        </w:tc>
        <w:tc>
          <w:tcPr>
            <w:tcW w:w="3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118,532</w:t>
            </w:r>
          </w:p>
        </w:tc>
        <w:tc>
          <w:tcPr>
            <w:tcW w:w="4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(5,961,873)</w:t>
            </w:r>
          </w:p>
        </w:tc>
      </w:tr>
      <w:tr>
        <w:trPr>
          <w:trHeight w:val="263"/>
        </w:trPr>
        <w:tc>
          <w:tcPr>
            <w:tcW w:w="56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250,450,302</w:t>
            </w:r>
          </w:p>
        </w:tc>
        <w:tc>
          <w:tcPr>
            <w:tcW w:w="260" w:type="dxa"/>
            <w:vAlign w:val="bottom"/>
            <w:tcBorders>
              <w:bottom w:val="single" w:sz="8" w:color="CCEEFF"/>
            </w:tcBorders>
          </w:tcPr>
          <w:p>
            <w:pPr>
              <w:spacing w:after="0"/>
              <w:rPr>
                <w:sz w:val="22"/>
                <w:szCs w:val="22"/>
                <w:color w:val="auto"/>
              </w:rPr>
            </w:pPr>
          </w:p>
        </w:tc>
        <w:tc>
          <w:tcPr>
            <w:tcW w:w="48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252,828,338</w:t>
            </w:r>
          </w:p>
        </w:tc>
        <w:tc>
          <w:tcPr>
            <w:tcW w:w="80" w:type="dxa"/>
            <w:vAlign w:val="bottom"/>
            <w:tcBorders>
              <w:bottom w:val="single" w:sz="8" w:color="CCEEFF"/>
            </w:tcBorders>
          </w:tcPr>
          <w:p>
            <w:pPr>
              <w:spacing w:after="0"/>
              <w:rPr>
                <w:sz w:val="22"/>
                <w:szCs w:val="22"/>
                <w:color w:val="auto"/>
              </w:rPr>
            </w:pPr>
          </w:p>
        </w:tc>
      </w:tr>
      <w:tr>
        <w:trPr>
          <w:trHeight w:val="197"/>
        </w:trPr>
        <w:tc>
          <w:tcPr>
            <w:tcW w:w="36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76"/>
        </w:trPr>
        <w:tc>
          <w:tcPr>
            <w:tcW w:w="56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Present Value of Expected Future Policy Benefits:</w:t>
            </w: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
        </w:trPr>
        <w:tc>
          <w:tcPr>
            <w:tcW w:w="3620" w:type="dxa"/>
            <w:vAlign w:val="bottom"/>
            <w:tcBorders>
              <w:top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5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year</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800,812,826</w:t>
            </w: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833,621,080</w:t>
            </w:r>
          </w:p>
        </w:tc>
      </w:tr>
      <w:tr>
        <w:trPr>
          <w:trHeight w:val="216"/>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Beginning balance at original discount rate</w:t>
            </w:r>
          </w:p>
        </w:tc>
        <w:tc>
          <w:tcPr>
            <w:tcW w:w="34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858,516,933</w:t>
            </w:r>
          </w:p>
        </w:tc>
        <w:tc>
          <w:tcPr>
            <w:tcW w:w="4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838,813,645</w:t>
            </w:r>
          </w:p>
        </w:tc>
      </w:tr>
      <w:tr>
        <w:trPr>
          <w:trHeight w:val="216"/>
        </w:trPr>
        <w:tc>
          <w:tcPr>
            <w:tcW w:w="56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 of changes in cash flow assumptions</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6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Effect of actual variances from expected experience (1)</w:t>
            </w:r>
          </w:p>
        </w:tc>
        <w:tc>
          <w:tcPr>
            <w:tcW w:w="34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(15,224,887)</w:t>
            </w:r>
          </w:p>
        </w:tc>
        <w:tc>
          <w:tcPr>
            <w:tcW w:w="48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(12,409,158)</w:t>
            </w:r>
          </w:p>
        </w:tc>
      </w:tr>
      <w:tr>
        <w:trPr>
          <w:trHeight w:val="209"/>
        </w:trPr>
        <w:tc>
          <w:tcPr>
            <w:tcW w:w="560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beginning of year balance</w:t>
            </w: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843,292,046</w:t>
            </w:r>
          </w:p>
        </w:tc>
        <w:tc>
          <w:tcPr>
            <w:tcW w:w="2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826,404,487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6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Issuances</w:t>
            </w:r>
          </w:p>
        </w:tc>
        <w:tc>
          <w:tcPr>
            <w:tcW w:w="34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50,684,159</w:t>
            </w:r>
          </w:p>
        </w:tc>
        <w:tc>
          <w:tcPr>
            <w:tcW w:w="4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55,415,178</w:t>
            </w:r>
          </w:p>
        </w:tc>
      </w:tr>
      <w:tr>
        <w:trPr>
          <w:trHeight w:val="216"/>
        </w:trPr>
        <w:tc>
          <w:tcPr>
            <w:tcW w:w="56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accrual</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41,342,032</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40,743,098</w:t>
            </w:r>
          </w:p>
        </w:tc>
      </w:tr>
      <w:tr>
        <w:trPr>
          <w:trHeight w:val="230"/>
        </w:trPr>
        <w:tc>
          <w:tcPr>
            <w:tcW w:w="56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Benefit payments</w:t>
            </w:r>
          </w:p>
        </w:tc>
        <w:tc>
          <w:tcPr>
            <w:tcW w:w="34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(68,140,720)</w:t>
            </w:r>
          </w:p>
        </w:tc>
        <w:tc>
          <w:tcPr>
            <w:tcW w:w="48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(64,045,830)</w:t>
            </w:r>
          </w:p>
        </w:tc>
      </w:tr>
      <w:tr>
        <w:trPr>
          <w:trHeight w:val="210"/>
        </w:trPr>
        <w:tc>
          <w:tcPr>
            <w:tcW w:w="560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at original discount rate</w:t>
            </w: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867,177,517</w:t>
            </w:r>
          </w:p>
        </w:tc>
        <w:tc>
          <w:tcPr>
            <w:tcW w:w="2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858,516,933</w:t>
            </w: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56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Effect of changes in discount rate assumptions</w:t>
            </w:r>
          </w:p>
        </w:tc>
        <w:tc>
          <w:tcPr>
            <w:tcW w:w="34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(35,337,817)</w:t>
            </w:r>
          </w:p>
        </w:tc>
        <w:tc>
          <w:tcPr>
            <w:tcW w:w="48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(57,704,107)</w:t>
            </w:r>
          </w:p>
        </w:tc>
      </w:tr>
      <w:tr>
        <w:trPr>
          <w:trHeight w:val="223"/>
        </w:trPr>
        <w:tc>
          <w:tcPr>
            <w:tcW w:w="56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3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831,839,700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800,812,826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6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36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liability for future policy benefits, pre-flooring</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581,309,175</w:t>
            </w: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547,983,396</w:t>
            </w:r>
          </w:p>
        </w:tc>
      </w:tr>
      <w:tr>
        <w:trPr>
          <w:trHeight w:val="230"/>
        </w:trPr>
        <w:tc>
          <w:tcPr>
            <w:tcW w:w="56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Flooring impact, end of period</w:t>
            </w:r>
          </w:p>
        </w:tc>
        <w:tc>
          <w:tcPr>
            <w:tcW w:w="340" w:type="dxa"/>
            <w:vAlign w:val="bottom"/>
          </w:tcPr>
          <w:p>
            <w:pPr>
              <w:spacing w:after="0"/>
              <w:rPr>
                <w:sz w:val="19"/>
                <w:szCs w:val="19"/>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80,224</w:t>
            </w:r>
          </w:p>
        </w:tc>
        <w:tc>
          <w:tcPr>
            <w:tcW w:w="48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1,092</w:t>
            </w:r>
          </w:p>
        </w:tc>
      </w:tr>
      <w:tr>
        <w:trPr>
          <w:trHeight w:val="210"/>
        </w:trPr>
        <w:tc>
          <w:tcPr>
            <w:tcW w:w="560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liability for future policy benefits, post-flooring</w:t>
            </w: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581,389,399</w:t>
            </w:r>
          </w:p>
        </w:tc>
        <w:tc>
          <w:tcPr>
            <w:tcW w:w="2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547,984,488</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56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Less: Receivable from reinsurers</w:t>
            </w:r>
          </w:p>
        </w:tc>
        <w:tc>
          <w:tcPr>
            <w:tcW w:w="340" w:type="dxa"/>
            <w:vAlign w:val="bottom"/>
          </w:tcPr>
          <w:p>
            <w:pPr>
              <w:spacing w:after="0"/>
              <w:rPr>
                <w:sz w:val="19"/>
                <w:szCs w:val="19"/>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9,186,983</w:t>
            </w:r>
          </w:p>
        </w:tc>
        <w:tc>
          <w:tcPr>
            <w:tcW w:w="48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9,252,984</w:t>
            </w:r>
          </w:p>
        </w:tc>
      </w:tr>
      <w:tr>
        <w:trPr>
          <w:trHeight w:val="223"/>
        </w:trPr>
        <w:tc>
          <w:tcPr>
            <w:tcW w:w="56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liability for future policy benefits, after reinsurance</w:t>
            </w:r>
          </w:p>
        </w:tc>
        <w:tc>
          <w:tcPr>
            <w:tcW w:w="3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572,202,416</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538,731,504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6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left="340" w:hanging="332"/>
        <w:spacing w:after="0" w:line="261" w:lineRule="auto"/>
        <w:tabs>
          <w:tab w:leader="none" w:pos="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2025, and 2024, the net effect of actual variances from expected experience was primarily due to lapses. Actual mortality and surrenders were close to expected.</w:t>
      </w:r>
    </w:p>
    <w:p>
      <w:pPr>
        <w:ind w:left="340" w:hanging="332"/>
        <w:spacing w:after="0"/>
        <w:tabs>
          <w:tab w:leader="none" w:pos="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premiums collected represent the portion of gross premiums collected from policyholders that is used to fund expected benefit payments.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7" w:lineRule="exact"/>
        <w:rPr>
          <w:sz w:val="20"/>
          <w:szCs w:val="20"/>
          <w:color w:val="auto"/>
        </w:rPr>
      </w:pPr>
    </w:p>
    <w:p>
      <w:pPr>
        <w:ind w:left="660" w:hanging="652"/>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Future Policy Benefits and Unpaid Claims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amount of undiscounted and discounted expected gross premiums and expected future benefit payments for traditional and limited-payment life: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color w:val="auto"/>
              </w:rPr>
              <w:t>December 31,</w:t>
            </w:r>
          </w:p>
        </w:tc>
        <w:tc>
          <w:tcPr>
            <w:tcW w:w="1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0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r>
      <w:tr>
        <w:trPr>
          <w:trHeight w:val="21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Undiscounted expected future benefit payments</w:t>
            </w: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1,929,788,387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1,924,273,198</w:t>
            </w: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Discounted expected future benefit payments (at original discount rate)</w:t>
            </w: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867,097,293</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858,515,841</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Discounted expected future benefit payments (at current discount rate)</w:t>
            </w: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831,839,700</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800,812,826</w:t>
            </w:r>
          </w:p>
        </w:tc>
      </w:tr>
      <w:tr>
        <w:trPr>
          <w:trHeight w:val="216"/>
        </w:trPr>
        <w:tc>
          <w:tcPr>
            <w:tcW w:w="6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Undiscounted expected future gross premiums</w:t>
            </w:r>
          </w:p>
        </w:tc>
        <w:tc>
          <w:tcPr>
            <w:tcW w:w="13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813,914,337</w:t>
            </w:r>
          </w:p>
        </w:tc>
        <w:tc>
          <w:tcPr>
            <w:tcW w:w="72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832,580,093</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Discounted expected future gross premiums (at original discount rate)</w:t>
            </w: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544,923,472</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556,009,689</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Discounted expected future gross premiums (at current discount rate)</w:t>
            </w: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545,181,493</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543,200,631</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amount of gross premiums and interest accretion recognized in insurance premiums and other considerations and increase in future policy benefits, respectively, in the consolidated statements of earnings for traditional and limited-payment life: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9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3060" w:type="dxa"/>
            <w:vAlign w:val="bottom"/>
            <w:tcBorders>
              <w:bottom w:val="single" w:sz="8" w:color="CCEEFF"/>
            </w:tcBorders>
          </w:tcPr>
          <w:p>
            <w:pPr>
              <w:spacing w:after="0"/>
              <w:rPr>
                <w:sz w:val="19"/>
                <w:szCs w:val="19"/>
                <w:color w:val="auto"/>
              </w:rPr>
            </w:pPr>
          </w:p>
        </w:tc>
        <w:tc>
          <w:tcPr>
            <w:tcW w:w="18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60" w:type="dxa"/>
            <w:vAlign w:val="bottom"/>
            <w:tcBorders>
              <w:bottom w:val="single" w:sz="8" w:color="CCEEFF"/>
            </w:tcBorders>
          </w:tcPr>
          <w:p>
            <w:pPr>
              <w:spacing w:after="0"/>
              <w:rPr>
                <w:sz w:val="19"/>
                <w:szCs w:val="19"/>
                <w:color w:val="auto"/>
              </w:rPr>
            </w:pPr>
          </w:p>
        </w:tc>
      </w:tr>
      <w:tr>
        <w:trPr>
          <w:trHeight w:val="210"/>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premiums</w:t>
            </w:r>
          </w:p>
        </w:tc>
        <w:tc>
          <w:tcPr>
            <w:tcW w:w="18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118,920,945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118,722,900</w:t>
            </w:r>
          </w:p>
        </w:tc>
        <w:tc>
          <w:tcPr>
            <w:tcW w:w="60" w:type="dxa"/>
            <w:vAlign w:val="bottom"/>
            <w:shd w:val="clear" w:color="auto" w:fill="CCEEFF"/>
          </w:tcPr>
          <w:p>
            <w:pPr>
              <w:spacing w:after="0"/>
              <w:rPr>
                <w:sz w:val="18"/>
                <w:szCs w:val="18"/>
                <w:color w:val="auto"/>
              </w:rPr>
            </w:pPr>
          </w:p>
        </w:tc>
      </w:tr>
      <w:tr>
        <w:trPr>
          <w:trHeight w:val="234"/>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Interest accretion</w:t>
            </w:r>
          </w:p>
        </w:tc>
        <w:tc>
          <w:tcPr>
            <w:tcW w:w="21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29,157,684</w:t>
            </w:r>
          </w:p>
        </w:tc>
        <w:tc>
          <w:tcPr>
            <w:tcW w:w="5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28,189,517</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weighted-average interest rates for traditional and limited-payment life:</w:t>
      </w:r>
    </w:p>
    <w:p>
      <w:pPr>
        <w:spacing w:after="0" w:line="23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780" w:type="dxa"/>
            <w:vAlign w:val="bottom"/>
            <w:tcBorders>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CCEEFF"/>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bottom w:val="single" w:sz="8" w:color="CCEEFF"/>
            </w:tcBorders>
          </w:tcPr>
          <w:p>
            <w:pPr>
              <w:spacing w:after="0"/>
              <w:rPr>
                <w:sz w:val="19"/>
                <w:szCs w:val="19"/>
                <w:color w:val="auto"/>
              </w:rPr>
            </w:pPr>
          </w:p>
        </w:tc>
      </w:tr>
      <w:tr>
        <w:trPr>
          <w:trHeight w:val="21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accretion rate</w:t>
            </w:r>
          </w:p>
        </w:tc>
        <w:tc>
          <w:tcPr>
            <w:tcW w:w="9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4.90%</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234"/>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discount rate</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5.40%</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weighted-average duration of the liability for traditional and limited-payment life:</w:t>
      </w:r>
    </w:p>
    <w:p>
      <w:pPr>
        <w:spacing w:after="0" w:line="23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0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CCEEFF"/>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60" w:type="dxa"/>
            <w:vAlign w:val="bottom"/>
            <w:tcBorders>
              <w:bottom w:val="single" w:sz="8" w:color="CCEEFF"/>
            </w:tcBorders>
          </w:tcPr>
          <w:p>
            <w:pPr>
              <w:spacing w:after="0"/>
              <w:rPr>
                <w:sz w:val="19"/>
                <w:szCs w:val="19"/>
                <w:color w:val="auto"/>
              </w:rPr>
            </w:pPr>
          </w:p>
        </w:tc>
      </w:tr>
      <w:tr>
        <w:trPr>
          <w:trHeight w:val="210"/>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Duration of the liability in years (at original discount rate)</w:t>
            </w: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shd w:val="clear" w:color="auto" w:fill="CCEEFF"/>
          </w:tcPr>
          <w:p>
            <w:pPr>
              <w:spacing w:after="0"/>
              <w:rPr>
                <w:sz w:val="18"/>
                <w:szCs w:val="18"/>
                <w:color w:val="auto"/>
              </w:rPr>
            </w:pPr>
          </w:p>
        </w:tc>
      </w:tr>
      <w:tr>
        <w:trPr>
          <w:trHeight w:val="234"/>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Duration of the liability in years (at current discount rate)</w:t>
            </w: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Adverse Development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2025 and 2024, there were immaterial impacts to net earnings for traditional and limited-payment life, where net premiums exceeded gross premiums for certain issue-year cohorts.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7" w:lineRule="exact"/>
        <w:rPr>
          <w:sz w:val="20"/>
          <w:szCs w:val="20"/>
          <w:color w:val="auto"/>
        </w:rPr>
      </w:pPr>
    </w:p>
    <w:p>
      <w:pPr>
        <w:ind w:left="660" w:hanging="652"/>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Future Policy Benefits and Unpaid Claims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Profit Liability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balances of and changes in Deferred Profit Liability for traditional and limited- payment life: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December 31,</w:t>
            </w:r>
          </w:p>
        </w:tc>
        <w:tc>
          <w:tcPr>
            <w:tcW w:w="10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56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r>
      <w:tr>
        <w:trPr>
          <w:trHeight w:val="20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year</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192,278,993</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177,843,975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9"/>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actual variances from expected experience (1)</w:t>
            </w:r>
          </w:p>
        </w:tc>
        <w:tc>
          <w:tcPr>
            <w:tcW w:w="34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(4,188,728)</w:t>
            </w:r>
          </w:p>
        </w:tc>
        <w:tc>
          <w:tcPr>
            <w:tcW w:w="480" w:type="dxa"/>
            <w:vAlign w:val="bottom"/>
          </w:tcPr>
          <w:p>
            <w:pPr>
              <w:spacing w:after="0"/>
              <w:rPr>
                <w:sz w:val="19"/>
                <w:szCs w:val="19"/>
                <w:color w:val="auto"/>
              </w:rPr>
            </w:pP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(3,219,369)</w:t>
            </w:r>
          </w:p>
        </w:tc>
      </w:tr>
      <w:tr>
        <w:trPr>
          <w:trHeight w:val="210"/>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balance, beginning of period</w:t>
            </w: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188,090,265</w:t>
            </w:r>
          </w:p>
        </w:tc>
        <w:tc>
          <w:tcPr>
            <w:tcW w:w="2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174,624,606</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Profits deferred</w:t>
            </w:r>
          </w:p>
        </w:tc>
        <w:tc>
          <w:tcPr>
            <w:tcW w:w="34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67,048,417</w:t>
            </w:r>
          </w:p>
        </w:tc>
        <w:tc>
          <w:tcPr>
            <w:tcW w:w="4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65,502,313</w:t>
            </w:r>
          </w:p>
        </w:tc>
        <w:tc>
          <w:tcPr>
            <w:tcW w:w="60" w:type="dxa"/>
            <w:vAlign w:val="bottom"/>
          </w:tcPr>
          <w:p>
            <w:pPr>
              <w:spacing w:after="0"/>
              <w:rPr>
                <w:sz w:val="18"/>
                <w:szCs w:val="18"/>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accrual</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9,823,588</w:t>
            </w:r>
          </w:p>
        </w:tc>
        <w:tc>
          <w:tcPr>
            <w:tcW w:w="4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9,157,208</w:t>
            </w:r>
          </w:p>
        </w:tc>
        <w:tc>
          <w:tcPr>
            <w:tcW w:w="60" w:type="dxa"/>
            <w:vAlign w:val="bottom"/>
            <w:shd w:val="clear" w:color="auto" w:fill="CCEEFF"/>
          </w:tcPr>
          <w:p>
            <w:pPr>
              <w:spacing w:after="0"/>
              <w:rPr>
                <w:sz w:val="18"/>
                <w:szCs w:val="18"/>
                <w:color w:val="auto"/>
              </w:rPr>
            </w:pPr>
          </w:p>
        </w:tc>
      </w:tr>
      <w:tr>
        <w:trPr>
          <w:trHeight w:val="21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34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(59,159,496)</w:t>
            </w:r>
          </w:p>
        </w:tc>
        <w:tc>
          <w:tcPr>
            <w:tcW w:w="480" w:type="dxa"/>
            <w:vAlign w:val="bottom"/>
          </w:tcPr>
          <w:p>
            <w:pPr>
              <w:spacing w:after="0"/>
              <w:rPr>
                <w:sz w:val="18"/>
                <w:szCs w:val="18"/>
                <w:color w:val="auto"/>
              </w:rPr>
            </w:pP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(57,005,134)</w:t>
            </w:r>
          </w:p>
        </w:tc>
      </w:tr>
      <w:tr>
        <w:trPr>
          <w:trHeight w:val="230"/>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adjustments</w:t>
            </w:r>
          </w:p>
        </w:tc>
        <w:tc>
          <w:tcPr>
            <w:tcW w:w="3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205,802,774</w:t>
            </w:r>
          </w:p>
        </w:tc>
        <w:tc>
          <w:tcPr>
            <w:tcW w:w="2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192,278,993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9"/>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Receivable from reinsurers</w:t>
            </w:r>
          </w:p>
        </w:tc>
        <w:tc>
          <w:tcPr>
            <w:tcW w:w="3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985,258</w:t>
            </w:r>
          </w:p>
        </w:tc>
        <w:tc>
          <w:tcPr>
            <w:tcW w:w="4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1,017,678</w:t>
            </w:r>
          </w:p>
        </w:tc>
        <w:tc>
          <w:tcPr>
            <w:tcW w:w="60" w:type="dxa"/>
            <w:vAlign w:val="bottom"/>
            <w:shd w:val="clear" w:color="auto" w:fill="CCEEFF"/>
          </w:tcPr>
          <w:p>
            <w:pPr>
              <w:spacing w:after="0"/>
              <w:rPr>
                <w:sz w:val="19"/>
                <w:szCs w:val="19"/>
                <w:color w:val="auto"/>
              </w:rPr>
            </w:pPr>
          </w:p>
        </w:tc>
      </w:tr>
      <w:tr>
        <w:trPr>
          <w:trHeight w:val="22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Deferred profit liability, net of reinsurance</w:t>
            </w: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204,817,516</w:t>
            </w:r>
          </w:p>
        </w:tc>
        <w:tc>
          <w:tcPr>
            <w:tcW w:w="26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191,261,315</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340" w:right="20" w:hanging="332"/>
        <w:spacing w:after="0" w:line="282" w:lineRule="auto"/>
        <w:tabs>
          <w:tab w:leader="none" w:pos="3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2025, and 2024, the net effect of actual variances from expected experience was primarily due to lapses. Actual mortality and surrenders were close to expected.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Unpaid Claims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a roll forward of the Company’s liability for reported but unpaid claims and incurred but not reported claims, net of the related receivable from reinsurers.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Accident</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Life</w:t>
            </w:r>
          </w:p>
        </w:tc>
        <w:tc>
          <w:tcPr>
            <w:tcW w:w="220" w:type="dxa"/>
            <w:vAlign w:val="bottom"/>
          </w:tcPr>
          <w:p>
            <w:pPr>
              <w:spacing w:after="0"/>
              <w:rPr>
                <w:sz w:val="20"/>
                <w:szCs w:val="20"/>
                <w:color w:val="auto"/>
              </w:rPr>
            </w:pPr>
          </w:p>
        </w:tc>
        <w:tc>
          <w:tcPr>
            <w:tcW w:w="164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Annuities</w:t>
            </w:r>
          </w:p>
        </w:tc>
        <w:tc>
          <w:tcPr>
            <w:tcW w:w="200" w:type="dxa"/>
            <w:vAlign w:val="bottom"/>
          </w:tcPr>
          <w:p>
            <w:pPr>
              <w:spacing w:after="0"/>
              <w:rPr>
                <w:sz w:val="20"/>
                <w:szCs w:val="20"/>
                <w:color w:val="auto"/>
              </w:rPr>
            </w:pPr>
          </w:p>
        </w:tc>
        <w:tc>
          <w:tcPr>
            <w:tcW w:w="166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and Health</w:t>
            </w:r>
          </w:p>
        </w:tc>
        <w:tc>
          <w:tcPr>
            <w:tcW w:w="320" w:type="dxa"/>
            <w:vAlign w:val="bottom"/>
          </w:tcPr>
          <w:p>
            <w:pPr>
              <w:spacing w:after="0"/>
              <w:rPr>
                <w:sz w:val="20"/>
                <w:szCs w:val="20"/>
                <w:color w:val="auto"/>
              </w:rPr>
            </w:pPr>
          </w:p>
        </w:tc>
        <w:tc>
          <w:tcPr>
            <w:tcW w:w="12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12/31/2023</w:t>
            </w: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8,129,161</w:t>
            </w:r>
          </w:p>
        </w:tc>
        <w:tc>
          <w:tcPr>
            <w:tcW w:w="4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379,278</w:t>
            </w:r>
          </w:p>
        </w:tc>
        <w:tc>
          <w:tcPr>
            <w:tcW w:w="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4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8,526,439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Incurred</w:t>
            </w:r>
          </w:p>
        </w:tc>
        <w:tc>
          <w:tcPr>
            <w:tcW w:w="32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58,116,837(1)</w:t>
            </w:r>
          </w:p>
        </w:tc>
        <w:tc>
          <w:tcPr>
            <w:tcW w:w="22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12,416,335(2)</w:t>
            </w:r>
          </w:p>
        </w:tc>
        <w:tc>
          <w:tcPr>
            <w:tcW w:w="20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2,767(3)</w:t>
            </w:r>
          </w:p>
        </w:tc>
        <w:tc>
          <w:tcPr>
            <w:tcW w:w="3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70,535,939</w:t>
            </w:r>
          </w:p>
        </w:tc>
      </w:tr>
      <w:tr>
        <w:trPr>
          <w:trHeight w:val="23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Settled</w:t>
            </w:r>
          </w:p>
        </w:tc>
        <w:tc>
          <w:tcPr>
            <w:tcW w:w="3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(59,882,755)</w:t>
            </w:r>
          </w:p>
        </w:tc>
        <w:tc>
          <w:tcPr>
            <w:tcW w:w="2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(12,540,133)</w:t>
            </w:r>
          </w:p>
        </w:tc>
        <w:tc>
          <w:tcPr>
            <w:tcW w:w="2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(3,767)</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(72,426,655)</w:t>
            </w:r>
          </w:p>
        </w:tc>
      </w:tr>
      <w:tr>
        <w:trPr>
          <w:trHeight w:val="209"/>
        </w:trPr>
        <w:tc>
          <w:tcPr>
            <w:tcW w:w="4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at 12/31/2024</w:t>
            </w: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6,363,243</w:t>
            </w:r>
          </w:p>
        </w:tc>
        <w:tc>
          <w:tcPr>
            <w:tcW w:w="4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255,480</w:t>
            </w:r>
          </w:p>
        </w:tc>
        <w:tc>
          <w:tcPr>
            <w:tcW w:w="4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4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6,635,723</w:t>
            </w:r>
          </w:p>
        </w:tc>
        <w:tc>
          <w:tcPr>
            <w:tcW w:w="100" w:type="dxa"/>
            <w:vAlign w:val="bottom"/>
            <w:tcBorders>
              <w:bottom w:val="single" w:sz="8" w:color="CCEEFF"/>
            </w:tcBorders>
          </w:tcPr>
          <w:p>
            <w:pPr>
              <w:spacing w:after="0"/>
              <w:rPr>
                <w:sz w:val="18"/>
                <w:szCs w:val="18"/>
                <w:color w:val="auto"/>
              </w:rPr>
            </w:pPr>
          </w:p>
        </w:tc>
      </w:tr>
      <w:tr>
        <w:trPr>
          <w:trHeight w:val="21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Incurred</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60,422,703(1)</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12,874,267(2)</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83,309(3)</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73,380,279</w:t>
            </w:r>
          </w:p>
        </w:tc>
        <w:tc>
          <w:tcPr>
            <w:tcW w:w="100" w:type="dxa"/>
            <w:vAlign w:val="bottom"/>
            <w:shd w:val="clear" w:color="auto" w:fill="CCEEFF"/>
          </w:tcPr>
          <w:p>
            <w:pPr>
              <w:spacing w:after="0"/>
              <w:rPr>
                <w:sz w:val="18"/>
                <w:szCs w:val="18"/>
                <w:color w:val="auto"/>
              </w:rPr>
            </w:pPr>
          </w:p>
        </w:tc>
      </w:tr>
      <w:tr>
        <w:trPr>
          <w:trHeight w:val="230"/>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Settled</w:t>
            </w:r>
          </w:p>
        </w:tc>
        <w:tc>
          <w:tcPr>
            <w:tcW w:w="320" w:type="dxa"/>
            <w:vAlign w:val="bottom"/>
          </w:tcPr>
          <w:p>
            <w:pPr>
              <w:spacing w:after="0"/>
              <w:rPr>
                <w:sz w:val="19"/>
                <w:szCs w:val="19"/>
                <w:color w:val="auto"/>
              </w:rPr>
            </w:pPr>
          </w:p>
        </w:tc>
        <w:tc>
          <w:tcPr>
            <w:tcW w:w="15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(59,844,155)</w:t>
            </w:r>
          </w:p>
        </w:tc>
        <w:tc>
          <w:tcPr>
            <w:tcW w:w="220" w:type="dxa"/>
            <w:vAlign w:val="bottom"/>
          </w:tcPr>
          <w:p>
            <w:pPr>
              <w:spacing w:after="0"/>
              <w:rPr>
                <w:sz w:val="19"/>
                <w:szCs w:val="19"/>
                <w:color w:val="auto"/>
              </w:rPr>
            </w:pPr>
          </w:p>
        </w:tc>
        <w:tc>
          <w:tcPr>
            <w:tcW w:w="16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(12,826,904)</w:t>
            </w:r>
          </w:p>
        </w:tc>
        <w:tc>
          <w:tcPr>
            <w:tcW w:w="200" w:type="dxa"/>
            <w:vAlign w:val="bottom"/>
          </w:tcPr>
          <w:p>
            <w:pPr>
              <w:spacing w:after="0"/>
              <w:rPr>
                <w:sz w:val="19"/>
                <w:szCs w:val="19"/>
                <w:color w:val="auto"/>
              </w:rPr>
            </w:pPr>
          </w:p>
        </w:tc>
        <w:tc>
          <w:tcPr>
            <w:tcW w:w="16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(83,309)</w:t>
            </w:r>
          </w:p>
        </w:tc>
        <w:tc>
          <w:tcPr>
            <w:tcW w:w="32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(72,754,368)</w:t>
            </w:r>
          </w:p>
        </w:tc>
      </w:tr>
      <w:tr>
        <w:trPr>
          <w:trHeight w:val="223"/>
        </w:trPr>
        <w:tc>
          <w:tcPr>
            <w:tcW w:w="4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12/31/2025</w:t>
            </w: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6,941,791</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302,843</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7,261,634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18" w:lineRule="exact"/>
        <w:rPr>
          <w:sz w:val="20"/>
          <w:szCs w:val="20"/>
          <w:color w:val="auto"/>
        </w:rPr>
      </w:pPr>
    </w:p>
    <w:p>
      <w:pPr>
        <w:ind w:left="340" w:hanging="332"/>
        <w:spacing w:after="0"/>
        <w:tabs>
          <w:tab w:leader="none" w:pos="3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policyholder benefits and claims on the consolidated statements of earnings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Released from policyholder account balances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policyholder benefits and claims on the consolidated statements of earnings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7" w:lineRule="exact"/>
        <w:rPr>
          <w:sz w:val="20"/>
          <w:szCs w:val="20"/>
          <w:color w:val="auto"/>
        </w:rPr>
      </w:pPr>
    </w:p>
    <w:p>
      <w:pPr>
        <w:ind w:left="660" w:hanging="652"/>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Policyholder Account Balances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reports policyholder account balances pursuant to the accounting policy discussed in Note 1. The Company establishes liabilities for policyholder account balances, which are generally equal to the account value, and which include interest credited.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policyholder account balances and the related receivable from reinsurers to the consolidated balance sheets.</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Policyholder account balances - fixed annuities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5700395" cy="1454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profit liability - fixed annuities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700395" cy="146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Policyholder account balances - universal life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policyholder account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5700395" cy="1631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Receivable from reinsurers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5700395" cy="1371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19"/>
                <w:szCs w:val="19"/>
                <w:color w:val="auto"/>
              </w:rPr>
            </w:pPr>
          </w:p>
        </w:tc>
      </w:tr>
      <w:tr>
        <w:trPr>
          <w:trHeight w:val="191"/>
        </w:trPr>
        <w:tc>
          <w:tcPr>
            <w:tcW w:w="340" w:type="dxa"/>
            <w:vAlign w:val="bottom"/>
          </w:tcPr>
          <w:p>
            <w:pPr>
              <w:jc w:val="right"/>
              <w:ind w:right="17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104,233,454</w:t>
            </w:r>
          </w:p>
        </w:tc>
        <w:tc>
          <w:tcPr>
            <w:tcW w:w="260" w:type="dxa"/>
            <w:vAlign w:val="bottom"/>
          </w:tcPr>
          <w:p>
            <w:pPr>
              <w:spacing w:after="0"/>
              <w:rPr>
                <w:sz w:val="16"/>
                <w:szCs w:val="16"/>
                <w:color w:val="auto"/>
              </w:rPr>
            </w:pPr>
          </w:p>
        </w:tc>
        <w:tc>
          <w:tcPr>
            <w:tcW w:w="340" w:type="dxa"/>
            <w:vAlign w:val="bottom"/>
          </w:tcPr>
          <w:p>
            <w:pPr>
              <w:jc w:val="right"/>
              <w:ind w:right="17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105,088,621</w:t>
            </w:r>
          </w:p>
        </w:tc>
        <w:tc>
          <w:tcPr>
            <w:tcW w:w="20" w:type="dxa"/>
            <w:vAlign w:val="bottom"/>
          </w:tcPr>
          <w:p>
            <w:pPr>
              <w:spacing w:after="0"/>
              <w:rPr>
                <w:sz w:val="16"/>
                <w:szCs w:val="16"/>
                <w:color w:val="auto"/>
              </w:rPr>
            </w:pPr>
          </w:p>
        </w:tc>
      </w:tr>
      <w:tr>
        <w:trPr>
          <w:trHeight w:val="229"/>
        </w:trPr>
        <w:tc>
          <w:tcPr>
            <w:tcW w:w="340" w:type="dxa"/>
            <w:vAlign w:val="bottom"/>
          </w:tcPr>
          <w:p>
            <w:pPr>
              <w:spacing w:after="0"/>
              <w:rPr>
                <w:sz w:val="19"/>
                <w:szCs w:val="19"/>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546,802</w:t>
            </w:r>
          </w:p>
        </w:tc>
        <w:tc>
          <w:tcPr>
            <w:tcW w:w="34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627,465</w:t>
            </w:r>
          </w:p>
        </w:tc>
      </w:tr>
      <w:tr>
        <w:trPr>
          <w:trHeight w:val="234"/>
        </w:trPr>
        <w:tc>
          <w:tcPr>
            <w:tcW w:w="340" w:type="dxa"/>
            <w:vAlign w:val="bottom"/>
          </w:tcPr>
          <w:p>
            <w:pPr>
              <w:spacing w:after="0"/>
              <w:rPr>
                <w:sz w:val="20"/>
                <w:szCs w:val="20"/>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35,825,494</w:t>
            </w:r>
          </w:p>
        </w:tc>
        <w:tc>
          <w:tcPr>
            <w:tcW w:w="34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37,091,230</w:t>
            </w:r>
          </w:p>
        </w:tc>
      </w:tr>
      <w:tr>
        <w:trPr>
          <w:trHeight w:val="20"/>
        </w:trPr>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gridSpan w:val="2"/>
            <w:shd w:val="clear" w:color="auto" w:fill="000000"/>
          </w:tcPr>
          <w:p>
            <w:pPr>
              <w:spacing w:after="0" w:line="20" w:lineRule="exact"/>
              <w:rPr>
                <w:sz w:val="1"/>
                <w:szCs w:val="1"/>
                <w:color w:val="auto"/>
              </w:rPr>
            </w:pPr>
          </w:p>
        </w:tc>
      </w:tr>
      <w:tr>
        <w:trPr>
          <w:trHeight w:val="453"/>
        </w:trPr>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140,605,750</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142,807,316</w:t>
            </w:r>
          </w:p>
        </w:tc>
      </w:tr>
      <w:tr>
        <w:trPr>
          <w:trHeight w:val="20"/>
        </w:trPr>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604" w:lineRule="exact"/>
        <w:rPr>
          <w:sz w:val="20"/>
          <w:szCs w:val="20"/>
          <w:color w:val="auto"/>
        </w:rPr>
      </w:pPr>
    </w:p>
    <w:p>
      <w:pPr>
        <w:sectPr>
          <w:pgSz w:w="11900" w:h="16838" w:orient="portrait"/>
          <w:cols w:equalWidth="0" w:num="2">
            <w:col w:w="4880" w:space="720"/>
            <w:col w:w="5640"/>
          </w:cols>
          <w:pgMar w:left="320" w:top="688" w:right="339" w:bottom="1440" w:gutter="0" w:footer="0" w:header="0"/>
          <w:type w:val="continuous"/>
        </w:sectPr>
      </w:pP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Policyholder account balances - fixed annuities</w:t>
            </w:r>
          </w:p>
        </w:tc>
        <w:tc>
          <w:tcPr>
            <w:tcW w:w="3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3,275,247</w:t>
            </w: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3,415,644</w:t>
            </w:r>
          </w:p>
        </w:tc>
      </w:tr>
      <w:tr>
        <w:trPr>
          <w:trHeight w:val="210"/>
        </w:trPr>
        <w:tc>
          <w:tcPr>
            <w:tcW w:w="56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receivable from reinsurers</w:t>
            </w:r>
          </w:p>
        </w:tc>
        <w:tc>
          <w:tcPr>
            <w:tcW w:w="3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3,275,247</w:t>
            </w: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3,415,644</w:t>
            </w:r>
          </w:p>
        </w:tc>
      </w:tr>
      <w:tr>
        <w:trPr>
          <w:trHeight w:val="209"/>
        </w:trPr>
        <w:tc>
          <w:tcPr>
            <w:tcW w:w="56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policyholder account balances</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137,330,503</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139,391,672</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balances and changes in policyholder account balances for the lines of business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gridSpan w:val="6"/>
          </w:tcPr>
          <w:p>
            <w:pPr>
              <w:jc w:val="right"/>
              <w:ind w:right="1080"/>
              <w:spacing w:after="0"/>
              <w:rPr>
                <w:sz w:val="20"/>
                <w:szCs w:val="20"/>
                <w:color w:val="auto"/>
              </w:rPr>
            </w:pPr>
            <w:r>
              <w:rPr>
                <w:rFonts w:ascii="Times New Roman" w:cs="Times New Roman" w:eastAsia="Times New Roman" w:hAnsi="Times New Roman"/>
                <w:sz w:val="18"/>
                <w:szCs w:val="18"/>
                <w:color w:val="auto"/>
              </w:rPr>
              <w:t>December 31, 2025</w:t>
            </w:r>
          </w:p>
        </w:tc>
        <w:tc>
          <w:tcPr>
            <w:tcW w:w="140" w:type="dxa"/>
            <w:vAlign w:val="bottom"/>
          </w:tcPr>
          <w:p>
            <w:pPr>
              <w:spacing w:after="0"/>
              <w:rPr>
                <w:sz w:val="20"/>
                <w:szCs w:val="20"/>
                <w:color w:val="auto"/>
              </w:rPr>
            </w:pPr>
          </w:p>
        </w:tc>
        <w:tc>
          <w:tcPr>
            <w:tcW w:w="2660" w:type="dxa"/>
            <w:vAlign w:val="bottom"/>
            <w:gridSpan w:val="6"/>
          </w:tcPr>
          <w:p>
            <w:pPr>
              <w:jc w:val="right"/>
              <w:ind w:right="78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191"/>
        </w:trPr>
        <w:tc>
          <w:tcPr>
            <w:tcW w:w="4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right"/>
              <w:ind w:right="460"/>
              <w:spacing w:after="0" w:line="191" w:lineRule="exact"/>
              <w:rPr>
                <w:sz w:val="20"/>
                <w:szCs w:val="20"/>
                <w:color w:val="auto"/>
              </w:rPr>
            </w:pPr>
            <w:r>
              <w:rPr>
                <w:rFonts w:ascii="Times New Roman" w:cs="Times New Roman" w:eastAsia="Times New Roman" w:hAnsi="Times New Roman"/>
                <w:sz w:val="18"/>
                <w:szCs w:val="18"/>
                <w:color w:val="auto"/>
              </w:rPr>
              <w:t>Universal</w:t>
            </w: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210"/>
              <w:spacing w:after="0" w:line="191" w:lineRule="exact"/>
              <w:rPr>
                <w:sz w:val="20"/>
                <w:szCs w:val="20"/>
                <w:color w:val="auto"/>
              </w:rPr>
            </w:pPr>
            <w:r>
              <w:rPr>
                <w:rFonts w:ascii="Times New Roman" w:cs="Times New Roman" w:eastAsia="Times New Roman" w:hAnsi="Times New Roman"/>
                <w:sz w:val="18"/>
                <w:szCs w:val="18"/>
                <w:color w:val="auto"/>
              </w:rPr>
              <w:t>Fixed</w:t>
            </w:r>
          </w:p>
        </w:tc>
        <w:tc>
          <w:tcPr>
            <w:tcW w:w="4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right"/>
              <w:ind w:right="460"/>
              <w:spacing w:after="0" w:line="191" w:lineRule="exact"/>
              <w:rPr>
                <w:sz w:val="20"/>
                <w:szCs w:val="20"/>
                <w:color w:val="auto"/>
              </w:rPr>
            </w:pPr>
            <w:r>
              <w:rPr>
                <w:rFonts w:ascii="Times New Roman" w:cs="Times New Roman" w:eastAsia="Times New Roman" w:hAnsi="Times New Roman"/>
                <w:sz w:val="18"/>
                <w:szCs w:val="18"/>
                <w:color w:val="auto"/>
              </w:rPr>
              <w:t>Universal</w:t>
            </w:r>
          </w:p>
        </w:tc>
        <w:tc>
          <w:tcPr>
            <w:tcW w:w="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210"/>
              <w:spacing w:after="0" w:line="191" w:lineRule="exact"/>
              <w:rPr>
                <w:sz w:val="20"/>
                <w:szCs w:val="20"/>
                <w:color w:val="auto"/>
              </w:rPr>
            </w:pPr>
            <w:r>
              <w:rPr>
                <w:rFonts w:ascii="Times New Roman" w:cs="Times New Roman" w:eastAsia="Times New Roman" w:hAnsi="Times New Roman"/>
                <w:sz w:val="18"/>
                <w:szCs w:val="18"/>
                <w:color w:val="auto"/>
              </w:rPr>
              <w:t>Fixed</w:t>
            </w:r>
          </w:p>
        </w:tc>
        <w:tc>
          <w:tcPr>
            <w:tcW w:w="160" w:type="dxa"/>
            <w:vAlign w:val="bottom"/>
          </w:tcPr>
          <w:p>
            <w:pPr>
              <w:spacing w:after="0"/>
              <w:rPr>
                <w:sz w:val="16"/>
                <w:szCs w:val="16"/>
                <w:color w:val="auto"/>
              </w:rPr>
            </w:pPr>
          </w:p>
        </w:tc>
      </w:tr>
      <w:tr>
        <w:trPr>
          <w:trHeight w:val="234"/>
        </w:trPr>
        <w:tc>
          <w:tcPr>
            <w:tcW w:w="4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Life</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Annuities</w:t>
            </w:r>
          </w:p>
        </w:tc>
        <w:tc>
          <w:tcPr>
            <w:tcW w:w="140" w:type="dxa"/>
            <w:vAlign w:val="bottom"/>
          </w:tcPr>
          <w:p>
            <w:pPr>
              <w:spacing w:after="0"/>
              <w:rPr>
                <w:sz w:val="20"/>
                <w:szCs w:val="20"/>
                <w:color w:val="auto"/>
              </w:rPr>
            </w:pPr>
          </w:p>
        </w:tc>
        <w:tc>
          <w:tcPr>
            <w:tcW w:w="12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Life</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Annuities</w:t>
            </w: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year</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37,091,230</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105,088,621</w:t>
            </w: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37,992,650</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105,442,891</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14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1,416,081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10,564,011</w:t>
            </w:r>
          </w:p>
        </w:tc>
        <w:tc>
          <w:tcPr>
            <w:tcW w:w="14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1,563,684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11,739,265</w:t>
            </w:r>
          </w:p>
        </w:tc>
      </w:tr>
      <w:tr>
        <w:trPr>
          <w:trHeight w:val="216"/>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credited</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1,739,242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2,823,373</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1,076,848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2,302,766</w:t>
            </w:r>
          </w:p>
        </w:tc>
      </w:tr>
      <w:tr>
        <w:trPr>
          <w:trHeight w:val="216"/>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Policy charges (1)</w:t>
            </w:r>
          </w:p>
        </w:tc>
        <w:tc>
          <w:tcPr>
            <w:tcW w:w="1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(2,314,244)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(12,544)</w:t>
            </w:r>
          </w:p>
        </w:tc>
        <w:tc>
          <w:tcPr>
            <w:tcW w:w="1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(2,296,283)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(10,710)</w:t>
            </w:r>
          </w:p>
        </w:tc>
      </w:tr>
      <w:tr>
        <w:trPr>
          <w:trHeight w:val="229"/>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Surrenders, withdrawals and benefit payments</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(2,106,815)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(14,230,007)</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(1,245,669)</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(14,385,591)</w:t>
            </w:r>
          </w:p>
        </w:tc>
      </w:tr>
      <w:tr>
        <w:trPr>
          <w:trHeight w:val="21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35,825,494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104,233,454</w:t>
            </w:r>
          </w:p>
        </w:tc>
        <w:tc>
          <w:tcPr>
            <w:tcW w:w="4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37,091,230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105,088,621</w:t>
            </w:r>
          </w:p>
        </w:tc>
        <w:tc>
          <w:tcPr>
            <w:tcW w:w="160" w:type="dxa"/>
            <w:vAlign w:val="bottom"/>
          </w:tcPr>
          <w:p>
            <w:pPr>
              <w:spacing w:after="0"/>
              <w:rPr>
                <w:sz w:val="18"/>
                <w:szCs w:val="18"/>
                <w:color w:val="auto"/>
              </w:rPr>
            </w:pPr>
          </w:p>
        </w:tc>
      </w:tr>
      <w:tr>
        <w:trPr>
          <w:trHeight w:val="230"/>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Receivable from reinsurers</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3,275,247</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3,415,644</w:t>
            </w:r>
          </w:p>
        </w:tc>
      </w:tr>
      <w:tr>
        <w:trPr>
          <w:trHeight w:val="263"/>
        </w:trPr>
        <w:tc>
          <w:tcPr>
            <w:tcW w:w="4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Policyholder account balances, net of reinsurance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35,825,494</w:t>
            </w:r>
          </w:p>
        </w:tc>
        <w:tc>
          <w:tcPr>
            <w:tcW w:w="3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100,958,207</w:t>
            </w:r>
          </w:p>
        </w:tc>
        <w:tc>
          <w:tcPr>
            <w:tcW w:w="46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37,091,230</w:t>
            </w:r>
          </w:p>
        </w:tc>
        <w:tc>
          <w:tcPr>
            <w:tcW w:w="3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101,672,977</w:t>
            </w:r>
          </w:p>
        </w:tc>
        <w:tc>
          <w:tcPr>
            <w:tcW w:w="160" w:type="dxa"/>
            <w:vAlign w:val="bottom"/>
            <w:tcBorders>
              <w:bottom w:val="single" w:sz="8" w:color="CCEEFF"/>
            </w:tcBorders>
          </w:tcPr>
          <w:p>
            <w:pPr>
              <w:spacing w:after="0"/>
              <w:rPr>
                <w:sz w:val="22"/>
                <w:szCs w:val="22"/>
                <w:color w:val="auto"/>
              </w:rPr>
            </w:pPr>
          </w:p>
        </w:tc>
      </w:tr>
      <w:tr>
        <w:trPr>
          <w:trHeight w:val="197"/>
        </w:trPr>
        <w:tc>
          <w:tcPr>
            <w:tcW w:w="4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crediting rate</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3.04%</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amount at risk (2)</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132,136,625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138,917,721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r>
        <w:trPr>
          <w:trHeight w:val="23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Cash surrender value</w:t>
            </w:r>
          </w:p>
        </w:tc>
        <w:tc>
          <w:tcPr>
            <w:tcW w:w="140" w:type="dxa"/>
            <w:vAlign w:val="bottom"/>
          </w:tcPr>
          <w:p>
            <w:pPr>
              <w:spacing w:after="0"/>
              <w:rPr>
                <w:sz w:val="20"/>
                <w:szCs w:val="20"/>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35,825,494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103,752,177</w:t>
            </w:r>
          </w:p>
        </w:tc>
        <w:tc>
          <w:tcPr>
            <w:tcW w:w="140" w:type="dxa"/>
            <w:vAlign w:val="bottom"/>
          </w:tcPr>
          <w:p>
            <w:pPr>
              <w:spacing w:after="0"/>
              <w:rPr>
                <w:sz w:val="20"/>
                <w:szCs w:val="20"/>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37,091,230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104,734,535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86" w:lineRule="exact"/>
        <w:rPr>
          <w:sz w:val="20"/>
          <w:szCs w:val="20"/>
          <w:color w:val="auto"/>
        </w:rPr>
      </w:pPr>
    </w:p>
    <w:p>
      <w:pPr>
        <w:ind w:left="340" w:hanging="332"/>
        <w:spacing w:after="0" w:line="261" w:lineRule="auto"/>
        <w:tabs>
          <w:tab w:leader="none" w:pos="3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included in the policyholder account balances are generally charged a premium and/or monthly assessments on the basis of the account balance. Included in premiums and other considerations on the consolidated statements of earnings.</w:t>
      </w:r>
    </w:p>
    <w:p>
      <w:pPr>
        <w:ind w:left="340" w:hanging="332"/>
        <w:spacing w:after="0" w:line="260" w:lineRule="auto"/>
        <w:tabs>
          <w:tab w:leader="none" w:pos="3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those guarantees of benefits that are payable in the event of death, the net amount at risk is generally defined as the current guaranteed minimum death benefit in excess of the current account balance at the balance sheet date.</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7" w:lineRule="exact"/>
        <w:rPr>
          <w:sz w:val="20"/>
          <w:szCs w:val="20"/>
          <w:color w:val="auto"/>
        </w:rPr>
      </w:pPr>
    </w:p>
    <w:p>
      <w:pPr>
        <w:ind w:left="660" w:hanging="652"/>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Policyholder Account Balances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balances of and changes in Deferred Profit Liability for fixed annuities: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December 31,</w:t>
            </w:r>
          </w:p>
        </w:tc>
        <w:tc>
          <w:tcPr>
            <w:tcW w:w="10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223"/>
        </w:trPr>
        <w:tc>
          <w:tcPr>
            <w:tcW w:w="47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58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CCEEFF"/>
            </w:tcBorders>
          </w:tcPr>
          <w:p>
            <w:pPr>
              <w:spacing w:after="0"/>
              <w:rPr>
                <w:sz w:val="19"/>
                <w:szCs w:val="19"/>
                <w:color w:val="auto"/>
              </w:rPr>
            </w:pPr>
          </w:p>
        </w:tc>
        <w:tc>
          <w:tcPr>
            <w:tcW w:w="2260" w:type="dxa"/>
            <w:vAlign w:val="bottom"/>
          </w:tcPr>
          <w:p>
            <w:pPr>
              <w:spacing w:after="0"/>
              <w:rPr>
                <w:sz w:val="19"/>
                <w:szCs w:val="19"/>
                <w:color w:val="auto"/>
              </w:rPr>
            </w:pPr>
          </w:p>
        </w:tc>
      </w:tr>
      <w:tr>
        <w:trPr>
          <w:trHeight w:val="210"/>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year</w:t>
            </w: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jc w:val="center"/>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627,465</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738,351</w:t>
            </w:r>
          </w:p>
        </w:tc>
        <w:tc>
          <w:tcPr>
            <w:tcW w:w="80" w:type="dxa"/>
            <w:vAlign w:val="bottom"/>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29"/>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actual variances from expected experience</w:t>
            </w:r>
          </w:p>
        </w:tc>
        <w:tc>
          <w:tcPr>
            <w:tcW w:w="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spacing w:after="0"/>
              <w:rPr>
                <w:sz w:val="19"/>
                <w:szCs w:val="19"/>
                <w:color w:val="auto"/>
              </w:rPr>
            </w:pPr>
          </w:p>
        </w:tc>
      </w:tr>
      <w:tr>
        <w:trPr>
          <w:trHeight w:val="209"/>
        </w:trPr>
        <w:tc>
          <w:tcPr>
            <w:tcW w:w="4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balance, beginning of period</w:t>
            </w:r>
          </w:p>
        </w:tc>
        <w:tc>
          <w:tcPr>
            <w:tcW w:w="9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627,465</w:t>
            </w:r>
          </w:p>
        </w:tc>
        <w:tc>
          <w:tcPr>
            <w:tcW w:w="2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738,351</w:t>
            </w:r>
          </w:p>
        </w:tc>
        <w:tc>
          <w:tcPr>
            <w:tcW w:w="80" w:type="dxa"/>
            <w:vAlign w:val="bottom"/>
            <w:tcBorders>
              <w:top w:val="single" w:sz="8" w:color="CCEEFF"/>
            </w:tcBorders>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Profits deferred</w:t>
            </w:r>
          </w:p>
        </w:tc>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spacing w:after="0"/>
              <w:rPr>
                <w:sz w:val="18"/>
                <w:szCs w:val="18"/>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accrual</w:t>
            </w: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spacing w:after="0"/>
              <w:rPr>
                <w:sz w:val="18"/>
                <w:szCs w:val="18"/>
                <w:color w:val="auto"/>
              </w:rPr>
            </w:pPr>
          </w:p>
        </w:tc>
      </w:tr>
      <w:tr>
        <w:trPr>
          <w:trHeight w:val="216"/>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(80,663)</w:t>
            </w:r>
          </w:p>
        </w:tc>
        <w:tc>
          <w:tcPr>
            <w:tcW w:w="4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(110,886)</w:t>
            </w:r>
          </w:p>
        </w:tc>
        <w:tc>
          <w:tcPr>
            <w:tcW w:w="2260" w:type="dxa"/>
            <w:vAlign w:val="bottom"/>
          </w:tcPr>
          <w:p>
            <w:pPr>
              <w:spacing w:after="0"/>
              <w:rPr>
                <w:sz w:val="18"/>
                <w:szCs w:val="18"/>
                <w:color w:val="auto"/>
              </w:rPr>
            </w:pPr>
          </w:p>
        </w:tc>
      </w:tr>
      <w:tr>
        <w:trPr>
          <w:trHeight w:val="229"/>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adjustments</w:t>
            </w:r>
          </w:p>
        </w:tc>
        <w:tc>
          <w:tcPr>
            <w:tcW w:w="9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spacing w:after="0"/>
              <w:rPr>
                <w:sz w:val="19"/>
                <w:szCs w:val="19"/>
                <w:color w:val="auto"/>
              </w:rPr>
            </w:pPr>
          </w:p>
        </w:tc>
      </w:tr>
      <w:tr>
        <w:trPr>
          <w:trHeight w:val="21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9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546,802</w:t>
            </w:r>
          </w:p>
        </w:tc>
        <w:tc>
          <w:tcPr>
            <w:tcW w:w="2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627,465</w:t>
            </w:r>
          </w:p>
        </w:tc>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29"/>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Receivable from reinsurers</w:t>
            </w:r>
          </w:p>
        </w:tc>
        <w:tc>
          <w:tcPr>
            <w:tcW w:w="9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spacing w:after="0"/>
              <w:rPr>
                <w:sz w:val="19"/>
                <w:szCs w:val="19"/>
                <w:color w:val="auto"/>
              </w:rPr>
            </w:pPr>
          </w:p>
        </w:tc>
      </w:tr>
      <w:tr>
        <w:trPr>
          <w:trHeight w:val="22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Deferred profit liability, net of reinsurance</w:t>
            </w:r>
          </w:p>
        </w:tc>
        <w:tc>
          <w:tcPr>
            <w:tcW w:w="9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center"/>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546,802</w:t>
            </w:r>
          </w:p>
        </w:tc>
        <w:tc>
          <w:tcPr>
            <w:tcW w:w="26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627,465</w:t>
            </w: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413"/>
        </w:trPr>
        <w:tc>
          <w:tcPr>
            <w:tcW w:w="47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5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7" w:lineRule="exact"/>
        <w:rPr>
          <w:sz w:val="20"/>
          <w:szCs w:val="20"/>
          <w:color w:val="auto"/>
        </w:rPr>
      </w:pPr>
    </w:p>
    <w:p>
      <w:pPr>
        <w:ind w:left="660" w:hanging="652"/>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Policyholder Account Balances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balance of account values by range of guaranteed minimum crediting rates and the related range of difference, in basis points, between rates being credited to policyholders and the respective guaranteed minimums for the lines of business indicated are as follows:</w:t>
      </w:r>
    </w:p>
    <w:p>
      <w:pPr>
        <w:ind w:left="6180"/>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center"/>
              <w:ind w:right="240"/>
              <w:spacing w:after="0" w:line="191" w:lineRule="exact"/>
              <w:rPr>
                <w:sz w:val="20"/>
                <w:szCs w:val="20"/>
                <w:color w:val="auto"/>
              </w:rPr>
            </w:pPr>
            <w:r>
              <w:rPr>
                <w:rFonts w:ascii="Times New Roman" w:cs="Times New Roman" w:eastAsia="Times New Roman" w:hAnsi="Times New Roman"/>
                <w:sz w:val="18"/>
                <w:szCs w:val="18"/>
                <w:color w:val="auto"/>
                <w:w w:val="99"/>
              </w:rPr>
              <w:t>Greater</w:t>
            </w: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6"/>
        </w:trPr>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1-50 bps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51-150 bps</w:t>
            </w:r>
          </w:p>
        </w:tc>
        <w:tc>
          <w:tcPr>
            <w:tcW w:w="10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than 150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At</w:t>
            </w:r>
          </w:p>
        </w:tc>
        <w:tc>
          <w:tcPr>
            <w:tcW w:w="100" w:type="dxa"/>
            <w:vAlign w:val="bottom"/>
          </w:tcPr>
          <w:p>
            <w:pPr>
              <w:spacing w:after="0"/>
              <w:rPr>
                <w:sz w:val="18"/>
                <w:szCs w:val="18"/>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above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7"/>
              </w:rPr>
              <w:t>above</w:t>
            </w:r>
          </w:p>
        </w:tc>
        <w:tc>
          <w:tcPr>
            <w:tcW w:w="10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bps above</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guaranteed</w:t>
            </w:r>
          </w:p>
        </w:tc>
        <w:tc>
          <w:tcPr>
            <w:tcW w:w="10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8"/>
              </w:rPr>
              <w:t>guaranteed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guaranteed</w:t>
            </w:r>
          </w:p>
        </w:tc>
        <w:tc>
          <w:tcPr>
            <w:tcW w:w="10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guaranteed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3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Range of Guaranteed Minimum Crediting Rate</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minimum</w:t>
            </w:r>
          </w:p>
        </w:tc>
        <w:tc>
          <w:tcPr>
            <w:tcW w:w="100" w:type="dxa"/>
            <w:vAlign w:val="bottom"/>
          </w:tcPr>
          <w:p>
            <w:pPr>
              <w:spacing w:after="0"/>
              <w:rPr>
                <w:sz w:val="20"/>
                <w:szCs w:val="20"/>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minimum</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minimum</w:t>
            </w:r>
          </w:p>
        </w:tc>
        <w:tc>
          <w:tcPr>
            <w:tcW w:w="100" w:type="dxa"/>
            <w:vAlign w:val="bottom"/>
          </w:tcPr>
          <w:p>
            <w:pPr>
              <w:spacing w:after="0"/>
              <w:rPr>
                <w:sz w:val="20"/>
                <w:szCs w:val="20"/>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minimum</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Pr>
          <w:p>
            <w:pPr>
              <w:spacing w:after="0"/>
              <w:rPr>
                <w:sz w:val="20"/>
                <w:szCs w:val="20"/>
                <w:color w:val="auto"/>
              </w:rPr>
            </w:pPr>
          </w:p>
        </w:tc>
      </w:tr>
      <w:tr>
        <w:trPr>
          <w:trHeight w:val="203"/>
        </w:trPr>
        <w:tc>
          <w:tcPr>
            <w:tcW w:w="1060" w:type="dxa"/>
            <w:vAlign w:val="bottom"/>
            <w:tcBorders>
              <w:top w:val="single" w:sz="8" w:color="auto"/>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9"/>
              </w:rPr>
              <w:t>Universal Life</w:t>
            </w:r>
          </w:p>
        </w:tc>
        <w:tc>
          <w:tcPr>
            <w:tcW w:w="2480" w:type="dxa"/>
            <w:vAlign w:val="bottom"/>
            <w:tcBorders>
              <w:top w:val="single" w:sz="8" w:color="auto"/>
              <w:bottom w:val="single" w:sz="8" w:color="CCEEFF"/>
            </w:tcBorders>
            <w:gridSpan w:val="2"/>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CCEEFF"/>
            </w:tcBorders>
            <w:shd w:val="clear" w:color="auto" w:fill="CCEEFF"/>
          </w:tcPr>
          <w:p>
            <w:pPr>
              <w:spacing w:after="0"/>
              <w:rPr>
                <w:sz w:val="17"/>
                <w:szCs w:val="17"/>
                <w:color w:val="auto"/>
              </w:rPr>
            </w:pP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CCEEFF"/>
            </w:tcBorders>
            <w:shd w:val="clear" w:color="auto" w:fill="CCEEFF"/>
          </w:tcPr>
          <w:p>
            <w:pPr>
              <w:spacing w:after="0"/>
              <w:rPr>
                <w:sz w:val="17"/>
                <w:szCs w:val="17"/>
                <w:color w:val="auto"/>
              </w:rPr>
            </w:pP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3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Less than 1.00%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r>
      <w:tr>
        <w:trPr>
          <w:trHeight w:val="216"/>
        </w:trPr>
        <w:tc>
          <w:tcPr>
            <w:tcW w:w="35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1.00% - 1.99%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r>
      <w:tr>
        <w:trPr>
          <w:trHeight w:val="216"/>
        </w:trPr>
        <w:tc>
          <w:tcPr>
            <w:tcW w:w="3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2.00% - 2.99%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r>
      <w:tr>
        <w:trPr>
          <w:trHeight w:val="216"/>
        </w:trPr>
        <w:tc>
          <w:tcPr>
            <w:tcW w:w="35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3.00% - 4.00%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25,201,294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1,539,544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26,740,838</w:t>
            </w:r>
          </w:p>
        </w:tc>
        <w:tc>
          <w:tcPr>
            <w:tcW w:w="1140" w:type="dxa"/>
            <w:vAlign w:val="bottom"/>
          </w:tcPr>
          <w:p>
            <w:pPr>
              <w:spacing w:after="0"/>
              <w:rPr>
                <w:sz w:val="18"/>
                <w:szCs w:val="18"/>
                <w:color w:val="auto"/>
              </w:rPr>
            </w:pPr>
          </w:p>
        </w:tc>
      </w:tr>
      <w:tr>
        <w:trPr>
          <w:trHeight w:val="229"/>
        </w:trPr>
        <w:tc>
          <w:tcPr>
            <w:tcW w:w="3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Greater than 4.00%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4,413,796</w:t>
            </w:r>
          </w:p>
        </w:tc>
        <w:tc>
          <w:tcPr>
            <w:tcW w:w="10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4,670,860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9,084,656</w:t>
            </w:r>
          </w:p>
        </w:tc>
        <w:tc>
          <w:tcPr>
            <w:tcW w:w="1140" w:type="dxa"/>
            <w:vAlign w:val="bottom"/>
          </w:tcPr>
          <w:p>
            <w:pPr>
              <w:spacing w:after="0"/>
              <w:rPr>
                <w:sz w:val="19"/>
                <w:szCs w:val="19"/>
                <w:color w:val="auto"/>
              </w:rPr>
            </w:pPr>
          </w:p>
        </w:tc>
      </w:tr>
      <w:tr>
        <w:trPr>
          <w:trHeight w:val="223"/>
        </w:trPr>
        <w:tc>
          <w:tcPr>
            <w:tcW w:w="3540" w:type="dxa"/>
            <w:vAlign w:val="bottom"/>
            <w:tcBorders>
              <w:top w:val="single" w:sz="8" w:color="CCEEFF"/>
              <w:bottom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29,615,090</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4,670,860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1,539,544</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35,825,494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7"/>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75"/>
        </w:trPr>
        <w:tc>
          <w:tcPr>
            <w:tcW w:w="35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Fixed Annuities</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tcPr>
          <w:p>
            <w:pPr>
              <w:spacing w:after="0"/>
              <w:rPr>
                <w:sz w:val="15"/>
                <w:szCs w:val="15"/>
                <w:color w:val="auto"/>
              </w:rPr>
            </w:pPr>
          </w:p>
        </w:tc>
      </w:tr>
      <w:tr>
        <w:trPr>
          <w:trHeight w:val="21"/>
        </w:trPr>
        <w:tc>
          <w:tcPr>
            <w:tcW w:w="106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6"/>
        </w:trPr>
        <w:tc>
          <w:tcPr>
            <w:tcW w:w="3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Less than 1.00%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r>
      <w:tr>
        <w:trPr>
          <w:trHeight w:val="216"/>
        </w:trPr>
        <w:tc>
          <w:tcPr>
            <w:tcW w:w="35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1.00% - 1.99%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11,015,277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10,211,390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21,226,667</w:t>
            </w:r>
          </w:p>
        </w:tc>
        <w:tc>
          <w:tcPr>
            <w:tcW w:w="1140" w:type="dxa"/>
            <w:vAlign w:val="bottom"/>
          </w:tcPr>
          <w:p>
            <w:pPr>
              <w:spacing w:after="0"/>
              <w:rPr>
                <w:sz w:val="18"/>
                <w:szCs w:val="18"/>
                <w:color w:val="auto"/>
              </w:rPr>
            </w:pPr>
          </w:p>
        </w:tc>
      </w:tr>
      <w:tr>
        <w:trPr>
          <w:trHeight w:val="216"/>
        </w:trPr>
        <w:tc>
          <w:tcPr>
            <w:tcW w:w="3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2.00% - 2.99%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4,658,151</w:t>
            </w: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331,769</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4,892,688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9,882,608</w:t>
            </w:r>
          </w:p>
        </w:tc>
        <w:tc>
          <w:tcPr>
            <w:tcW w:w="1140" w:type="dxa"/>
            <w:vAlign w:val="bottom"/>
          </w:tcPr>
          <w:p>
            <w:pPr>
              <w:spacing w:after="0"/>
              <w:rPr>
                <w:sz w:val="18"/>
                <w:szCs w:val="18"/>
                <w:color w:val="auto"/>
              </w:rPr>
            </w:pPr>
          </w:p>
        </w:tc>
      </w:tr>
      <w:tr>
        <w:trPr>
          <w:trHeight w:val="216"/>
        </w:trPr>
        <w:tc>
          <w:tcPr>
            <w:tcW w:w="35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3.00% - 4.00%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34,527,466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10,424,384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39,271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431,296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45,422,417</w:t>
            </w:r>
          </w:p>
        </w:tc>
        <w:tc>
          <w:tcPr>
            <w:tcW w:w="1140" w:type="dxa"/>
            <w:vAlign w:val="bottom"/>
          </w:tcPr>
          <w:p>
            <w:pPr>
              <w:spacing w:after="0"/>
              <w:rPr>
                <w:sz w:val="18"/>
                <w:szCs w:val="18"/>
                <w:color w:val="auto"/>
              </w:rPr>
            </w:pPr>
          </w:p>
        </w:tc>
      </w:tr>
      <w:tr>
        <w:trPr>
          <w:trHeight w:val="230"/>
        </w:trPr>
        <w:tc>
          <w:tcPr>
            <w:tcW w:w="3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Greater than 4.00%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27,356,830</w:t>
            </w:r>
          </w:p>
        </w:tc>
        <w:tc>
          <w:tcPr>
            <w:tcW w:w="10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344,932</w:t>
            </w: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27,701,762</w:t>
            </w:r>
          </w:p>
        </w:tc>
        <w:tc>
          <w:tcPr>
            <w:tcW w:w="1140" w:type="dxa"/>
            <w:vAlign w:val="bottom"/>
          </w:tcPr>
          <w:p>
            <w:pPr>
              <w:spacing w:after="0"/>
              <w:rPr>
                <w:sz w:val="19"/>
                <w:szCs w:val="19"/>
                <w:color w:val="auto"/>
              </w:rPr>
            </w:pPr>
          </w:p>
        </w:tc>
      </w:tr>
      <w:tr>
        <w:trPr>
          <w:trHeight w:val="223"/>
        </w:trPr>
        <w:tc>
          <w:tcPr>
            <w:tcW w:w="3540" w:type="dxa"/>
            <w:vAlign w:val="bottom"/>
            <w:tcBorders>
              <w:top w:val="single" w:sz="8" w:color="CCEEFF"/>
              <w:bottom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77,557,724</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20,635,774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715,972</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5,323,984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104,233,454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26"/>
        </w:trPr>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December 31, 2024</w:t>
            </w: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1"/>
        </w:trPr>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240"/>
              <w:spacing w:after="0" w:line="191" w:lineRule="exact"/>
              <w:rPr>
                <w:sz w:val="20"/>
                <w:szCs w:val="20"/>
                <w:color w:val="auto"/>
              </w:rPr>
            </w:pPr>
            <w:r>
              <w:rPr>
                <w:rFonts w:ascii="Times New Roman" w:cs="Times New Roman" w:eastAsia="Times New Roman" w:hAnsi="Times New Roman"/>
                <w:sz w:val="18"/>
                <w:szCs w:val="18"/>
                <w:color w:val="auto"/>
                <w:w w:val="99"/>
              </w:rPr>
              <w:t>Greater</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6"/>
        </w:trPr>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1-50 bps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51-150 bps</w:t>
            </w:r>
          </w:p>
        </w:tc>
        <w:tc>
          <w:tcPr>
            <w:tcW w:w="10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than 150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At</w:t>
            </w:r>
          </w:p>
        </w:tc>
        <w:tc>
          <w:tcPr>
            <w:tcW w:w="100" w:type="dxa"/>
            <w:vAlign w:val="bottom"/>
          </w:tcPr>
          <w:p>
            <w:pPr>
              <w:spacing w:after="0"/>
              <w:rPr>
                <w:sz w:val="18"/>
                <w:szCs w:val="18"/>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above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7"/>
              </w:rPr>
              <w:t>above</w:t>
            </w:r>
          </w:p>
        </w:tc>
        <w:tc>
          <w:tcPr>
            <w:tcW w:w="10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bps above</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guaranteed</w:t>
            </w:r>
          </w:p>
        </w:tc>
        <w:tc>
          <w:tcPr>
            <w:tcW w:w="10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8"/>
              </w:rPr>
              <w:t>guaranteed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guaranteed</w:t>
            </w:r>
          </w:p>
        </w:tc>
        <w:tc>
          <w:tcPr>
            <w:tcW w:w="10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guaranteed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3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Range of Guaranteed Minimum Crediting Rate</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minimum</w:t>
            </w:r>
          </w:p>
        </w:tc>
        <w:tc>
          <w:tcPr>
            <w:tcW w:w="100" w:type="dxa"/>
            <w:vAlign w:val="bottom"/>
          </w:tcPr>
          <w:p>
            <w:pPr>
              <w:spacing w:after="0"/>
              <w:rPr>
                <w:sz w:val="20"/>
                <w:szCs w:val="20"/>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minimum</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minimum</w:t>
            </w:r>
          </w:p>
        </w:tc>
        <w:tc>
          <w:tcPr>
            <w:tcW w:w="100" w:type="dxa"/>
            <w:vAlign w:val="bottom"/>
          </w:tcPr>
          <w:p>
            <w:pPr>
              <w:spacing w:after="0"/>
              <w:rPr>
                <w:sz w:val="20"/>
                <w:szCs w:val="20"/>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minimum</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Pr>
          <w:p>
            <w:pPr>
              <w:spacing w:after="0"/>
              <w:rPr>
                <w:sz w:val="20"/>
                <w:szCs w:val="20"/>
                <w:color w:val="auto"/>
              </w:rPr>
            </w:pPr>
          </w:p>
        </w:tc>
      </w:tr>
      <w:tr>
        <w:trPr>
          <w:trHeight w:val="190"/>
        </w:trPr>
        <w:tc>
          <w:tcPr>
            <w:tcW w:w="1060" w:type="dxa"/>
            <w:vAlign w:val="bottom"/>
            <w:tcBorders>
              <w:top w:val="single" w:sz="8" w:color="auto"/>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9"/>
              </w:rPr>
              <w:t>Universal Life</w:t>
            </w:r>
          </w:p>
        </w:tc>
        <w:tc>
          <w:tcPr>
            <w:tcW w:w="2480" w:type="dxa"/>
            <w:vAlign w:val="bottom"/>
            <w:tcBorders>
              <w:top w:val="single" w:sz="8" w:color="auto"/>
              <w:bottom w:val="single" w:sz="8" w:color="CCEEFF"/>
            </w:tcBorders>
            <w:gridSpan w:val="2"/>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CCEEFF"/>
            </w:tcBorders>
            <w:shd w:val="clear" w:color="auto" w:fill="CCEEFF"/>
          </w:tcPr>
          <w:p>
            <w:pPr>
              <w:spacing w:after="0"/>
              <w:rPr>
                <w:sz w:val="16"/>
                <w:szCs w:val="16"/>
                <w:color w:val="auto"/>
              </w:rPr>
            </w:pPr>
          </w:p>
        </w:tc>
        <w:tc>
          <w:tcPr>
            <w:tcW w:w="3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CCEEFF"/>
            </w:tcBorders>
            <w:shd w:val="clear" w:color="auto" w:fill="CCEEFF"/>
          </w:tcPr>
          <w:p>
            <w:pPr>
              <w:spacing w:after="0"/>
              <w:rPr>
                <w:sz w:val="16"/>
                <w:szCs w:val="16"/>
                <w:color w:val="auto"/>
              </w:rPr>
            </w:pPr>
          </w:p>
        </w:tc>
        <w:tc>
          <w:tcPr>
            <w:tcW w:w="2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Pr>
          <w:p>
            <w:pPr>
              <w:spacing w:after="0"/>
              <w:rPr>
                <w:sz w:val="16"/>
                <w:szCs w:val="16"/>
                <w:color w:val="auto"/>
              </w:rPr>
            </w:pPr>
          </w:p>
        </w:tc>
      </w:tr>
      <w:tr>
        <w:trPr>
          <w:trHeight w:val="216"/>
        </w:trPr>
        <w:tc>
          <w:tcPr>
            <w:tcW w:w="3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Less than 1.00%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r>
      <w:tr>
        <w:trPr>
          <w:trHeight w:val="216"/>
        </w:trPr>
        <w:tc>
          <w:tcPr>
            <w:tcW w:w="35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1.00% - 1.99%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r>
      <w:tr>
        <w:trPr>
          <w:trHeight w:val="216"/>
        </w:trPr>
        <w:tc>
          <w:tcPr>
            <w:tcW w:w="3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2.00% - 2.99%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r>
      <w:tr>
        <w:trPr>
          <w:trHeight w:val="216"/>
        </w:trPr>
        <w:tc>
          <w:tcPr>
            <w:tcW w:w="35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3.00% - 4.00%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26,046,613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1,534,331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27,580,944</w:t>
            </w:r>
          </w:p>
        </w:tc>
        <w:tc>
          <w:tcPr>
            <w:tcW w:w="1140" w:type="dxa"/>
            <w:vAlign w:val="bottom"/>
          </w:tcPr>
          <w:p>
            <w:pPr>
              <w:spacing w:after="0"/>
              <w:rPr>
                <w:sz w:val="18"/>
                <w:szCs w:val="18"/>
                <w:color w:val="auto"/>
              </w:rPr>
            </w:pPr>
          </w:p>
        </w:tc>
      </w:tr>
      <w:tr>
        <w:trPr>
          <w:trHeight w:val="230"/>
        </w:trPr>
        <w:tc>
          <w:tcPr>
            <w:tcW w:w="3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Greater than 4.00%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4,734,233</w:t>
            </w:r>
          </w:p>
        </w:tc>
        <w:tc>
          <w:tcPr>
            <w:tcW w:w="10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4,776,053</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9,510,286</w:t>
            </w:r>
          </w:p>
        </w:tc>
        <w:tc>
          <w:tcPr>
            <w:tcW w:w="1140" w:type="dxa"/>
            <w:vAlign w:val="bottom"/>
          </w:tcPr>
          <w:p>
            <w:pPr>
              <w:spacing w:after="0"/>
              <w:rPr>
                <w:sz w:val="19"/>
                <w:szCs w:val="19"/>
                <w:color w:val="auto"/>
              </w:rPr>
            </w:pPr>
          </w:p>
        </w:tc>
      </w:tr>
      <w:tr>
        <w:trPr>
          <w:trHeight w:val="223"/>
        </w:trPr>
        <w:tc>
          <w:tcPr>
            <w:tcW w:w="3540" w:type="dxa"/>
            <w:vAlign w:val="bottom"/>
            <w:tcBorders>
              <w:top w:val="single" w:sz="8" w:color="CCEEFF"/>
              <w:bottom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30,780,846</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4,776,053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1,534,331</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37,091,230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7"/>
        </w:trPr>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75"/>
        </w:trPr>
        <w:tc>
          <w:tcPr>
            <w:tcW w:w="35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Fixed Annuities</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tcPr>
          <w:p>
            <w:pPr>
              <w:spacing w:after="0"/>
              <w:rPr>
                <w:sz w:val="15"/>
                <w:szCs w:val="15"/>
                <w:color w:val="auto"/>
              </w:rPr>
            </w:pPr>
          </w:p>
        </w:tc>
      </w:tr>
      <w:tr>
        <w:trPr>
          <w:trHeight w:val="20"/>
        </w:trPr>
        <w:tc>
          <w:tcPr>
            <w:tcW w:w="106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6"/>
        </w:trPr>
        <w:tc>
          <w:tcPr>
            <w:tcW w:w="3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Less than 1.00%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r>
      <w:tr>
        <w:trPr>
          <w:trHeight w:val="216"/>
        </w:trPr>
        <w:tc>
          <w:tcPr>
            <w:tcW w:w="35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1.00% - 1.99%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12,054,288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11,769,363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23,823,651</w:t>
            </w:r>
          </w:p>
        </w:tc>
        <w:tc>
          <w:tcPr>
            <w:tcW w:w="1140" w:type="dxa"/>
            <w:vAlign w:val="bottom"/>
          </w:tcPr>
          <w:p>
            <w:pPr>
              <w:spacing w:after="0"/>
              <w:rPr>
                <w:sz w:val="18"/>
                <w:szCs w:val="18"/>
                <w:color w:val="auto"/>
              </w:rPr>
            </w:pPr>
          </w:p>
        </w:tc>
      </w:tr>
      <w:tr>
        <w:trPr>
          <w:trHeight w:val="216"/>
        </w:trPr>
        <w:tc>
          <w:tcPr>
            <w:tcW w:w="3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2.00% - 2.99%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4,971,936</w:t>
            </w: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333,150</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5,103,114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10,408,200</w:t>
            </w:r>
          </w:p>
        </w:tc>
        <w:tc>
          <w:tcPr>
            <w:tcW w:w="1140" w:type="dxa"/>
            <w:vAlign w:val="bottom"/>
          </w:tcPr>
          <w:p>
            <w:pPr>
              <w:spacing w:after="0"/>
              <w:rPr>
                <w:sz w:val="18"/>
                <w:szCs w:val="18"/>
                <w:color w:val="auto"/>
              </w:rPr>
            </w:pPr>
          </w:p>
        </w:tc>
      </w:tr>
      <w:tr>
        <w:trPr>
          <w:trHeight w:val="216"/>
        </w:trPr>
        <w:tc>
          <w:tcPr>
            <w:tcW w:w="35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3.00% - 4.00%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30,725,910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10,535,194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35,597</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437,677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41,734,378</w:t>
            </w:r>
          </w:p>
        </w:tc>
        <w:tc>
          <w:tcPr>
            <w:tcW w:w="1140" w:type="dxa"/>
            <w:vAlign w:val="bottom"/>
          </w:tcPr>
          <w:p>
            <w:pPr>
              <w:spacing w:after="0"/>
              <w:rPr>
                <w:sz w:val="18"/>
                <w:szCs w:val="18"/>
                <w:color w:val="auto"/>
              </w:rPr>
            </w:pPr>
          </w:p>
        </w:tc>
      </w:tr>
      <w:tr>
        <w:trPr>
          <w:trHeight w:val="229"/>
        </w:trPr>
        <w:tc>
          <w:tcPr>
            <w:tcW w:w="3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Greater than 4.00%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28,768,112</w:t>
            </w:r>
          </w:p>
        </w:tc>
        <w:tc>
          <w:tcPr>
            <w:tcW w:w="10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354,280</w:t>
            </w: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29,122,392</w:t>
            </w:r>
          </w:p>
        </w:tc>
        <w:tc>
          <w:tcPr>
            <w:tcW w:w="1140" w:type="dxa"/>
            <w:vAlign w:val="bottom"/>
          </w:tcPr>
          <w:p>
            <w:pPr>
              <w:spacing w:after="0"/>
              <w:rPr>
                <w:sz w:val="19"/>
                <w:szCs w:val="19"/>
                <w:color w:val="auto"/>
              </w:rPr>
            </w:pPr>
          </w:p>
        </w:tc>
      </w:tr>
      <w:tr>
        <w:trPr>
          <w:trHeight w:val="223"/>
        </w:trPr>
        <w:tc>
          <w:tcPr>
            <w:tcW w:w="3540" w:type="dxa"/>
            <w:vAlign w:val="bottom"/>
            <w:tcBorders>
              <w:top w:val="single" w:sz="8" w:color="CCEEFF"/>
              <w:bottom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76,520,246</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22,304,557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723,027</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5,540,791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105,088,621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7" w:lineRule="exact"/>
        <w:rPr>
          <w:sz w:val="20"/>
          <w:szCs w:val="20"/>
          <w:color w:val="auto"/>
        </w:rPr>
      </w:pPr>
    </w:p>
    <w:p>
      <w:pPr>
        <w:ind w:left="660" w:hanging="652"/>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Reinsurance</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followed the procedure of reinsuring risks of more than a specified limit, which ranged from $25,000 to $100,000 on newly issued policies. Currently, the Company does not reinsure risks on newly issued policies. The Company has also assumed various reinsurance agreements through acquisition of various life companies and has assets held in trust related to certain agreements. The Company is ultimately liable for these reinsured amounts in the event such reinsurers are unable to pay their portion of the claims. The Company evaluates the financial condition of reinsurers and monitors the concentration of credit risk. The Company had a significant concentration of credit risk with a single reinsurer of 94.6% and 94.4% of ceded life insurance in force as of December 31, 2025 and 2024, respectively. This represented approximately 7.6% and 7.8% of the Company’s total life insurance in force as of December 31, 2025 and 2024,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life insurance in force and premiums for reinsurance are summarized as follows:</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 Insurance in force ($000)</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Percentage</w:t>
            </w:r>
          </w:p>
        </w:tc>
      </w:tr>
      <w:tr>
        <w:trPr>
          <w:trHeight w:val="216"/>
        </w:trPr>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Ceded to</w:t>
            </w:r>
          </w:p>
        </w:tc>
        <w:tc>
          <w:tcPr>
            <w:tcW w:w="120" w:type="dxa"/>
            <w:vAlign w:val="bottom"/>
          </w:tcPr>
          <w:p>
            <w:pPr>
              <w:spacing w:after="0"/>
              <w:rPr>
                <w:sz w:val="18"/>
                <w:szCs w:val="18"/>
                <w:color w:val="auto"/>
              </w:rPr>
            </w:pP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Assumed</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of Amount</w:t>
            </w:r>
          </w:p>
        </w:tc>
      </w:tr>
      <w:tr>
        <w:trPr>
          <w:trHeight w:val="229"/>
        </w:trPr>
        <w:tc>
          <w:tcPr>
            <w:tcW w:w="180" w:type="dxa"/>
            <w:vAlign w:val="bottom"/>
          </w:tcPr>
          <w:p>
            <w:pPr>
              <w:spacing w:after="0"/>
              <w:rPr>
                <w:sz w:val="19"/>
                <w:szCs w:val="19"/>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Direct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7"/>
              </w:rPr>
              <w:t>Other</w:t>
            </w:r>
          </w:p>
        </w:tc>
        <w:tc>
          <w:tcPr>
            <w:tcW w:w="120" w:type="dxa"/>
            <w:vAlign w:val="bottom"/>
          </w:tcPr>
          <w:p>
            <w:pPr>
              <w:spacing w:after="0"/>
              <w:rPr>
                <w:sz w:val="19"/>
                <w:szCs w:val="19"/>
                <w:color w:val="auto"/>
              </w:rPr>
            </w:pP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from Other</w:t>
            </w:r>
          </w:p>
        </w:tc>
        <w:tc>
          <w:tcPr>
            <w:tcW w:w="180" w:type="dxa"/>
            <w:vAlign w:val="bottom"/>
          </w:tcPr>
          <w:p>
            <w:pPr>
              <w:spacing w:after="0"/>
              <w:rPr>
                <w:sz w:val="19"/>
                <w:szCs w:val="19"/>
                <w:color w:val="auto"/>
              </w:rPr>
            </w:pPr>
          </w:p>
        </w:tc>
        <w:tc>
          <w:tcPr>
            <w:tcW w:w="126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9"/>
              </w:rPr>
              <w:t>Net</w:t>
            </w:r>
          </w:p>
        </w:tc>
        <w:tc>
          <w:tcPr>
            <w:tcW w:w="12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Assumed</w:t>
            </w:r>
          </w:p>
        </w:tc>
      </w:tr>
      <w:tr>
        <w:trPr>
          <w:trHeight w:val="234"/>
        </w:trPr>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8"/>
              </w:rPr>
              <w:t>Amount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8"/>
              </w:rPr>
              <w:t>Companies</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8"/>
              </w:rPr>
              <w:t>Companies</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8"/>
              </w:rPr>
              <w:t>Amount</w:t>
            </w:r>
          </w:p>
        </w:tc>
        <w:tc>
          <w:tcPr>
            <w:tcW w:w="34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to Net</w:t>
            </w:r>
          </w:p>
        </w:tc>
        <w:tc>
          <w:tcPr>
            <w:tcW w:w="140" w:type="dxa"/>
            <w:vAlign w:val="bottom"/>
            <w:gridSpan w:val="2"/>
          </w:tcPr>
          <w:p>
            <w:pPr>
              <w:spacing w:after="0"/>
              <w:rPr>
                <w:sz w:val="20"/>
                <w:szCs w:val="20"/>
                <w:color w:val="auto"/>
              </w:rPr>
            </w:pPr>
          </w:p>
        </w:tc>
      </w:tr>
      <w:tr>
        <w:trPr>
          <w:trHeight w:val="453"/>
        </w:trPr>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3,902,015</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316,251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31,240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3,617,004</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0"/>
        </w:trPr>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-2648585</wp:posOffset>
            </wp:positionH>
            <wp:positionV relativeFrom="paragraph">
              <wp:posOffset>-325120</wp:posOffset>
            </wp:positionV>
            <wp:extent cx="7132320" cy="1454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460" w:space="720"/>
            <w:col w:w="7060"/>
          </w:cols>
          <w:pgMar w:left="320" w:top="688"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360" w:type="dxa"/>
            <w:vAlign w:val="bottom"/>
            <w:shd w:val="clear" w:color="auto" w:fill="CCEEFF"/>
          </w:tcPr>
          <w:p>
            <w:pPr>
              <w:spacing w:after="0"/>
              <w:rPr>
                <w:sz w:val="17"/>
                <w:szCs w:val="17"/>
                <w:color w:val="auto"/>
              </w:rPr>
            </w:pPr>
          </w:p>
        </w:tc>
        <w:tc>
          <w:tcPr>
            <w:tcW w:w="29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Premiums: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Life Insurance</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121,324,575</w:t>
            </w:r>
          </w:p>
        </w:tc>
        <w:tc>
          <w:tcPr>
            <w:tcW w:w="5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1,959,362</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220,502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119,585,715</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3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Accident and Health Insurance</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171,380</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9"/>
                <w:szCs w:val="19"/>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171,388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23"/>
        </w:trPr>
        <w:tc>
          <w:tcPr>
            <w:tcW w:w="3300" w:type="dxa"/>
            <w:vAlign w:val="bottom"/>
            <w:tcBorders>
              <w:top w:val="single" w:sz="8" w:color="CCEEFF"/>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premiums</w:t>
            </w:r>
          </w:p>
        </w:tc>
        <w:tc>
          <w:tcPr>
            <w:tcW w:w="8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121,495,955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1,959,362</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220,510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119,757,103</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3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1"/>
        </w:trPr>
        <w:tc>
          <w:tcPr>
            <w:tcW w:w="36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4"/>
              </w:rPr>
              <w:t>2024</w:t>
            </w:r>
          </w:p>
        </w:tc>
        <w:tc>
          <w:tcPr>
            <w:tcW w:w="29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r>
      <w:tr>
        <w:trPr>
          <w:trHeight w:val="283"/>
        </w:trPr>
        <w:tc>
          <w:tcPr>
            <w:tcW w:w="33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Life Insurance in force ($000)</w:t>
            </w:r>
          </w:p>
        </w:tc>
        <w:tc>
          <w:tcPr>
            <w:tcW w:w="10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3,914,583</w:t>
            </w:r>
          </w:p>
        </w:tc>
        <w:tc>
          <w:tcPr>
            <w:tcW w:w="520" w:type="dxa"/>
            <w:vAlign w:val="bottom"/>
            <w:tcBorders>
              <w:top w:val="single" w:sz="8" w:color="CCEEFF"/>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CCEEFF"/>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325,189</w:t>
            </w:r>
          </w:p>
        </w:tc>
        <w:tc>
          <w:tcPr>
            <w:tcW w:w="320" w:type="dxa"/>
            <w:vAlign w:val="bottom"/>
            <w:tcBorders>
              <w:top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CCEEFF"/>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33,088</w:t>
            </w: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CCEEFF"/>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3,622,482</w:t>
            </w:r>
          </w:p>
        </w:tc>
        <w:tc>
          <w:tcPr>
            <w:tcW w:w="126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196"/>
        </w:trPr>
        <w:tc>
          <w:tcPr>
            <w:tcW w:w="360" w:type="dxa"/>
            <w:vAlign w:val="bottom"/>
            <w:tcBorders>
              <w:top w:val="single" w:sz="8" w:color="CCEEFF"/>
            </w:tcBorders>
            <w:shd w:val="clear" w:color="auto" w:fill="CCEEFF"/>
          </w:tcPr>
          <w:p>
            <w:pPr>
              <w:spacing w:after="0"/>
              <w:rPr>
                <w:sz w:val="17"/>
                <w:szCs w:val="17"/>
                <w:color w:val="auto"/>
              </w:rPr>
            </w:pPr>
          </w:p>
        </w:tc>
        <w:tc>
          <w:tcPr>
            <w:tcW w:w="29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16"/>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Premiums: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Life Insurance</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121,392,765</w:t>
            </w:r>
          </w:p>
        </w:tc>
        <w:tc>
          <w:tcPr>
            <w:tcW w:w="5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2,142,678</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217,701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119,467,788</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3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Accident and Health Insurance</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187,949</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9"/>
                <w:szCs w:val="19"/>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187,957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23"/>
        </w:trPr>
        <w:tc>
          <w:tcPr>
            <w:tcW w:w="3300" w:type="dxa"/>
            <w:vAlign w:val="bottom"/>
            <w:tcBorders>
              <w:top w:val="single" w:sz="8" w:color="CCEEFF"/>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premiums</w:t>
            </w:r>
          </w:p>
        </w:tc>
        <w:tc>
          <w:tcPr>
            <w:tcW w:w="8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121,580,714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2,142,678</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217,709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119,655,745</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3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3"/>
        </w:trPr>
        <w:tc>
          <w:tcPr>
            <w:tcW w:w="3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102</w:t>
            </w:r>
          </w:p>
        </w:tc>
        <w:tc>
          <w:tcPr>
            <w:tcW w:w="8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type w:val="continuous"/>
        </w:sectPr>
      </w:pPr>
    </w:p>
    <w:bookmarkStart w:id="106" w:name="page107"/>
    <w:bookmarkEnd w:id="106"/>
    <w:p>
      <w:pPr>
        <w:jc w:val="center"/>
        <w:ind w:right="-1100"/>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2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Bank and Other Loans Payable</w:t>
            </w:r>
          </w:p>
        </w:tc>
        <w:tc>
          <w:tcPr>
            <w:tcW w:w="3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53"/>
        </w:trPr>
        <w:tc>
          <w:tcPr>
            <w:tcW w:w="6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Bank and other loans payable are summarized as follows:</w:t>
            </w: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46"/>
        </w:trPr>
        <w:tc>
          <w:tcPr>
            <w:tcW w:w="6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tcPr>
          <w:p>
            <w:pPr>
              <w:jc w:val="right"/>
              <w:ind w:right="124"/>
              <w:spacing w:after="0"/>
              <w:rPr>
                <w:sz w:val="20"/>
                <w:szCs w:val="20"/>
                <w:color w:val="auto"/>
              </w:rPr>
            </w:pPr>
            <w:r>
              <w:rPr>
                <w:rFonts w:ascii="Times New Roman" w:cs="Times New Roman" w:eastAsia="Times New Roman" w:hAnsi="Times New Roman"/>
                <w:sz w:val="18"/>
                <w:szCs w:val="18"/>
                <w:color w:val="auto"/>
              </w:rPr>
              <w:t>December 31,</w:t>
            </w:r>
          </w:p>
        </w:tc>
        <w:tc>
          <w:tcPr>
            <w:tcW w:w="12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3"/>
        </w:trPr>
        <w:tc>
          <w:tcPr>
            <w:tcW w:w="660" w:type="dxa"/>
            <w:vAlign w:val="bottom"/>
            <w:tcBorders>
              <w:bottom w:val="single" w:sz="8" w:color="CCEEFF"/>
            </w:tcBorders>
          </w:tcPr>
          <w:p>
            <w:pPr>
              <w:spacing w:after="0"/>
              <w:rPr>
                <w:sz w:val="19"/>
                <w:szCs w:val="19"/>
                <w:color w:val="auto"/>
              </w:rPr>
            </w:pPr>
          </w:p>
        </w:tc>
        <w:tc>
          <w:tcPr>
            <w:tcW w:w="2240" w:type="dxa"/>
            <w:vAlign w:val="bottom"/>
            <w:tcBorders>
              <w:bottom w:val="single" w:sz="8" w:color="CCEEFF"/>
            </w:tcBorders>
          </w:tcPr>
          <w:p>
            <w:pPr>
              <w:spacing w:after="0"/>
              <w:rPr>
                <w:sz w:val="19"/>
                <w:szCs w:val="19"/>
                <w:color w:val="auto"/>
              </w:rPr>
            </w:pPr>
          </w:p>
        </w:tc>
        <w:tc>
          <w:tcPr>
            <w:tcW w:w="33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r>
      <w:tr>
        <w:trPr>
          <w:trHeight w:val="178"/>
        </w:trPr>
        <w:tc>
          <w:tcPr>
            <w:tcW w:w="6280" w:type="dxa"/>
            <w:vAlign w:val="bottom"/>
            <w:gridSpan w:val="3"/>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3.85% fixed note payable in monthly installments of $243,781 including principal</w:t>
            </w:r>
          </w:p>
        </w:tc>
        <w:tc>
          <w:tcPr>
            <w:tcW w:w="3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16"/>
        </w:trPr>
        <w:tc>
          <w:tcPr>
            <w:tcW w:w="6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interest, collateralized by real property with a book value of approximately</w:t>
            </w: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6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$57,645,000, due June 2032.</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48,169,363</w:t>
            </w:r>
          </w:p>
        </w:tc>
        <w:tc>
          <w:tcPr>
            <w:tcW w:w="500" w:type="dxa"/>
            <w:vAlign w:val="bottom"/>
            <w:gridSpan w:val="2"/>
            <w:shd w:val="clear" w:color="auto" w:fill="CCEEFF"/>
          </w:tcPr>
          <w:p>
            <w:pPr>
              <w:jc w:val="right"/>
              <w:ind w:right="364"/>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49,174,545</w:t>
            </w:r>
          </w:p>
        </w:tc>
        <w:tc>
          <w:tcPr>
            <w:tcW w:w="60" w:type="dxa"/>
            <w:vAlign w:val="bottom"/>
            <w:shd w:val="clear" w:color="auto" w:fill="CCEEFF"/>
          </w:tcPr>
          <w:p>
            <w:pPr>
              <w:spacing w:after="0"/>
              <w:rPr>
                <w:sz w:val="20"/>
                <w:szCs w:val="20"/>
                <w:color w:val="auto"/>
              </w:rPr>
            </w:pPr>
          </w:p>
        </w:tc>
      </w:tr>
      <w:tr>
        <w:trPr>
          <w:trHeight w:val="216"/>
        </w:trPr>
        <w:tc>
          <w:tcPr>
            <w:tcW w:w="2900" w:type="dxa"/>
            <w:vAlign w:val="bottom"/>
            <w:gridSpan w:val="2"/>
          </w:tcPr>
          <w:p>
            <w:pPr>
              <w:spacing w:after="0"/>
              <w:rPr>
                <w:sz w:val="18"/>
                <w:szCs w:val="18"/>
                <w:color w:val="auto"/>
              </w:rPr>
            </w:pPr>
          </w:p>
        </w:tc>
        <w:tc>
          <w:tcPr>
            <w:tcW w:w="3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8"/>
        </w:trPr>
        <w:tc>
          <w:tcPr>
            <w:tcW w:w="62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3.30% fixed note payable in monthly installments of $179,562 including principal</w:t>
            </w:r>
          </w:p>
        </w:tc>
        <w:tc>
          <w:tcPr>
            <w:tcW w:w="3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6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interest, collateralized by real property with a book value of approximately</w:t>
            </w: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6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$41,152,000, due April 2031.</w:t>
            </w:r>
          </w:p>
        </w:tc>
        <w:tc>
          <w:tcPr>
            <w:tcW w:w="38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36,751,084</w:t>
            </w:r>
          </w:p>
        </w:tc>
        <w:tc>
          <w:tcPr>
            <w:tcW w:w="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37,632,943</w:t>
            </w:r>
          </w:p>
        </w:tc>
        <w:tc>
          <w:tcPr>
            <w:tcW w:w="60" w:type="dxa"/>
            <w:vAlign w:val="bottom"/>
            <w:shd w:val="clear" w:color="auto" w:fill="CCEEFF"/>
          </w:tcPr>
          <w:p>
            <w:pPr>
              <w:spacing w:after="0"/>
              <w:rPr>
                <w:sz w:val="20"/>
                <w:szCs w:val="20"/>
                <w:color w:val="auto"/>
              </w:rPr>
            </w:pPr>
          </w:p>
        </w:tc>
      </w:tr>
      <w:tr>
        <w:trPr>
          <w:trHeight w:val="216"/>
        </w:trPr>
        <w:tc>
          <w:tcPr>
            <w:tcW w:w="2900" w:type="dxa"/>
            <w:vAlign w:val="bottom"/>
            <w:gridSpan w:val="2"/>
          </w:tcPr>
          <w:p>
            <w:pPr>
              <w:spacing w:after="0"/>
              <w:rPr>
                <w:sz w:val="18"/>
                <w:szCs w:val="18"/>
                <w:color w:val="auto"/>
              </w:rPr>
            </w:pPr>
          </w:p>
        </w:tc>
        <w:tc>
          <w:tcPr>
            <w:tcW w:w="3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8"/>
        </w:trPr>
        <w:tc>
          <w:tcPr>
            <w:tcW w:w="62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4.7865% fixed interest only note payable in monthly installments, collateralized by</w:t>
            </w:r>
          </w:p>
        </w:tc>
        <w:tc>
          <w:tcPr>
            <w:tcW w:w="3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6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property with a book value of approximately $15,886,000, due June 2028.</w:t>
            </w:r>
          </w:p>
        </w:tc>
        <w:tc>
          <w:tcPr>
            <w:tcW w:w="38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9,200,000</w:t>
            </w:r>
          </w:p>
        </w:tc>
        <w:tc>
          <w:tcPr>
            <w:tcW w:w="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9,200,000</w:t>
            </w:r>
          </w:p>
        </w:tc>
        <w:tc>
          <w:tcPr>
            <w:tcW w:w="60" w:type="dxa"/>
            <w:vAlign w:val="bottom"/>
            <w:shd w:val="clear" w:color="auto" w:fill="CCEEFF"/>
          </w:tcPr>
          <w:p>
            <w:pPr>
              <w:spacing w:after="0"/>
              <w:rPr>
                <w:sz w:val="20"/>
                <w:szCs w:val="20"/>
                <w:color w:val="auto"/>
              </w:rPr>
            </w:pPr>
          </w:p>
        </w:tc>
      </w:tr>
      <w:tr>
        <w:trPr>
          <w:trHeight w:val="216"/>
        </w:trPr>
        <w:tc>
          <w:tcPr>
            <w:tcW w:w="2900" w:type="dxa"/>
            <w:vAlign w:val="bottom"/>
            <w:gridSpan w:val="2"/>
          </w:tcPr>
          <w:p>
            <w:pPr>
              <w:spacing w:after="0"/>
              <w:rPr>
                <w:sz w:val="18"/>
                <w:szCs w:val="18"/>
                <w:color w:val="auto"/>
              </w:rPr>
            </w:pPr>
          </w:p>
        </w:tc>
        <w:tc>
          <w:tcPr>
            <w:tcW w:w="3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8"/>
        </w:trPr>
        <w:tc>
          <w:tcPr>
            <w:tcW w:w="62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 month SOFR rate plus 2.0% loan purchase agreement with a warehouse line</w:t>
            </w:r>
          </w:p>
        </w:tc>
        <w:tc>
          <w:tcPr>
            <w:tcW w:w="3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6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availability of $25,000,000, matures August 2026.</w:t>
            </w:r>
          </w:p>
        </w:tc>
        <w:tc>
          <w:tcPr>
            <w:tcW w:w="38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817,536</w:t>
            </w:r>
          </w:p>
        </w:tc>
        <w:tc>
          <w:tcPr>
            <w:tcW w:w="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2,668,519</w:t>
            </w:r>
          </w:p>
        </w:tc>
        <w:tc>
          <w:tcPr>
            <w:tcW w:w="60" w:type="dxa"/>
            <w:vAlign w:val="bottom"/>
            <w:shd w:val="clear" w:color="auto" w:fill="CCEEFF"/>
          </w:tcPr>
          <w:p>
            <w:pPr>
              <w:spacing w:after="0"/>
              <w:rPr>
                <w:sz w:val="20"/>
                <w:szCs w:val="20"/>
                <w:color w:val="auto"/>
              </w:rPr>
            </w:pPr>
          </w:p>
        </w:tc>
      </w:tr>
      <w:tr>
        <w:trPr>
          <w:trHeight w:val="216"/>
        </w:trPr>
        <w:tc>
          <w:tcPr>
            <w:tcW w:w="2900" w:type="dxa"/>
            <w:vAlign w:val="bottom"/>
            <w:gridSpan w:val="2"/>
          </w:tcPr>
          <w:p>
            <w:pPr>
              <w:spacing w:after="0"/>
              <w:rPr>
                <w:sz w:val="18"/>
                <w:szCs w:val="18"/>
                <w:color w:val="auto"/>
              </w:rPr>
            </w:pPr>
          </w:p>
        </w:tc>
        <w:tc>
          <w:tcPr>
            <w:tcW w:w="3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8"/>
        </w:trPr>
        <w:tc>
          <w:tcPr>
            <w:tcW w:w="62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 month SOFR rate plus 2.1% loan purchase agreement with a warehouse line</w:t>
            </w:r>
          </w:p>
        </w:tc>
        <w:tc>
          <w:tcPr>
            <w:tcW w:w="3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6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availability of $15,000,000, matures July 2026.</w:t>
            </w:r>
          </w:p>
        </w:tc>
        <w:tc>
          <w:tcPr>
            <w:tcW w:w="38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696,692</w:t>
            </w:r>
          </w:p>
        </w:tc>
        <w:tc>
          <w:tcPr>
            <w:tcW w:w="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7,918,930</w:t>
            </w:r>
          </w:p>
        </w:tc>
        <w:tc>
          <w:tcPr>
            <w:tcW w:w="60" w:type="dxa"/>
            <w:vAlign w:val="bottom"/>
            <w:shd w:val="clear" w:color="auto" w:fill="CCEEFF"/>
          </w:tcPr>
          <w:p>
            <w:pPr>
              <w:spacing w:after="0"/>
              <w:rPr>
                <w:sz w:val="20"/>
                <w:szCs w:val="20"/>
                <w:color w:val="auto"/>
              </w:rPr>
            </w:pPr>
          </w:p>
        </w:tc>
      </w:tr>
      <w:tr>
        <w:trPr>
          <w:trHeight w:val="216"/>
        </w:trPr>
        <w:tc>
          <w:tcPr>
            <w:tcW w:w="2900" w:type="dxa"/>
            <w:vAlign w:val="bottom"/>
            <w:gridSpan w:val="2"/>
          </w:tcPr>
          <w:p>
            <w:pPr>
              <w:spacing w:after="0"/>
              <w:rPr>
                <w:sz w:val="18"/>
                <w:szCs w:val="18"/>
                <w:color w:val="auto"/>
              </w:rPr>
            </w:pPr>
          </w:p>
        </w:tc>
        <w:tc>
          <w:tcPr>
            <w:tcW w:w="3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8"/>
        </w:trPr>
        <w:tc>
          <w:tcPr>
            <w:tcW w:w="62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 month SOFR rate plus 1.95% loan purchase agreement with a warehouse line</w:t>
            </w:r>
          </w:p>
        </w:tc>
        <w:tc>
          <w:tcPr>
            <w:tcW w:w="3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6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availability of $35,000,000, matures August 2026.</w:t>
            </w:r>
          </w:p>
        </w:tc>
        <w:tc>
          <w:tcPr>
            <w:tcW w:w="38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2,659,221</w:t>
            </w:r>
          </w:p>
        </w:tc>
        <w:tc>
          <w:tcPr>
            <w:tcW w:w="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900" w:type="dxa"/>
            <w:vAlign w:val="bottom"/>
            <w:gridSpan w:val="2"/>
          </w:tcPr>
          <w:p>
            <w:pPr>
              <w:spacing w:after="0"/>
              <w:rPr>
                <w:sz w:val="18"/>
                <w:szCs w:val="18"/>
                <w:color w:val="auto"/>
              </w:rPr>
            </w:pPr>
          </w:p>
        </w:tc>
        <w:tc>
          <w:tcPr>
            <w:tcW w:w="3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6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3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94,023</w:t>
            </w: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145,167</w:t>
            </w:r>
          </w:p>
        </w:tc>
        <w:tc>
          <w:tcPr>
            <w:tcW w:w="60" w:type="dxa"/>
            <w:vAlign w:val="bottom"/>
            <w:shd w:val="clear" w:color="auto" w:fill="CCEEFF"/>
          </w:tcPr>
          <w:p>
            <w:pPr>
              <w:spacing w:after="0"/>
              <w:rPr>
                <w:sz w:val="19"/>
                <w:szCs w:val="19"/>
                <w:color w:val="auto"/>
              </w:rPr>
            </w:pPr>
          </w:p>
        </w:tc>
      </w:tr>
      <w:tr>
        <w:trPr>
          <w:trHeight w:val="209"/>
        </w:trPr>
        <w:tc>
          <w:tcPr>
            <w:tcW w:w="6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bank and other loans</w:t>
            </w:r>
          </w:p>
        </w:tc>
        <w:tc>
          <w:tcPr>
            <w:tcW w:w="3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98,387,919</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106,740,104</w:t>
            </w:r>
          </w:p>
        </w:tc>
        <w:tc>
          <w:tcPr>
            <w:tcW w:w="60" w:type="dxa"/>
            <w:vAlign w:val="bottom"/>
            <w:shd w:val="clear" w:color="auto" w:fill="CCEEFF"/>
          </w:tcPr>
          <w:p>
            <w:pPr>
              <w:spacing w:after="0"/>
              <w:rPr>
                <w:sz w:val="18"/>
                <w:szCs w:val="18"/>
                <w:color w:val="auto"/>
              </w:rPr>
            </w:pPr>
          </w:p>
        </w:tc>
      </w:tr>
      <w:tr>
        <w:trPr>
          <w:trHeight w:val="216"/>
        </w:trPr>
        <w:tc>
          <w:tcPr>
            <w:tcW w:w="2900" w:type="dxa"/>
            <w:vAlign w:val="bottom"/>
            <w:gridSpan w:val="2"/>
          </w:tcPr>
          <w:p>
            <w:pPr>
              <w:spacing w:after="0"/>
              <w:rPr>
                <w:sz w:val="18"/>
                <w:szCs w:val="18"/>
                <w:color w:val="auto"/>
              </w:rPr>
            </w:pPr>
          </w:p>
        </w:tc>
        <w:tc>
          <w:tcPr>
            <w:tcW w:w="3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6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installments</w:t>
            </w:r>
          </w:p>
        </w:tc>
        <w:tc>
          <w:tcPr>
            <w:tcW w:w="3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(6,195,297)</w:t>
            </w: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(12,559,420)</w:t>
            </w:r>
          </w:p>
        </w:tc>
      </w:tr>
      <w:tr>
        <w:trPr>
          <w:trHeight w:val="223"/>
        </w:trPr>
        <w:tc>
          <w:tcPr>
            <w:tcW w:w="6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Bank and other loans, excluding current installments</w:t>
            </w:r>
          </w:p>
        </w:tc>
        <w:tc>
          <w:tcPr>
            <w:tcW w:w="3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92,192,622</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36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94,180,684</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tabulation shows the combined maturities of bank and other loans payable: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6,195,297</w:t>
            </w: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2,035,081</w:t>
            </w: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11,305,278</w:t>
            </w: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3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2,187,468</w:t>
            </w: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2,263,879</w:t>
            </w:r>
          </w:p>
        </w:tc>
      </w:tr>
      <w:tr>
        <w:trPr>
          <w:trHeight w:val="230"/>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74,400,916</w:t>
            </w:r>
          </w:p>
        </w:tc>
      </w:tr>
      <w:tr>
        <w:trPr>
          <w:trHeight w:val="223"/>
        </w:trPr>
        <w:tc>
          <w:tcPr>
            <w:tcW w:w="3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98,387,919</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in 2025 and 2024 was $4,518,965 and $4,254,100, respectively.</w:t>
      </w:r>
    </w:p>
    <w:p>
      <w:pPr>
        <w:spacing w:after="0" w:line="22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7" w:lineRule="exact"/>
        <w:rPr>
          <w:sz w:val="20"/>
          <w:szCs w:val="20"/>
          <w:color w:val="auto"/>
        </w:rPr>
      </w:pPr>
    </w:p>
    <w:p>
      <w:pPr>
        <w:ind w:left="660" w:hanging="652"/>
        <w:spacing w:after="0"/>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 and Other Loans Payable</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Liquidity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Federal Home Loan Bank Membership</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Federal Home Loan Banks (“the FHLBs”) are a group of cooperatives that lending institutions use to finance housing and economic development in local communities. The Company is a member of the FHLB based in Des Moines, Iowa and based in Dallas, Texas. As a member of the FHLB, the Company is required to maintain a minimum investment in capital stock of the FHLB and may pledge collateral to the bank for advances of funds to be used in its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Home Loan Bank of Des Moines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2025 and 2024, the amount available for borrowings from the FHLB of Des Moines was approximately $48,350,685 and $41,235,894, respectively. As of December 31, 2025 and 2024, United States Treasury fixed maturity securities with an estimated fair value of $55,751,822 and $54,487,812, respectively, have been pledged at the FHLB of Des Moines as collateral for current and potential borrowing. As of December 31, 2025 and 2024, the Company had no outstanding FHLB borrowings. As of December 31, 2025 and 2024, the Company’s total investment in FHLB stock was $500,100 and $479,100, respectively. As of December 31, 2025, the Company was contingently liable under standby letters of credit aggregating $3,884,998. These letters of credit are to be used to cover any contingency related to additional risk assessments pertaining to the Company’s captive insurance program for $443,758 and for bonding of residential land development for $3,441,240.</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Home Loan Bank of Dallas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2025 and 2024, the amount available for borrowings from the FHLB of Dallas was approximately $6,087,398 and $8,342,442, respectively. As of December 31, 2025 and 2024, Mortgage-Backed fixed maturity securities with an estimated fair value of $6,784,513 and $9,312,642, respectively have been pledged at the FHLB of Dallas as collateral for current and potential borrowings, respectively. As of December 31, 2025 and 2024, the Company had no outstanding FHLB borrowings. As of December 31, 2025, the Company’s total investment in FHLB stock was $146,400 compared with $1,925,800 as of December 31,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Revolving Lines of Credit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 $5,000,000 revolving line-of-credit with a bank with interest payable at a variable rate based on the adjusted daily SOFR plus a margin of 2.25%, secured by the capital stock of Security National Life and maturing June 1, 2026, renewable annually. As of December 31, 2025, the Company was contingently liable under standby letter of credit aggregating $1,250,000, which is used as collateral for SecurityNational Mortgage’s state licensing requirements. The standby letter of credit will draw on the line of credit if necessary. The Company does not expect any material losses to result from the issuance of the standby letter of credit. As of December 31, 2025 there were no amounts outstanding under the revolving line-of-credit.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7" w:lineRule="exact"/>
        <w:rPr>
          <w:sz w:val="20"/>
          <w:szCs w:val="20"/>
          <w:color w:val="auto"/>
        </w:rPr>
      </w:pPr>
    </w:p>
    <w:p>
      <w:pPr>
        <w:ind w:right="7100" w:firstLine="8"/>
        <w:spacing w:after="0" w:line="530" w:lineRule="auto"/>
        <w:tabs>
          <w:tab w:leader="none" w:pos="648"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Bank and Other Loans Payable</w:t>
      </w:r>
      <w:r>
        <w:rPr>
          <w:rFonts w:ascii="Times New Roman" w:cs="Times New Roman" w:eastAsia="Times New Roman" w:hAnsi="Times New Roman"/>
          <w:sz w:val="17"/>
          <w:szCs w:val="17"/>
          <w:color w:val="auto"/>
        </w:rPr>
        <w:t xml:space="preserve"> (Continued) </w:t>
      </w:r>
      <w:r>
        <w:rPr>
          <w:rFonts w:ascii="Times New Roman" w:cs="Times New Roman" w:eastAsia="Times New Roman" w:hAnsi="Times New Roman"/>
          <w:sz w:val="17"/>
          <w:szCs w:val="17"/>
          <w:u w:val="single" w:color="auto"/>
          <w:color w:val="auto"/>
        </w:rPr>
        <w:t>Debt Covenants for Mortgage Warehouse Lines of Credit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through its subsidiary SecurityNational Mortgage, has three lines of credit for the purpose of funding mortgage loans-one through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a second through Western Alliance Bank and a third through JPMorgan Chase Bank.</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U.S. Bank warehouse line of credit agreement allows SecurityNational Mortgage to borrow up to $15,000,000. The relevant agreement contemplates interest at 2.10% plus the greater of (i) 0%, and (ii) the one-month forward-looking term rate based on SOFR on drawn amounts and matures on July 17, 2026. The Company is required to comply with covenants for adjusted tangible net worth, unrestricted cash balance, and a minimum net income of $1 for the quarter.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Western Alliance Bank warehouse line of credit agreement allows SecurityNational Mortgage to borrow up to $25,000,000. The relevant agreement contemplates interest at the 1-Month SOFR rate plus 2.0% on drawn amounts and matures on August 15, 2026. The Company is required to comply with covenants for adjusted tangible net worth, unrestricted cash balance, and a minimum pre-tax income of $1 for the year.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JPMorgan Chase Bank warehouse line of credit agreement allows SecurityNational Mortgage to borrow up to $35,000,000. The relevant agreement contemplates interest at the 1-Month SOFR rate plus 1.95% on drawn amounts and matures on August 15, 2026. The Company is required to comply with covenants for adjusted tangible net worth, unrestricted cash balance, and a minimum pre-tax income of $1 for the year.</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agreements for US Bank and JP Morgan Chase Bank warehouse lines of credit include a cross-default provision where certain events of default under other of SecurityNational Mortgage’s obligations constitute events of default under the warehouse lines of credit. As of December 31, 2025, SecurityNational Mortgage was not in compliance with the net income covenant of the US Bank, Western Alliance Bank and JP Morgan Chase Bank warehouse lines of credit. SecurityNational Mortgage has since received waivers from each of these lenders with respect to this covenant. In the unlikely event the Company is required to repay the outstanding advances of approximately $4,173,449 on the warehouse lines of credit, the Company has sufficient cash to do so. The Company has also performed an analysis of its funding capacities of both internal and external sources and has determined that there are sufficient funds to continue its current business model. The Company continues to negotiate other warehouse lines of credit with other lenders.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Debt Covenants for Revolving Lines of Credit and Bank Loans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revolving line of credit agreements contain debt covenants requiring the Company to maintain minimum operating cash flow ratios and minimum net worth requirements for each of its business segments. The Company is also subject to debt covenants under one of its real estate loans which require maintenance of a minimum consolidated operating cash flow ratio, minimum liquidity amounts, and minimum consolidated net worth value. In addition to these financial debt covenants, the Company is required to provide segment specific financial statements and building specific financial statements under the agreements for each of its bank loans. As of December 31, 2025, the Company was in compliance with all these debt covenants.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7" w:lineRule="exact"/>
        <w:rPr>
          <w:sz w:val="20"/>
          <w:szCs w:val="20"/>
          <w:color w:val="auto"/>
        </w:rPr>
      </w:pPr>
    </w:p>
    <w:p>
      <w:pPr>
        <w:ind w:left="660" w:hanging="652"/>
        <w:spacing w:after="0"/>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Leases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lease is defined as a contract, or part of a contract, that conveys the right to control the use of identified property, plant, or equipment (an identified asset) for a period in exchange for consideration. The Company determines if a contract is a lease at the inception of the contract. At the commencement date of a lease, the Company measures the lease liability at the present value of the lease payments over the lease term, discounted using the discount rate for the lease. The Company uses the rate implicit in the lease, if available, otherwise the Company uses its incremental borrowing rate. Also, at the commencement date of a lease, the Company measures the cost of the related right-of-use asset which consists of the amount of the initial measurement of the lease liability, any lease payments made to the lessor at or before the commencement date, minus any lease incentives received and any initial direct costs incurred by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the Nature of Leases and Subleases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leases office space and equipment from third parties under various non-cancelable agreements. The Company has operating leases for office space for its segments in areas where it conducts business. The Company subleases some of this office space. The Company also has finance leases for certain equipment, such as copy machines and postage machines. The Company does not have any lease agreements with variable lease payments. The Company has not included any options to extend or terminate leases in the recognition of the right-of-use assets or lease liabilities because of the uncertainty that they will be exercised. No residual value guarantees have been provided to the Company. The Company does not have any restrictions or covenants imposed by leases.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 that have not Commenced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have any leases that have not commenced that create significant rights or obligations for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Lease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have any related party lease transactions that require disclosure as of December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Short-term Leases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made an accounting policy election not to apply the recognition requirements of ASC 842 to short-term leases, which are leases that, at the commencement date, have a lease term of 12 months or less and do not include an option to purchase the underlying assets that the lessee is reasonably certain to exercise.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Judgments and Assumptions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does not use any significant judgments or assumptions regarding the determination of whether a contract contains a lease; the allocation of the consideration in a contract between lease and non-lease components; or the determination of the discount rates for the leases. The following table presents the Company’s total lease cost recognized in earnings, amounts capitalized as right-of-use assets and cash flows from lease transactions.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16)</w:t>
            </w: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Leases (Continued)</w:t>
            </w: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66"/>
        </w:trPr>
        <w:tc>
          <w:tcPr>
            <w:tcW w:w="66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576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8"/>
              </w:rPr>
              <w:t>Years Ended December 31</w:t>
            </w:r>
          </w:p>
        </w:tc>
        <w:tc>
          <w:tcPr>
            <w:tcW w:w="11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66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576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78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w w:val="94"/>
              </w:rPr>
              <w:t>2024</w:t>
            </w:r>
          </w:p>
        </w:tc>
        <w:tc>
          <w:tcPr>
            <w:tcW w:w="160" w:type="dxa"/>
            <w:vAlign w:val="bottom"/>
            <w:tcBorders>
              <w:bottom w:val="single" w:sz="8" w:color="CCEEFF"/>
            </w:tcBorders>
          </w:tcPr>
          <w:p>
            <w:pPr>
              <w:spacing w:after="0"/>
              <w:rPr>
                <w:sz w:val="19"/>
                <w:szCs w:val="19"/>
                <w:color w:val="auto"/>
              </w:rPr>
            </w:pPr>
          </w:p>
        </w:tc>
      </w:tr>
      <w:tr>
        <w:trPr>
          <w:trHeight w:val="210"/>
        </w:trPr>
        <w:tc>
          <w:tcPr>
            <w:tcW w:w="6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1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9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right-of-use assets (1)</w:t>
            </w:r>
          </w:p>
        </w:tc>
        <w:tc>
          <w:tcPr>
            <w:tcW w:w="1120" w:type="dxa"/>
            <w:vAlign w:val="bottom"/>
            <w:shd w:val="clear" w:color="auto" w:fill="CCEEFF"/>
          </w:tcPr>
          <w:p>
            <w:pPr>
              <w:jc w:val="right"/>
              <w:ind w:right="95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86,515</w:t>
            </w:r>
          </w:p>
        </w:tc>
        <w:tc>
          <w:tcPr>
            <w:tcW w:w="880" w:type="dxa"/>
            <w:vAlign w:val="bottom"/>
            <w:gridSpan w:val="2"/>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48,687</w:t>
            </w:r>
          </w:p>
        </w:tc>
      </w:tr>
      <w:tr>
        <w:trPr>
          <w:trHeight w:val="216"/>
        </w:trPr>
        <w:tc>
          <w:tcPr>
            <w:tcW w:w="69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Interest on lease liabilities (2)</w:t>
            </w:r>
          </w:p>
        </w:tc>
        <w:tc>
          <w:tcPr>
            <w:tcW w:w="1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10,361</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6,553</w:t>
            </w:r>
          </w:p>
        </w:tc>
      </w:tr>
      <w:tr>
        <w:trPr>
          <w:trHeight w:val="216"/>
        </w:trPr>
        <w:tc>
          <w:tcPr>
            <w:tcW w:w="6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 (3)</w:t>
            </w:r>
          </w:p>
        </w:tc>
        <w:tc>
          <w:tcPr>
            <w:tcW w:w="1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2,655,969</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3,102,662</w:t>
            </w:r>
          </w:p>
        </w:tc>
      </w:tr>
      <w:tr>
        <w:trPr>
          <w:trHeight w:val="216"/>
        </w:trPr>
        <w:tc>
          <w:tcPr>
            <w:tcW w:w="6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Short-term lease cost (3)(4)</w:t>
            </w:r>
          </w:p>
        </w:tc>
        <w:tc>
          <w:tcPr>
            <w:tcW w:w="1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1,232,176</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1,419,524</w:t>
            </w:r>
          </w:p>
        </w:tc>
      </w:tr>
      <w:tr>
        <w:trPr>
          <w:trHeight w:val="230"/>
        </w:trPr>
        <w:tc>
          <w:tcPr>
            <w:tcW w:w="6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Sublease income (3)</w:t>
            </w:r>
          </w:p>
        </w:tc>
        <w:tc>
          <w:tcPr>
            <w:tcW w:w="1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(958,038)</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(562,675)</w:t>
            </w:r>
          </w:p>
        </w:tc>
      </w:tr>
      <w:tr>
        <w:trPr>
          <w:trHeight w:val="263"/>
        </w:trPr>
        <w:tc>
          <w:tcPr>
            <w:tcW w:w="69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1120" w:type="dxa"/>
            <w:vAlign w:val="bottom"/>
            <w:tcBorders>
              <w:top w:val="single" w:sz="8" w:color="auto"/>
              <w:bottom w:val="single" w:sz="8" w:color="auto"/>
            </w:tcBorders>
          </w:tcPr>
          <w:p>
            <w:pPr>
              <w:jc w:val="right"/>
              <w:ind w:right="95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3,026,983</w:t>
            </w:r>
          </w:p>
        </w:tc>
        <w:tc>
          <w:tcPr>
            <w:tcW w:w="2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59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4,014,751</w:t>
            </w:r>
          </w:p>
        </w:tc>
        <w:tc>
          <w:tcPr>
            <w:tcW w:w="160" w:type="dxa"/>
            <w:vAlign w:val="bottom"/>
            <w:tcBorders>
              <w:bottom w:val="single" w:sz="8" w:color="CCEEFF"/>
            </w:tcBorders>
          </w:tcPr>
          <w:p>
            <w:pPr>
              <w:spacing w:after="0"/>
              <w:rPr>
                <w:sz w:val="22"/>
                <w:szCs w:val="22"/>
                <w:color w:val="auto"/>
              </w:rPr>
            </w:pPr>
          </w:p>
        </w:tc>
      </w:tr>
      <w:tr>
        <w:trPr>
          <w:trHeight w:val="197"/>
        </w:trPr>
        <w:tc>
          <w:tcPr>
            <w:tcW w:w="6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7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6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9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120" w:type="dxa"/>
            <w:vAlign w:val="bottom"/>
          </w:tcPr>
          <w:p>
            <w:pPr>
              <w:jc w:val="right"/>
              <w:ind w:right="95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2,879,018</w:t>
            </w:r>
          </w:p>
        </w:tc>
        <w:tc>
          <w:tcPr>
            <w:tcW w:w="880" w:type="dxa"/>
            <w:vAlign w:val="bottom"/>
            <w:gridSpan w:val="2"/>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3,622,607</w:t>
            </w:r>
          </w:p>
        </w:tc>
      </w:tr>
      <w:tr>
        <w:trPr>
          <w:trHeight w:val="216"/>
        </w:trPr>
        <w:tc>
          <w:tcPr>
            <w:tcW w:w="69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1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10,361</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6,553</w:t>
            </w:r>
          </w:p>
        </w:tc>
      </w:tr>
      <w:tr>
        <w:trPr>
          <w:trHeight w:val="216"/>
        </w:trPr>
        <w:tc>
          <w:tcPr>
            <w:tcW w:w="69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84,643</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46,425</w:t>
            </w:r>
          </w:p>
        </w:tc>
      </w:tr>
      <w:tr>
        <w:trPr>
          <w:trHeight w:val="216"/>
        </w:trPr>
        <w:tc>
          <w:tcPr>
            <w:tcW w:w="1140" w:type="dxa"/>
            <w:vAlign w:val="bottom"/>
            <w:gridSpan w:val="2"/>
            <w:shd w:val="clear" w:color="auto" w:fill="CCEEFF"/>
          </w:tcPr>
          <w:p>
            <w:pPr>
              <w:spacing w:after="0"/>
              <w:rPr>
                <w:sz w:val="18"/>
                <w:szCs w:val="18"/>
                <w:color w:val="auto"/>
              </w:rPr>
            </w:pPr>
          </w:p>
        </w:tc>
        <w:tc>
          <w:tcPr>
            <w:tcW w:w="57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9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1120" w:type="dxa"/>
            <w:vAlign w:val="bottom"/>
            <w:shd w:val="clear" w:color="auto" w:fill="CCEEFF"/>
          </w:tcPr>
          <w:p>
            <w:pPr>
              <w:jc w:val="right"/>
              <w:ind w:right="95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2,582,742</w:t>
            </w:r>
          </w:p>
        </w:tc>
        <w:tc>
          <w:tcPr>
            <w:tcW w:w="880" w:type="dxa"/>
            <w:vAlign w:val="bottom"/>
            <w:gridSpan w:val="2"/>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1,770,873</w:t>
            </w:r>
          </w:p>
        </w:tc>
      </w:tr>
      <w:tr>
        <w:trPr>
          <w:trHeight w:val="216"/>
        </w:trPr>
        <w:tc>
          <w:tcPr>
            <w:tcW w:w="69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Finance leases</w:t>
            </w:r>
          </w:p>
        </w:tc>
        <w:tc>
          <w:tcPr>
            <w:tcW w:w="1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33,500</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176,040</w:t>
            </w:r>
          </w:p>
        </w:tc>
      </w:tr>
      <w:tr>
        <w:trPr>
          <w:trHeight w:val="216"/>
        </w:trPr>
        <w:tc>
          <w:tcPr>
            <w:tcW w:w="1140" w:type="dxa"/>
            <w:vAlign w:val="bottom"/>
            <w:gridSpan w:val="2"/>
            <w:shd w:val="clear" w:color="auto" w:fill="CCEEFF"/>
          </w:tcPr>
          <w:p>
            <w:pPr>
              <w:spacing w:after="0"/>
              <w:rPr>
                <w:sz w:val="18"/>
                <w:szCs w:val="18"/>
                <w:color w:val="auto"/>
              </w:rPr>
            </w:pPr>
          </w:p>
        </w:tc>
        <w:tc>
          <w:tcPr>
            <w:tcW w:w="57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9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leases</w:t>
            </w:r>
          </w:p>
        </w:tc>
        <w:tc>
          <w:tcPr>
            <w:tcW w:w="1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1.80</w:t>
            </w:r>
          </w:p>
        </w:tc>
      </w:tr>
      <w:tr>
        <w:trPr>
          <w:trHeight w:val="216"/>
        </w:trPr>
        <w:tc>
          <w:tcPr>
            <w:tcW w:w="69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1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2.66</w:t>
            </w:r>
          </w:p>
        </w:tc>
      </w:tr>
      <w:tr>
        <w:trPr>
          <w:trHeight w:val="216"/>
        </w:trPr>
        <w:tc>
          <w:tcPr>
            <w:tcW w:w="1140" w:type="dxa"/>
            <w:vAlign w:val="bottom"/>
            <w:gridSpan w:val="2"/>
            <w:shd w:val="clear" w:color="auto" w:fill="CCEEFF"/>
          </w:tcPr>
          <w:p>
            <w:pPr>
              <w:spacing w:after="0"/>
              <w:rPr>
                <w:sz w:val="18"/>
                <w:szCs w:val="18"/>
                <w:color w:val="auto"/>
              </w:rPr>
            </w:pPr>
          </w:p>
        </w:tc>
        <w:tc>
          <w:tcPr>
            <w:tcW w:w="57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9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leases</w:t>
            </w:r>
          </w:p>
        </w:tc>
        <w:tc>
          <w:tcPr>
            <w:tcW w:w="1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7.70%</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7.89%</w:t>
            </w:r>
          </w:p>
        </w:tc>
      </w:tr>
      <w:tr>
        <w:trPr>
          <w:trHeight w:val="234"/>
        </w:trPr>
        <w:tc>
          <w:tcPr>
            <w:tcW w:w="69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11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6.33%</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86" w:lineRule="exact"/>
        <w:rPr>
          <w:sz w:val="20"/>
          <w:szCs w:val="20"/>
          <w:color w:val="auto"/>
        </w:rPr>
      </w:pPr>
    </w:p>
    <w:p>
      <w:pPr>
        <w:ind w:left="340" w:hanging="332"/>
        <w:spacing w:after="0"/>
        <w:tabs>
          <w:tab w:leader="none" w:pos="3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Depreciation on property and equipment on the consolidated statements of earnings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Interest expense on the consolidated statements of earnings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Rent and rent related expenses on the consolidated statements of earnings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leases with a term of 12 months or less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7" w:lineRule="exact"/>
        <w:rPr>
          <w:sz w:val="20"/>
          <w:szCs w:val="20"/>
          <w:color w:val="auto"/>
        </w:rPr>
      </w:pPr>
    </w:p>
    <w:p>
      <w:pPr>
        <w:ind w:left="660" w:hanging="652"/>
        <w:spacing w:after="0"/>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Leases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maturity analysis of the Company’s lease liabilities.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gridSpan w:val="2"/>
          </w:tcPr>
          <w:p>
            <w:pPr>
              <w:jc w:val="right"/>
              <w:ind w:right="481"/>
              <w:spacing w:after="0"/>
              <w:rPr>
                <w:sz w:val="20"/>
                <w:szCs w:val="20"/>
                <w:color w:val="auto"/>
              </w:rPr>
            </w:pPr>
            <w:r>
              <w:rPr>
                <w:rFonts w:ascii="Times New Roman" w:cs="Times New Roman" w:eastAsia="Times New Roman" w:hAnsi="Times New Roman"/>
                <w:sz w:val="18"/>
                <w:szCs w:val="18"/>
                <w:color w:val="auto"/>
              </w:rPr>
              <w:t>Finance Leases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Operating Leases</w:t>
            </w:r>
          </w:p>
        </w:tc>
      </w:tr>
      <w:tr>
        <w:trPr>
          <w:trHeight w:val="209"/>
        </w:trPr>
        <w:tc>
          <w:tcPr>
            <w:tcW w:w="3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payments due in:</w:t>
            </w:r>
          </w:p>
        </w:tc>
        <w:tc>
          <w:tcPr>
            <w:tcW w:w="13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5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72,074</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2,256,398</w:t>
            </w:r>
          </w:p>
        </w:tc>
        <w:tc>
          <w:tcPr>
            <w:tcW w:w="6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11,157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957,728</w:t>
            </w:r>
          </w:p>
        </w:tc>
        <w:tc>
          <w:tcPr>
            <w:tcW w:w="60" w:type="dxa"/>
            <w:vAlign w:val="bottom"/>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9,504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624,120</w:t>
            </w:r>
          </w:p>
        </w:tc>
        <w:tc>
          <w:tcPr>
            <w:tcW w:w="6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7,217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477,929</w:t>
            </w:r>
          </w:p>
        </w:tc>
        <w:tc>
          <w:tcPr>
            <w:tcW w:w="60" w:type="dxa"/>
            <w:vAlign w:val="bottom"/>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1,034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252,836</w:t>
            </w:r>
          </w:p>
        </w:tc>
        <w:tc>
          <w:tcPr>
            <w:tcW w:w="60" w:type="dxa"/>
            <w:vAlign w:val="bottom"/>
          </w:tcPr>
          <w:p>
            <w:pPr>
              <w:spacing w:after="0"/>
              <w:rPr>
                <w:sz w:val="18"/>
                <w:szCs w:val="18"/>
                <w:color w:val="auto"/>
              </w:rPr>
            </w:pPr>
          </w:p>
        </w:tc>
      </w:tr>
      <w:tr>
        <w:trPr>
          <w:trHeight w:val="230"/>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1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13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100,986</w:t>
            </w: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4,569,011</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r>
      <w:tr>
        <w:trPr>
          <w:trHeight w:val="209"/>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Discount on cash flows</w:t>
            </w:r>
          </w:p>
        </w:tc>
        <w:tc>
          <w:tcPr>
            <w:tcW w:w="13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(6,963</w:t>
            </w:r>
          </w:p>
        </w:tc>
        <w:tc>
          <w:tcPr>
            <w:tcW w:w="2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(431,953</w:t>
            </w:r>
          </w:p>
        </w:tc>
        <w:tc>
          <w:tcPr>
            <w:tcW w:w="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360" w:type="dxa"/>
            <w:vAlign w:val="bottom"/>
          </w:tcPr>
          <w:p>
            <w:pPr>
              <w:spacing w:after="0"/>
              <w:rPr>
                <w:sz w:val="19"/>
                <w:szCs w:val="19"/>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94,023</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4,137,058</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38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right-of-use assets and lease liabilities.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20" w:type="dxa"/>
            <w:vAlign w:val="bottom"/>
            <w:gridSpan w:val="6"/>
          </w:tcPr>
          <w:p>
            <w:pPr>
              <w:jc w:val="right"/>
              <w:ind w:right="1240"/>
              <w:spacing w:after="0"/>
              <w:rPr>
                <w:sz w:val="20"/>
                <w:szCs w:val="20"/>
                <w:color w:val="auto"/>
              </w:rPr>
            </w:pPr>
            <w:r>
              <w:rPr>
                <w:rFonts w:ascii="Times New Roman" w:cs="Times New Roman" w:eastAsia="Times New Roman" w:hAnsi="Times New Roman"/>
                <w:sz w:val="18"/>
                <w:szCs w:val="18"/>
                <w:color w:val="auto"/>
              </w:rPr>
              <w:t>Year Ended December 31,</w:t>
            </w:r>
          </w:p>
        </w:tc>
      </w:tr>
      <w:tr>
        <w:trPr>
          <w:trHeight w:val="223"/>
        </w:trPr>
        <w:tc>
          <w:tcPr>
            <w:tcW w:w="1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120" w:type="dxa"/>
            <w:vAlign w:val="bottom"/>
            <w:tcBorders>
              <w:bottom w:val="single" w:sz="8" w:color="CCEEFF"/>
            </w:tcBorders>
          </w:tcPr>
          <w:p>
            <w:pPr>
              <w:spacing w:after="0"/>
              <w:rPr>
                <w:sz w:val="19"/>
                <w:szCs w:val="19"/>
                <w:color w:val="auto"/>
              </w:rPr>
            </w:pPr>
          </w:p>
        </w:tc>
        <w:tc>
          <w:tcPr>
            <w:tcW w:w="338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Balance Sheet Location</w:t>
            </w:r>
          </w:p>
        </w:tc>
        <w:tc>
          <w:tcPr>
            <w:tcW w:w="22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r>
      <w:tr>
        <w:trPr>
          <w:trHeight w:val="169"/>
        </w:trPr>
        <w:tc>
          <w:tcPr>
            <w:tcW w:w="3380" w:type="dxa"/>
            <w:vAlign w:val="bottom"/>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Operating Leases</w:t>
            </w:r>
          </w:p>
        </w:tc>
        <w:tc>
          <w:tcPr>
            <w:tcW w:w="3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0"/>
        </w:trPr>
        <w:tc>
          <w:tcPr>
            <w:tcW w:w="11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3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3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6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3,911,710</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4,837,045</w:t>
            </w:r>
          </w:p>
        </w:tc>
      </w:tr>
      <w:tr>
        <w:trPr>
          <w:trHeight w:val="216"/>
        </w:trPr>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 and accrued expenses</w:t>
            </w:r>
          </w:p>
        </w:tc>
        <w:tc>
          <w:tcPr>
            <w:tcW w:w="6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4,137,058</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5,285,440</w:t>
            </w:r>
          </w:p>
        </w:tc>
      </w:tr>
      <w:tr>
        <w:trPr>
          <w:trHeight w:val="216"/>
        </w:trPr>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33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Finance Leases</w:t>
            </w:r>
          </w:p>
        </w:tc>
        <w:tc>
          <w:tcPr>
            <w:tcW w:w="3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1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3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232,133</w:t>
            </w:r>
          </w:p>
        </w:tc>
        <w:tc>
          <w:tcPr>
            <w:tcW w:w="5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207,127</w:t>
            </w:r>
          </w:p>
        </w:tc>
      </w:tr>
      <w:tr>
        <w:trPr>
          <w:trHeight w:val="230"/>
        </w:trPr>
        <w:tc>
          <w:tcPr>
            <w:tcW w:w="3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3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(142,992)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(64,971)</w:t>
            </w:r>
          </w:p>
        </w:tc>
      </w:tr>
      <w:tr>
        <w:trPr>
          <w:trHeight w:val="223"/>
        </w:trPr>
        <w:tc>
          <w:tcPr>
            <w:tcW w:w="33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net</w:t>
            </w:r>
          </w:p>
        </w:tc>
        <w:tc>
          <w:tcPr>
            <w:tcW w:w="3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89,141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and other loans payable</w:t>
            </w:r>
          </w:p>
        </w:tc>
        <w:tc>
          <w:tcPr>
            <w:tcW w:w="6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94,023</w:t>
            </w:r>
          </w:p>
        </w:tc>
        <w:tc>
          <w:tcPr>
            <w:tcW w:w="5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145,167</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also a lessor and has operating lease agreements with various tenants that lease its commercial properties. See Note 2 for information about the Company’s real estate held for investment.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7" w:lineRule="exact"/>
        <w:rPr>
          <w:sz w:val="20"/>
          <w:szCs w:val="20"/>
          <w:color w:val="auto"/>
        </w:rPr>
      </w:pPr>
    </w:p>
    <w:p>
      <w:pPr>
        <w:ind w:left="660" w:hanging="652"/>
        <w:spacing w:after="0"/>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 regarding the adoption of ASU 2018-12 and ASU 2023-09.</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U.S. The OBBBA includes provisions that allow for the immediate expensing of domestic research and development expenses, immediate expensing of certain capital expenditures, and other changes to the U.S. taxation of profits derived from foreign operations. OBBBA did not have a material impact on the Company’s estimated effective tax rate for 2025.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income tax liability is summarized as follows:</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5"/>
        </w:trPr>
        <w:tc>
          <w:tcPr>
            <w:tcW w:w="56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December 31,</w:t>
            </w:r>
          </w:p>
        </w:tc>
        <w:tc>
          <w:tcPr>
            <w:tcW w:w="10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56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CCEEFF"/>
            </w:tcBorders>
          </w:tcPr>
          <w:p>
            <w:pPr>
              <w:spacing w:after="0"/>
              <w:rPr>
                <w:sz w:val="19"/>
                <w:szCs w:val="19"/>
                <w:color w:val="auto"/>
              </w:rPr>
            </w:pPr>
          </w:p>
        </w:tc>
      </w:tr>
      <w:tr>
        <w:trPr>
          <w:trHeight w:val="20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516,851</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(725,175)</w:t>
            </w:r>
          </w:p>
        </w:tc>
        <w:tc>
          <w:tcPr>
            <w:tcW w:w="80" w:type="dxa"/>
            <w:vAlign w:val="bottom"/>
            <w:shd w:val="clear" w:color="auto" w:fill="CCEEFF"/>
          </w:tcPr>
          <w:p>
            <w:pPr>
              <w:spacing w:after="0"/>
              <w:rPr>
                <w:sz w:val="18"/>
                <w:szCs w:val="18"/>
                <w:color w:val="auto"/>
              </w:rPr>
            </w:pPr>
          </w:p>
        </w:tc>
      </w:tr>
      <w:tr>
        <w:trPr>
          <w:trHeight w:val="229"/>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340" w:type="dxa"/>
            <w:vAlign w:val="bottom"/>
          </w:tcPr>
          <w:p>
            <w:pPr>
              <w:spacing w:after="0"/>
              <w:rPr>
                <w:sz w:val="19"/>
                <w:szCs w:val="19"/>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25,403,711</w:t>
            </w:r>
          </w:p>
        </w:tc>
        <w:tc>
          <w:tcPr>
            <w:tcW w:w="48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25,265,687</w:t>
            </w:r>
          </w:p>
        </w:tc>
      </w:tr>
      <w:tr>
        <w:trPr>
          <w:trHeight w:val="223"/>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25,920,562</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24,540,512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significant components of the Company’s deferred tax assets and liabilities are approximately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December 31,</w:t>
            </w:r>
          </w:p>
        </w:tc>
        <w:tc>
          <w:tcPr>
            <w:tcW w:w="10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223"/>
        </w:trPr>
        <w:tc>
          <w:tcPr>
            <w:tcW w:w="47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CCEEFF"/>
            </w:tcBorders>
          </w:tcPr>
          <w:p>
            <w:pPr>
              <w:spacing w:after="0"/>
              <w:rPr>
                <w:sz w:val="19"/>
                <w:szCs w:val="19"/>
                <w:color w:val="auto"/>
              </w:rPr>
            </w:pPr>
          </w:p>
        </w:tc>
        <w:tc>
          <w:tcPr>
            <w:tcW w:w="2260" w:type="dxa"/>
            <w:vAlign w:val="bottom"/>
          </w:tcPr>
          <w:p>
            <w:pPr>
              <w:spacing w:after="0"/>
              <w:rPr>
                <w:sz w:val="19"/>
                <w:szCs w:val="19"/>
                <w:color w:val="auto"/>
              </w:rPr>
            </w:pPr>
          </w:p>
        </w:tc>
      </w:tr>
      <w:tr>
        <w:trPr>
          <w:trHeight w:val="209"/>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Future policy benefits</w:t>
            </w:r>
          </w:p>
        </w:tc>
        <w:tc>
          <w:tcPr>
            <w:tcW w:w="126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8,538,993</w:t>
            </w: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4,663,986</w:t>
            </w:r>
          </w:p>
        </w:tc>
        <w:tc>
          <w:tcPr>
            <w:tcW w:w="226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loss reserve and allowances</w:t>
            </w: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1,431,236</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1,395,203</w:t>
            </w:r>
          </w:p>
        </w:tc>
        <w:tc>
          <w:tcPr>
            <w:tcW w:w="2260" w:type="dxa"/>
            <w:vAlign w:val="bottom"/>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Unearned premium</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383,207</w:t>
            </w:r>
          </w:p>
        </w:tc>
        <w:tc>
          <w:tcPr>
            <w:tcW w:w="4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422,453</w:t>
            </w:r>
          </w:p>
        </w:tc>
        <w:tc>
          <w:tcPr>
            <w:tcW w:w="226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w:t>
            </w: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687,524</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1,245,888</w:t>
            </w:r>
          </w:p>
        </w:tc>
        <w:tc>
          <w:tcPr>
            <w:tcW w:w="2260" w:type="dxa"/>
            <w:vAlign w:val="bottom"/>
          </w:tcPr>
          <w:p>
            <w:pPr>
              <w:spacing w:after="0"/>
              <w:rPr>
                <w:sz w:val="18"/>
                <w:szCs w:val="18"/>
                <w:color w:val="auto"/>
              </w:rPr>
            </w:pPr>
          </w:p>
        </w:tc>
      </w:tr>
      <w:tr>
        <w:trPr>
          <w:trHeight w:val="23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Deferred compensation</w:t>
            </w: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2,388,705</w:t>
            </w:r>
          </w:p>
        </w:tc>
        <w:tc>
          <w:tcPr>
            <w:tcW w:w="48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2,033,686</w:t>
            </w:r>
          </w:p>
        </w:tc>
        <w:tc>
          <w:tcPr>
            <w:tcW w:w="2260" w:type="dxa"/>
            <w:vAlign w:val="bottom"/>
          </w:tcPr>
          <w:p>
            <w:pPr>
              <w:spacing w:after="0"/>
              <w:rPr>
                <w:sz w:val="19"/>
                <w:szCs w:val="19"/>
                <w:color w:val="auto"/>
              </w:rPr>
            </w:pPr>
          </w:p>
        </w:tc>
      </w:tr>
      <w:tr>
        <w:trPr>
          <w:trHeight w:val="210"/>
        </w:trPr>
        <w:tc>
          <w:tcPr>
            <w:tcW w:w="4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9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13,429,665</w:t>
            </w:r>
          </w:p>
        </w:tc>
        <w:tc>
          <w:tcPr>
            <w:tcW w:w="2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9,761,216</w:t>
            </w:r>
          </w:p>
        </w:tc>
        <w:tc>
          <w:tcPr>
            <w:tcW w:w="80" w:type="dxa"/>
            <w:vAlign w:val="bottom"/>
            <w:tcBorders>
              <w:top w:val="single" w:sz="8" w:color="CCEEFF"/>
            </w:tcBorders>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10"/>
        </w:trPr>
        <w:tc>
          <w:tcPr>
            <w:tcW w:w="4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21,138,853</w:t>
            </w:r>
          </w:p>
        </w:tc>
        <w:tc>
          <w:tcPr>
            <w:tcW w:w="4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20,061,762</w:t>
            </w:r>
          </w:p>
        </w:tc>
        <w:tc>
          <w:tcPr>
            <w:tcW w:w="226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Basis difference in property, equipment and real estate</w:t>
            </w: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8,700,097</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8,973,198</w:t>
            </w:r>
          </w:p>
        </w:tc>
        <w:tc>
          <w:tcPr>
            <w:tcW w:w="2260" w:type="dxa"/>
            <w:vAlign w:val="bottom"/>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Value of business acquired</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1,492,929</w:t>
            </w:r>
          </w:p>
        </w:tc>
        <w:tc>
          <w:tcPr>
            <w:tcW w:w="4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1,596,529</w:t>
            </w:r>
          </w:p>
        </w:tc>
        <w:tc>
          <w:tcPr>
            <w:tcW w:w="226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gains</w:t>
            </w: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1,042,235</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1,365,803</w:t>
            </w:r>
          </w:p>
        </w:tc>
        <w:tc>
          <w:tcPr>
            <w:tcW w:w="2260" w:type="dxa"/>
            <w:vAlign w:val="bottom"/>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Trusts</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1,064,387</w:t>
            </w:r>
          </w:p>
        </w:tc>
        <w:tc>
          <w:tcPr>
            <w:tcW w:w="4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1,064,387</w:t>
            </w:r>
          </w:p>
        </w:tc>
        <w:tc>
          <w:tcPr>
            <w:tcW w:w="226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w:t>
            </w: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848,497</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717,336</w:t>
            </w:r>
          </w:p>
        </w:tc>
        <w:tc>
          <w:tcPr>
            <w:tcW w:w="2260" w:type="dxa"/>
            <w:vAlign w:val="bottom"/>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917,003</w:t>
            </w:r>
          </w:p>
        </w:tc>
        <w:tc>
          <w:tcPr>
            <w:tcW w:w="4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534,311</w:t>
            </w:r>
          </w:p>
        </w:tc>
        <w:tc>
          <w:tcPr>
            <w:tcW w:w="2260" w:type="dxa"/>
            <w:vAlign w:val="bottom"/>
          </w:tcPr>
          <w:p>
            <w:pPr>
              <w:spacing w:after="0"/>
              <w:rPr>
                <w:sz w:val="18"/>
                <w:szCs w:val="18"/>
                <w:color w:val="auto"/>
              </w:rPr>
            </w:pPr>
          </w:p>
        </w:tc>
      </w:tr>
      <w:tr>
        <w:trPr>
          <w:trHeight w:val="230"/>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on unrealized appreciaton</w:t>
            </w:r>
          </w:p>
        </w:tc>
        <w:tc>
          <w:tcPr>
            <w:tcW w:w="9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3,629,375</w:t>
            </w:r>
          </w:p>
        </w:tc>
        <w:tc>
          <w:tcPr>
            <w:tcW w:w="4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713,577</w:t>
            </w:r>
          </w:p>
        </w:tc>
        <w:tc>
          <w:tcPr>
            <w:tcW w:w="2260" w:type="dxa"/>
            <w:vAlign w:val="bottom"/>
          </w:tcPr>
          <w:p>
            <w:pPr>
              <w:spacing w:after="0"/>
              <w:rPr>
                <w:sz w:val="19"/>
                <w:szCs w:val="19"/>
                <w:color w:val="auto"/>
              </w:rPr>
            </w:pPr>
          </w:p>
        </w:tc>
      </w:tr>
      <w:tr>
        <w:trPr>
          <w:trHeight w:val="210"/>
        </w:trPr>
        <w:tc>
          <w:tcPr>
            <w:tcW w:w="4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9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38,833,376</w:t>
            </w:r>
          </w:p>
        </w:tc>
        <w:tc>
          <w:tcPr>
            <w:tcW w:w="26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35,026,903</w:t>
            </w:r>
          </w:p>
        </w:tc>
        <w:tc>
          <w:tcPr>
            <w:tcW w:w="80" w:type="dxa"/>
            <w:vAlign w:val="bottom"/>
            <w:tcBorders>
              <w:bottom w:val="single" w:sz="8" w:color="CCEEFF"/>
            </w:tcBorders>
          </w:tcPr>
          <w:p>
            <w:pPr>
              <w:spacing w:after="0"/>
              <w:rPr>
                <w:sz w:val="18"/>
                <w:szCs w:val="18"/>
                <w:color w:val="auto"/>
              </w:rPr>
            </w:pPr>
          </w:p>
        </w:tc>
        <w:tc>
          <w:tcPr>
            <w:tcW w:w="2260" w:type="dxa"/>
            <w:vAlign w:val="bottom"/>
          </w:tcPr>
          <w:p>
            <w:pPr>
              <w:spacing w:after="0"/>
              <w:rPr>
                <w:sz w:val="18"/>
                <w:szCs w:val="18"/>
                <w:color w:val="auto"/>
              </w:rPr>
            </w:pPr>
          </w:p>
        </w:tc>
      </w:tr>
      <w:tr>
        <w:trPr>
          <w:trHeight w:val="223"/>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9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25,403,711</w:t>
            </w:r>
          </w:p>
        </w:tc>
        <w:tc>
          <w:tcPr>
            <w:tcW w:w="2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25,265,687</w:t>
            </w:r>
          </w:p>
        </w:tc>
        <w:tc>
          <w:tcPr>
            <w:tcW w:w="80" w:type="dxa"/>
            <w:vAlign w:val="bottom"/>
            <w:tcBorders>
              <w:bottom w:val="single" w:sz="8" w:color="CCEEFF"/>
            </w:tcBorders>
            <w:shd w:val="clear" w:color="auto" w:fill="CCEEFF"/>
          </w:tcPr>
          <w:p>
            <w:pPr>
              <w:spacing w:after="0"/>
              <w:rPr>
                <w:sz w:val="19"/>
                <w:szCs w:val="19"/>
                <w:color w:val="auto"/>
              </w:rPr>
            </w:pPr>
          </w:p>
        </w:tc>
        <w:tc>
          <w:tcPr>
            <w:tcW w:w="2260" w:type="dxa"/>
            <w:vAlign w:val="bottom"/>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413"/>
        </w:trPr>
        <w:tc>
          <w:tcPr>
            <w:tcW w:w="47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center"/>
              <w:ind w:left="490"/>
              <w:spacing w:after="0"/>
              <w:rPr>
                <w:sz w:val="20"/>
                <w:szCs w:val="20"/>
                <w:color w:val="auto"/>
              </w:rPr>
            </w:pPr>
            <w:r>
              <w:rPr>
                <w:rFonts w:ascii="Times New Roman" w:cs="Times New Roman" w:eastAsia="Times New Roman" w:hAnsi="Times New Roman"/>
                <w:sz w:val="18"/>
                <w:szCs w:val="18"/>
                <w:color w:val="auto"/>
              </w:rPr>
              <w:t>109</w:t>
            </w:r>
          </w:p>
        </w:tc>
        <w:tc>
          <w:tcPr>
            <w:tcW w:w="1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17)</w:t>
            </w: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Taxes (Continued)</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3"/>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Company’s income tax expense is summarized as follows:</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45"/>
        </w:trPr>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December 31,</w:t>
            </w:r>
          </w:p>
        </w:tc>
        <w:tc>
          <w:tcPr>
            <w:tcW w:w="10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3"/>
        </w:trPr>
        <w:tc>
          <w:tcPr>
            <w:tcW w:w="66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39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r>
      <w:tr>
        <w:trPr>
          <w:trHeight w:val="209"/>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00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6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7,683,833</w:t>
            </w: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7,182,377</w:t>
            </w:r>
          </w:p>
        </w:tc>
        <w:tc>
          <w:tcPr>
            <w:tcW w:w="60" w:type="dxa"/>
            <w:vAlign w:val="bottom"/>
          </w:tcPr>
          <w:p>
            <w:pPr>
              <w:spacing w:after="0"/>
              <w:rPr>
                <w:sz w:val="18"/>
                <w:szCs w:val="18"/>
                <w:color w:val="auto"/>
              </w:rPr>
            </w:pPr>
          </w:p>
        </w:tc>
      </w:tr>
      <w:tr>
        <w:trPr>
          <w:trHeight w:val="230"/>
        </w:trPr>
        <w:tc>
          <w:tcPr>
            <w:tcW w:w="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1000" w:type="dxa"/>
            <w:vAlign w:val="bottom"/>
            <w:shd w:val="clear" w:color="auto" w:fill="CCEEFF"/>
          </w:tcPr>
          <w:p>
            <w:pPr>
              <w:spacing w:after="0"/>
              <w:rPr>
                <w:sz w:val="19"/>
                <w:szCs w:val="19"/>
                <w:color w:val="auto"/>
              </w:rPr>
            </w:pPr>
          </w:p>
        </w:tc>
        <w:tc>
          <w:tcPr>
            <w:tcW w:w="3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119,260</w:t>
            </w:r>
          </w:p>
        </w:tc>
        <w:tc>
          <w:tcPr>
            <w:tcW w:w="4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73,654</w:t>
            </w:r>
          </w:p>
        </w:tc>
        <w:tc>
          <w:tcPr>
            <w:tcW w:w="60" w:type="dxa"/>
            <w:vAlign w:val="bottom"/>
            <w:shd w:val="clear" w:color="auto" w:fill="CCEEFF"/>
          </w:tcPr>
          <w:p>
            <w:pPr>
              <w:spacing w:after="0"/>
              <w:rPr>
                <w:sz w:val="19"/>
                <w:szCs w:val="19"/>
                <w:color w:val="auto"/>
              </w:rPr>
            </w:pPr>
          </w:p>
        </w:tc>
      </w:tr>
      <w:tr>
        <w:trPr>
          <w:trHeight w:val="209"/>
        </w:trPr>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7,803,093</w:t>
            </w:r>
          </w:p>
        </w:tc>
        <w:tc>
          <w:tcPr>
            <w:tcW w:w="2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7,256,031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w w:val="99"/>
              </w:rPr>
              <w:t>Deferred</w:t>
            </w:r>
          </w:p>
        </w:tc>
        <w:tc>
          <w:tcPr>
            <w:tcW w:w="10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6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1,391,114</w:t>
            </w:r>
          </w:p>
        </w:tc>
        <w:tc>
          <w:tcPr>
            <w:tcW w:w="4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876,424</w:t>
            </w:r>
          </w:p>
        </w:tc>
        <w:tc>
          <w:tcPr>
            <w:tcW w:w="60" w:type="dxa"/>
            <w:vAlign w:val="bottom"/>
            <w:shd w:val="clear" w:color="auto" w:fill="CCEEFF"/>
          </w:tcPr>
          <w:p>
            <w:pPr>
              <w:spacing w:after="0"/>
              <w:rPr>
                <w:sz w:val="18"/>
                <w:szCs w:val="18"/>
                <w:color w:val="auto"/>
              </w:rPr>
            </w:pPr>
          </w:p>
        </w:tc>
      </w:tr>
      <w:tr>
        <w:trPr>
          <w:trHeight w:val="230"/>
        </w:trPr>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100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63,067</w:t>
            </w:r>
          </w:p>
        </w:tc>
        <w:tc>
          <w:tcPr>
            <w:tcW w:w="48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122,273</w:t>
            </w:r>
          </w:p>
        </w:tc>
        <w:tc>
          <w:tcPr>
            <w:tcW w:w="60" w:type="dxa"/>
            <w:vAlign w:val="bottom"/>
          </w:tcPr>
          <w:p>
            <w:pPr>
              <w:spacing w:after="0"/>
              <w:rPr>
                <w:sz w:val="19"/>
                <w:szCs w:val="19"/>
                <w:color w:val="auto"/>
              </w:rPr>
            </w:pPr>
          </w:p>
        </w:tc>
      </w:tr>
      <w:tr>
        <w:trPr>
          <w:trHeight w:val="209"/>
        </w:trPr>
        <w:tc>
          <w:tcPr>
            <w:tcW w:w="6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39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1,454,181</w:t>
            </w:r>
          </w:p>
        </w:tc>
        <w:tc>
          <w:tcPr>
            <w:tcW w:w="2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998,697</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9,257,274</w:t>
            </w:r>
          </w:p>
        </w:tc>
        <w:tc>
          <w:tcPr>
            <w:tcW w:w="260" w:type="dxa"/>
            <w:vAlign w:val="bottom"/>
          </w:tcPr>
          <w:p>
            <w:pPr>
              <w:spacing w:after="0"/>
              <w:rPr>
                <w:sz w:val="19"/>
                <w:szCs w:val="19"/>
                <w:color w:val="auto"/>
              </w:rPr>
            </w:pPr>
          </w:p>
        </w:tc>
        <w:tc>
          <w:tcPr>
            <w:tcW w:w="4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8,254,728</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rate reconciliation between income tax expense (benefit) and the statutory expectations.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6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December 31, 2025</w:t>
            </w: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20" w:type="dxa"/>
            <w:vAlign w:val="bottom"/>
            <w:gridSpan w:val="4"/>
          </w:tcPr>
          <w:p>
            <w:pPr>
              <w:jc w:val="right"/>
              <w:ind w:right="97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23"/>
        </w:trPr>
        <w:tc>
          <w:tcPr>
            <w:tcW w:w="42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Amount</w:t>
            </w:r>
          </w:p>
        </w:tc>
        <w:tc>
          <w:tcPr>
            <w:tcW w:w="320" w:type="dxa"/>
            <w:vAlign w:val="bottom"/>
            <w:tcBorders>
              <w:top w:val="single" w:sz="8" w:color="auto"/>
              <w:bottom w:val="single" w:sz="8" w:color="CCEEFF"/>
            </w:tcBorders>
          </w:tcPr>
          <w:p>
            <w:pPr>
              <w:spacing w:after="0"/>
              <w:rPr>
                <w:sz w:val="19"/>
                <w:szCs w:val="19"/>
                <w:color w:val="auto"/>
              </w:rPr>
            </w:pPr>
          </w:p>
        </w:tc>
        <w:tc>
          <w:tcPr>
            <w:tcW w:w="106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Percent</w:t>
            </w:r>
          </w:p>
        </w:tc>
        <w:tc>
          <w:tcPr>
            <w:tcW w:w="380" w:type="dxa"/>
            <w:vAlign w:val="bottom"/>
            <w:tcBorders>
              <w:top w:val="single" w:sz="8" w:color="auto"/>
              <w:bottom w:val="single" w:sz="8" w:color="auto"/>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Amount</w:t>
            </w:r>
          </w:p>
        </w:tc>
        <w:tc>
          <w:tcPr>
            <w:tcW w:w="340" w:type="dxa"/>
            <w:vAlign w:val="bottom"/>
            <w:tcBorders>
              <w:top w:val="single" w:sz="8" w:color="auto"/>
              <w:bottom w:val="single" w:sz="8" w:color="CCEEFF"/>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Percent</w:t>
            </w:r>
          </w:p>
        </w:tc>
        <w:tc>
          <w:tcPr>
            <w:tcW w:w="160" w:type="dxa"/>
            <w:vAlign w:val="bottom"/>
            <w:tcBorders>
              <w:bottom w:val="single" w:sz="8" w:color="CCEEFF"/>
            </w:tcBorders>
          </w:tcPr>
          <w:p>
            <w:pPr>
              <w:spacing w:after="0"/>
              <w:rPr>
                <w:sz w:val="19"/>
                <w:szCs w:val="19"/>
                <w:color w:val="auto"/>
              </w:rPr>
            </w:pPr>
          </w:p>
        </w:tc>
      </w:tr>
      <w:tr>
        <w:trPr>
          <w:trHeight w:val="21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8,696,017</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7,848,518</w:t>
            </w:r>
          </w:p>
        </w:tc>
        <w:tc>
          <w:tcPr>
            <w:tcW w:w="3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198"/>
        </w:trPr>
        <w:tc>
          <w:tcPr>
            <w:tcW w:w="4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State and local tax expense, net of federal income tax</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effect (1)</w:t>
            </w:r>
          </w:p>
        </w:tc>
        <w:tc>
          <w:tcPr>
            <w:tcW w:w="260" w:type="dxa"/>
            <w:vAlign w:val="bottom"/>
          </w:tcPr>
          <w:p>
            <w:pPr>
              <w:spacing w:after="0"/>
              <w:rPr>
                <w:sz w:val="20"/>
                <w:szCs w:val="20"/>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144,038</w:t>
            </w:r>
          </w:p>
        </w:tc>
        <w:tc>
          <w:tcPr>
            <w:tcW w:w="1060" w:type="dxa"/>
            <w:vAlign w:val="bottom"/>
          </w:tcPr>
          <w:p>
            <w:pPr>
              <w:spacing w:after="0"/>
              <w:rPr>
                <w:sz w:val="20"/>
                <w:szCs w:val="20"/>
                <w:color w:val="auto"/>
              </w:rPr>
            </w:pPr>
          </w:p>
        </w:tc>
        <w:tc>
          <w:tcPr>
            <w:tcW w:w="7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c>
          <w:tcPr>
            <w:tcW w:w="260" w:type="dxa"/>
            <w:vAlign w:val="bottom"/>
          </w:tcPr>
          <w:p>
            <w:pPr>
              <w:spacing w:after="0"/>
              <w:rPr>
                <w:sz w:val="20"/>
                <w:szCs w:val="20"/>
                <w:color w:val="auto"/>
              </w:rPr>
            </w:pP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154,782</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392,641</w:t>
            </w:r>
          </w:p>
        </w:tc>
        <w:tc>
          <w:tcPr>
            <w:tcW w:w="10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0.9%</w:t>
            </w: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224,851</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9"/>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260" w:type="dxa"/>
            <w:vAlign w:val="bottom"/>
          </w:tcPr>
          <w:p>
            <w:pPr>
              <w:spacing w:after="0"/>
              <w:rPr>
                <w:sz w:val="19"/>
                <w:szCs w:val="19"/>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24,578</w:t>
            </w:r>
          </w:p>
        </w:tc>
        <w:tc>
          <w:tcPr>
            <w:tcW w:w="1060" w:type="dxa"/>
            <w:vAlign w:val="bottom"/>
          </w:tcPr>
          <w:p>
            <w:pPr>
              <w:spacing w:after="0"/>
              <w:rPr>
                <w:sz w:val="19"/>
                <w:szCs w:val="19"/>
                <w:color w:val="auto"/>
              </w:rPr>
            </w:pPr>
          </w:p>
        </w:tc>
        <w:tc>
          <w:tcPr>
            <w:tcW w:w="7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Pr>
          <w:p>
            <w:pPr>
              <w:spacing w:after="0"/>
              <w:rPr>
                <w:sz w:val="19"/>
                <w:szCs w:val="19"/>
                <w:color w:val="auto"/>
              </w:rPr>
            </w:pP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26,577</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9,257,274</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380" w:type="dxa"/>
            <w:vAlign w:val="bottom"/>
            <w:tcBorders>
              <w:top w:val="single" w:sz="8" w:color="CCEEFF"/>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3"/>
              </w:rPr>
              <w: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8,254,728</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4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State taxes in Texas and Utah made up the majority (greater than 50%) of the tax effect in this category.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overall effective tax rate for 2025 and 2024 was 22.4% and 22.1% respectively. The Company’s effective tax rates differ from the U.S. federal statutory rate of 21% partially due to its provision for state income taxes. The increase in the effective tax rate when compared to the prior year was partially due to an increase in non-deductible items.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had no significant unrecognized tax benefits. As of December 31, 2025, the Company does not expect any material changes to the estimated amount of unrecognized tax benefits in the next twelve months. Federal and state income tax returns for 2022 through 2025 are subject to examination by taxing authorities.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Operating Losses and Tax Credit Carryforwards: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 of Expiration</w:t>
            </w: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2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 up through 2037</w:t>
            </w:r>
          </w:p>
        </w:tc>
        <w:tc>
          <w:tcPr>
            <w:tcW w:w="4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568,300</w:t>
            </w:r>
          </w:p>
        </w:tc>
        <w:tc>
          <w:tcPr>
            <w:tcW w:w="20" w:type="dxa"/>
            <w:vAlign w:val="bottom"/>
          </w:tcPr>
          <w:p>
            <w:pPr>
              <w:spacing w:after="0"/>
              <w:rPr>
                <w:sz w:val="18"/>
                <w:szCs w:val="18"/>
                <w:color w:val="auto"/>
              </w:rPr>
            </w:pPr>
          </w:p>
        </w:tc>
      </w:tr>
      <w:tr>
        <w:trPr>
          <w:trHeight w:val="229"/>
        </w:trPr>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Indefinite carryforwards</w:t>
            </w:r>
          </w:p>
        </w:tc>
        <w:tc>
          <w:tcPr>
            <w:tcW w:w="48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568,300</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2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7" w:lineRule="exact"/>
        <w:rPr>
          <w:sz w:val="20"/>
          <w:szCs w:val="20"/>
          <w:color w:val="auto"/>
        </w:rPr>
      </w:pPr>
    </w:p>
    <w:p>
      <w:pPr>
        <w:ind w:left="660" w:hanging="652"/>
        <w:spacing w:after="0"/>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one class of preferred stock of $1.00 par value, 5,000,000 shares authorized, of which none are issued. The preferred stock is non-voting.</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two classes of common stock with shares outstanding, Class A common shares and Class C common shares. Class C shares have 10 votes per share on all matters except for the election of one third of the directors who are elected solely by the Class A shares. Class C shares are convertible into Class A shares at any time on a one-to-one ratio.</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Stockholders of both Class A and Class C Common Stock have received 5% stock dividends in the years 1990 through 2019, a 7.5% stock dividend in the year 2020, and a 5% stock dividend in the years 2021 through 2025, as authorized by the Company’s Board of Directors.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Class B common stock of $1.00 par value, 5,000,000 shares authorized, of which none are issued. Class B shares are non-voting stock except to any proposed amendment to the Articles of Incorporation which would affect Class B common stock.</w:t>
      </w:r>
    </w:p>
    <w:p>
      <w:pPr>
        <w:sectPr>
          <w:pgSz w:w="11900" w:h="16838" w:orient="portrait"/>
          <w:cols w:equalWidth="0" w:num="1">
            <w:col w:w="11240"/>
          </w:cols>
          <w:pgMar w:left="320" w:top="688" w:right="33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activity in shares of capital stock.</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shares at December 31, 2023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5700395" cy="1625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700395" cy="162560"/>
                    </a:xfrm>
                    <a:prstGeom prst="rect">
                      <a:avLst/>
                    </a:prstGeom>
                    <a:noFill/>
                  </pic:spPr>
                </pic:pic>
              </a:graphicData>
            </a:graphic>
          </wp:anchor>
        </w:drawing>
      </w:r>
    </w:p>
    <w:p>
      <w:pPr>
        <w:spacing w:after="0" w:line="2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5700395" cy="1371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Vesting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700395" cy="1454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Conversion of Class C to Class A</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shares at December 31, 2024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5700395" cy="1631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2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5700395" cy="1371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Vesting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700395" cy="1454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Conversion of Class C to Class A</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shares at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5700395" cy="1631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700395"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17830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Adjusted retroactively for the effect of annual stock dividends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spacing w:after="0" w:line="1" w:lineRule="exact"/>
        <w:rPr>
          <w:sz w:val="1"/>
          <w:szCs w:val="1"/>
          <w:color w:val="auto"/>
        </w:rPr>
      </w:pPr>
    </w:p>
    <w:tbl>
      <w:tblPr>
        <w:tblLayout w:type="fixed"/>
        <w:tblInd w:w="100" w:type="dxa"/>
        <w:tblCellMar>
          <w:top w:w="0" w:type="dxa"/>
          <w:left w:w="0" w:type="dxa"/>
          <w:bottom w:w="0" w:type="dxa"/>
          <w:right w:w="0" w:type="dxa"/>
        </w:tblCellMar>
      </w:tblPr>
      <w:tr>
        <w:trPr>
          <w:trHeight w:val="234"/>
        </w:trPr>
        <w:tc>
          <w:tcPr>
            <w:tcW w:w="1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Class A</w:t>
            </w:r>
          </w:p>
        </w:tc>
        <w:tc>
          <w:tcPr>
            <w:tcW w:w="156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Class C</w:t>
            </w:r>
          </w:p>
        </w:tc>
      </w:tr>
      <w:tr>
        <w:trPr>
          <w:trHeight w:val="223"/>
        </w:trPr>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22,119,436</w:t>
            </w:r>
          </w:p>
        </w:tc>
        <w:tc>
          <w:tcPr>
            <w:tcW w:w="26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3,291,273</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4"/>
        </w:trPr>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200,072</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201,667</w:t>
            </w:r>
          </w:p>
        </w:tc>
        <w:tc>
          <w:tcPr>
            <w:tcW w:w="40" w:type="dxa"/>
            <w:vAlign w:val="bottom"/>
          </w:tcPr>
          <w:p>
            <w:pPr>
              <w:spacing w:after="0"/>
              <w:rPr>
                <w:sz w:val="24"/>
                <w:szCs w:val="24"/>
                <w:color w:val="auto"/>
              </w:rPr>
            </w:pPr>
          </w:p>
        </w:tc>
      </w:tr>
      <w:tr>
        <w:trPr>
          <w:trHeight w:val="216"/>
        </w:trPr>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1,785</w:t>
            </w:r>
          </w:p>
        </w:tc>
        <w:tc>
          <w:tcPr>
            <w:tcW w:w="1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60" w:type="dxa"/>
            <w:vAlign w:val="bottom"/>
          </w:tcPr>
          <w:p>
            <w:pPr>
              <w:spacing w:after="0"/>
              <w:rPr>
                <w:sz w:val="21"/>
                <w:szCs w:val="21"/>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453"/>
        </w:trPr>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22,321,559</w:t>
            </w:r>
          </w:p>
        </w:tc>
        <w:tc>
          <w:tcPr>
            <w:tcW w:w="260" w:type="dxa"/>
            <w:vAlign w:val="bottom"/>
          </w:tcPr>
          <w:p>
            <w:pPr>
              <w:spacing w:after="0"/>
              <w:rPr>
                <w:sz w:val="24"/>
                <w:szCs w:val="24"/>
                <w:color w:val="auto"/>
              </w:rPr>
            </w:pPr>
          </w:p>
        </w:tc>
        <w:tc>
          <w:tcPr>
            <w:tcW w:w="15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3,492,674</w:t>
            </w:r>
          </w:p>
        </w:tc>
        <w:tc>
          <w:tcPr>
            <w:tcW w:w="40" w:type="dxa"/>
            <w:vAlign w:val="bottom"/>
          </w:tcPr>
          <w:p>
            <w:pPr>
              <w:spacing w:after="0"/>
              <w:rPr>
                <w:sz w:val="24"/>
                <w:szCs w:val="24"/>
                <w:color w:val="auto"/>
              </w:rPr>
            </w:pPr>
          </w:p>
        </w:tc>
      </w:tr>
      <w:tr>
        <w:trPr>
          <w:trHeight w:val="20"/>
        </w:trPr>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4"/>
        </w:trPr>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96,566</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95,337</w:t>
            </w:r>
          </w:p>
        </w:tc>
        <w:tc>
          <w:tcPr>
            <w:tcW w:w="40" w:type="dxa"/>
            <w:vAlign w:val="bottom"/>
          </w:tcPr>
          <w:p>
            <w:pPr>
              <w:spacing w:after="0"/>
              <w:rPr>
                <w:sz w:val="24"/>
                <w:szCs w:val="24"/>
                <w:color w:val="auto"/>
              </w:rPr>
            </w:pPr>
          </w:p>
        </w:tc>
      </w:tr>
      <w:tr>
        <w:trPr>
          <w:trHeight w:val="216"/>
        </w:trPr>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9,726</w:t>
            </w:r>
          </w:p>
        </w:tc>
        <w:tc>
          <w:tcPr>
            <w:tcW w:w="1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260" w:type="dxa"/>
            <w:vAlign w:val="bottom"/>
          </w:tcPr>
          <w:p>
            <w:pPr>
              <w:spacing w:after="0"/>
              <w:rPr>
                <w:sz w:val="21"/>
                <w:szCs w:val="21"/>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(774)</w:t>
            </w:r>
          </w:p>
        </w:tc>
      </w:tr>
      <w:tr>
        <w:trPr>
          <w:trHeight w:val="453"/>
        </w:trPr>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22,428,625</w:t>
            </w:r>
          </w:p>
        </w:tc>
        <w:tc>
          <w:tcPr>
            <w:tcW w:w="260" w:type="dxa"/>
            <w:vAlign w:val="bottom"/>
          </w:tcPr>
          <w:p>
            <w:pPr>
              <w:spacing w:after="0"/>
              <w:rPr>
                <w:sz w:val="24"/>
                <w:szCs w:val="24"/>
                <w:color w:val="auto"/>
              </w:rPr>
            </w:pPr>
          </w:p>
        </w:tc>
        <w:tc>
          <w:tcPr>
            <w:tcW w:w="15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3,587,237</w:t>
            </w:r>
          </w:p>
        </w:tc>
        <w:tc>
          <w:tcPr>
            <w:tcW w:w="40" w:type="dxa"/>
            <w:vAlign w:val="bottom"/>
          </w:tcPr>
          <w:p>
            <w:pPr>
              <w:spacing w:after="0"/>
              <w:rPr>
                <w:sz w:val="24"/>
                <w:szCs w:val="24"/>
                <w:color w:val="auto"/>
              </w:rPr>
            </w:pPr>
          </w:p>
        </w:tc>
      </w:tr>
      <w:tr>
        <w:trPr>
          <w:trHeight w:val="20"/>
        </w:trPr>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26035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5040" w:space="460"/>
            <w:col w:w="5740"/>
          </w:cols>
          <w:pgMar w:left="320" w:top="688" w:right="339" w:bottom="1440" w:gutter="0" w:footer="0" w:header="0"/>
          <w:type w:val="continuous"/>
        </w:sectPr>
      </w:pPr>
    </w:p>
    <w:bookmarkStart w:id="115" w:name="page116"/>
    <w:bookmarkEnd w:id="115"/>
    <w:p>
      <w:pPr>
        <w:jc w:val="center"/>
        <w:ind w:right="-1100"/>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7" w:lineRule="exact"/>
        <w:rPr>
          <w:sz w:val="20"/>
          <w:szCs w:val="20"/>
          <w:color w:val="auto"/>
        </w:rPr>
      </w:pPr>
    </w:p>
    <w:p>
      <w:pPr>
        <w:ind w:left="660" w:hanging="652"/>
        <w:spacing w:after="0"/>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 regarding the adoption of ASU 2018-12.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changes in accumulated other comprehensive income (loss):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December 31</w:t>
            </w: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6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Pr>
          <w:p>
            <w:pPr>
              <w:spacing w:after="0"/>
              <w:rPr>
                <w:sz w:val="19"/>
                <w:szCs w:val="19"/>
                <w:color w:val="auto"/>
              </w:rPr>
            </w:pPr>
          </w:p>
        </w:tc>
      </w:tr>
      <w:tr>
        <w:trPr>
          <w:trHeight w:val="210"/>
        </w:trPr>
        <w:tc>
          <w:tcPr>
            <w:tcW w:w="5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gains on fixed maturity securities available for sale</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10,258,631</w:t>
            </w:r>
          </w:p>
        </w:tc>
        <w:tc>
          <w:tcPr>
            <w:tcW w:w="46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145,520</w:t>
            </w:r>
          </w:p>
        </w:tc>
      </w:tr>
      <w:tr>
        <w:trPr>
          <w:trHeight w:val="229"/>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Amounts reclassified into net earnings</w:t>
            </w:r>
          </w:p>
        </w:tc>
        <w:tc>
          <w:tcPr>
            <w:tcW w:w="340" w:type="dxa"/>
            <w:vAlign w:val="bottom"/>
          </w:tcPr>
          <w:p>
            <w:pPr>
              <w:spacing w:after="0"/>
              <w:rPr>
                <w:sz w:val="19"/>
                <w:szCs w:val="19"/>
                <w:color w:val="auto"/>
              </w:rPr>
            </w:pPr>
          </w:p>
        </w:tc>
        <w:tc>
          <w:tcPr>
            <w:tcW w:w="14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(257,606)</w:t>
            </w:r>
          </w:p>
        </w:tc>
        <w:tc>
          <w:tcPr>
            <w:tcW w:w="46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(156,562)</w:t>
            </w:r>
          </w:p>
        </w:tc>
      </w:tr>
      <w:tr>
        <w:trPr>
          <w:trHeight w:val="210"/>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unrealized gains (losses) before taxes</w:t>
            </w: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10,001,025</w:t>
            </w:r>
          </w:p>
        </w:tc>
        <w:tc>
          <w:tcPr>
            <w:tcW w:w="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(11,042)</w:t>
            </w: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Tax expense</w:t>
            </w:r>
          </w:p>
        </w:tc>
        <w:tc>
          <w:tcPr>
            <w:tcW w:w="340" w:type="dxa"/>
            <w:vAlign w:val="bottom"/>
          </w:tcPr>
          <w:p>
            <w:pPr>
              <w:spacing w:after="0"/>
              <w:rPr>
                <w:sz w:val="19"/>
                <w:szCs w:val="19"/>
                <w:color w:val="auto"/>
              </w:rPr>
            </w:pPr>
          </w:p>
        </w:tc>
        <w:tc>
          <w:tcPr>
            <w:tcW w:w="14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(2,101,090)</w:t>
            </w:r>
          </w:p>
        </w:tc>
        <w:tc>
          <w:tcPr>
            <w:tcW w:w="46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(377)</w:t>
            </w:r>
          </w:p>
        </w:tc>
      </w:tr>
      <w:tr>
        <w:trPr>
          <w:trHeight w:val="209"/>
        </w:trPr>
        <w:tc>
          <w:tcPr>
            <w:tcW w:w="56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7,899,935</w:t>
            </w:r>
          </w:p>
        </w:tc>
        <w:tc>
          <w:tcPr>
            <w:tcW w:w="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(11,419</w:t>
            </w: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gains on restricted assets (1)</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6,386</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80" w:type="dxa"/>
            <w:vAlign w:val="bottom"/>
          </w:tcPr>
          <w:p>
            <w:pPr>
              <w:spacing w:after="0"/>
              <w:rPr>
                <w:sz w:val="18"/>
                <w:szCs w:val="18"/>
                <w:color w:val="auto"/>
              </w:rPr>
            </w:pPr>
          </w:p>
        </w:tc>
      </w:tr>
      <w:tr>
        <w:trPr>
          <w:trHeight w:val="22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expense</w:t>
            </w:r>
          </w:p>
        </w:tc>
        <w:tc>
          <w:tcPr>
            <w:tcW w:w="3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(1,591)</w:t>
            </w:r>
          </w:p>
        </w:tc>
        <w:tc>
          <w:tcPr>
            <w:tcW w:w="4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10"/>
        </w:trPr>
        <w:tc>
          <w:tcPr>
            <w:tcW w:w="5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w:t>
            </w: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4,795</w:t>
            </w:r>
          </w:p>
        </w:tc>
        <w:tc>
          <w:tcPr>
            <w:tcW w:w="26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80" w:type="dxa"/>
            <w:vAlign w:val="bottom"/>
            <w:tcBorders>
              <w:bottom w:val="single" w:sz="8" w:color="CCEEFF"/>
            </w:tcBorders>
          </w:tcPr>
          <w:p>
            <w:pPr>
              <w:spacing w:after="0"/>
              <w:rPr>
                <w:sz w:val="18"/>
                <w:szCs w:val="18"/>
                <w:color w:val="auto"/>
              </w:rPr>
            </w:pPr>
          </w:p>
        </w:tc>
      </w:tr>
      <w:tr>
        <w:trPr>
          <w:trHeight w:val="20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gains (losses) on cemetery perpetual care trust investments (1)</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4,811</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80" w:type="dxa"/>
            <w:vAlign w:val="bottom"/>
            <w:shd w:val="clear" w:color="auto" w:fill="CCEEFF"/>
          </w:tcPr>
          <w:p>
            <w:pPr>
              <w:spacing w:after="0"/>
              <w:rPr>
                <w:sz w:val="18"/>
                <w:szCs w:val="18"/>
                <w:color w:val="auto"/>
              </w:rPr>
            </w:pPr>
          </w:p>
        </w:tc>
      </w:tr>
      <w:tr>
        <w:trPr>
          <w:trHeight w:val="229"/>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Tax benefit (expense)</w:t>
            </w:r>
          </w:p>
        </w:tc>
        <w:tc>
          <w:tcPr>
            <w:tcW w:w="340" w:type="dxa"/>
            <w:vAlign w:val="bottom"/>
          </w:tcPr>
          <w:p>
            <w:pPr>
              <w:spacing w:after="0"/>
              <w:rPr>
                <w:sz w:val="19"/>
                <w:szCs w:val="19"/>
                <w:color w:val="auto"/>
              </w:rPr>
            </w:pPr>
          </w:p>
        </w:tc>
        <w:tc>
          <w:tcPr>
            <w:tcW w:w="14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(1,199)</w:t>
            </w:r>
          </w:p>
        </w:tc>
        <w:tc>
          <w:tcPr>
            <w:tcW w:w="460" w:type="dxa"/>
            <w:vAlign w:val="bottom"/>
          </w:tcPr>
          <w:p>
            <w:pPr>
              <w:spacing w:after="0"/>
              <w:rPr>
                <w:sz w:val="19"/>
                <w:szCs w:val="19"/>
                <w:color w:val="auto"/>
              </w:rPr>
            </w:pP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350</w:t>
            </w:r>
          </w:p>
        </w:tc>
      </w:tr>
      <w:tr>
        <w:trPr>
          <w:trHeight w:val="210"/>
        </w:trPr>
        <w:tc>
          <w:tcPr>
            <w:tcW w:w="56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3,612</w:t>
            </w:r>
          </w:p>
        </w:tc>
        <w:tc>
          <w:tcPr>
            <w:tcW w:w="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remeasurement of future policy benefits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(16,285,885)</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44,966,236</w:t>
            </w:r>
          </w:p>
        </w:tc>
        <w:tc>
          <w:tcPr>
            <w:tcW w:w="80" w:type="dxa"/>
            <w:vAlign w:val="bottom"/>
          </w:tcPr>
          <w:p>
            <w:pPr>
              <w:spacing w:after="0"/>
              <w:rPr>
                <w:sz w:val="18"/>
                <w:szCs w:val="18"/>
                <w:color w:val="auto"/>
              </w:rPr>
            </w:pPr>
          </w:p>
        </w:tc>
      </w:tr>
      <w:tr>
        <w:trPr>
          <w:trHeight w:val="23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benefit (expense)</w:t>
            </w:r>
          </w:p>
        </w:tc>
        <w:tc>
          <w:tcPr>
            <w:tcW w:w="3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3,420,037</w:t>
            </w:r>
          </w:p>
        </w:tc>
        <w:tc>
          <w:tcPr>
            <w:tcW w:w="4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(9,442,910)</w:t>
            </w:r>
          </w:p>
        </w:tc>
      </w:tr>
      <w:tr>
        <w:trPr>
          <w:trHeight w:val="210"/>
        </w:trPr>
        <w:tc>
          <w:tcPr>
            <w:tcW w:w="5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w:t>
            </w: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(12,865,848</w:t>
            </w:r>
          </w:p>
        </w:tc>
        <w:tc>
          <w:tcPr>
            <w:tcW w:w="260" w:type="dxa"/>
            <w:vAlign w:val="bottom"/>
            <w:tcBorders>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35,523,326</w:t>
            </w:r>
          </w:p>
        </w:tc>
        <w:tc>
          <w:tcPr>
            <w:tcW w:w="80" w:type="dxa"/>
            <w:vAlign w:val="bottom"/>
            <w:tcBorders>
              <w:bottom w:val="single" w:sz="8" w:color="CCEEFF"/>
            </w:tcBorders>
          </w:tcPr>
          <w:p>
            <w:pPr>
              <w:spacing w:after="0"/>
              <w:rPr>
                <w:sz w:val="18"/>
                <w:szCs w:val="18"/>
                <w:color w:val="auto"/>
              </w:rPr>
            </w:pPr>
          </w:p>
        </w:tc>
      </w:tr>
      <w:tr>
        <w:trPr>
          <w:trHeight w:val="22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changes</w:t>
            </w: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(4,957,506</w:t>
            </w:r>
          </w:p>
        </w:tc>
        <w:tc>
          <w:tcPr>
            <w:tcW w:w="2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35,511,485</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Fixed maturity securities available for sale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the accumulated balances of other comprehensive income (loss) as of December 31,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Beginning</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Ending</w:t>
            </w:r>
          </w:p>
        </w:tc>
      </w:tr>
      <w:tr>
        <w:trPr>
          <w:trHeight w:val="216"/>
        </w:trPr>
        <w:tc>
          <w:tcPr>
            <w:tcW w:w="4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Balance</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Balance</w:t>
            </w:r>
          </w:p>
        </w:tc>
      </w:tr>
      <w:tr>
        <w:trPr>
          <w:trHeight w:val="216"/>
        </w:trPr>
        <w:tc>
          <w:tcPr>
            <w:tcW w:w="4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December</w:t>
            </w:r>
          </w:p>
        </w:tc>
        <w:tc>
          <w:tcPr>
            <w:tcW w:w="140" w:type="dxa"/>
            <w:vAlign w:val="bottom"/>
          </w:tcPr>
          <w:p>
            <w:pPr>
              <w:spacing w:after="0"/>
              <w:rPr>
                <w:sz w:val="18"/>
                <w:szCs w:val="18"/>
                <w:color w:val="auto"/>
              </w:rPr>
            </w:pPr>
          </w:p>
        </w:tc>
        <w:tc>
          <w:tcPr>
            <w:tcW w:w="11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Change for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December</w:t>
            </w:r>
          </w:p>
        </w:tc>
      </w:tr>
      <w:tr>
        <w:trPr>
          <w:trHeight w:val="234"/>
        </w:trPr>
        <w:tc>
          <w:tcPr>
            <w:tcW w:w="4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31, 2024</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the period</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31, 2025</w:t>
            </w:r>
          </w:p>
        </w:tc>
        <w:tc>
          <w:tcPr>
            <w:tcW w:w="80" w:type="dxa"/>
            <w:vAlign w:val="bottom"/>
          </w:tcPr>
          <w:p>
            <w:pPr>
              <w:spacing w:after="0"/>
              <w:rPr>
                <w:sz w:val="20"/>
                <w:szCs w:val="20"/>
                <w:color w:val="auto"/>
              </w:rPr>
            </w:pPr>
          </w:p>
        </w:tc>
      </w:tr>
      <w:tr>
        <w:trPr>
          <w:trHeight w:val="178"/>
        </w:trPr>
        <w:tc>
          <w:tcPr>
            <w:tcW w:w="486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Unrealized gains (losses) on fixed maturity securities available</w:t>
            </w:r>
          </w:p>
        </w:tc>
        <w:tc>
          <w:tcPr>
            <w:tcW w:w="16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34"/>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sale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(7,147,384)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7,899,935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752,551</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gains (losses) on restricted assets (1)</w:t>
            </w:r>
          </w:p>
        </w:tc>
        <w:tc>
          <w:tcPr>
            <w:tcW w:w="16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(4,126)</w:t>
            </w:r>
          </w:p>
        </w:tc>
        <w:tc>
          <w:tcPr>
            <w:tcW w:w="14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4,795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669</w:t>
            </w:r>
          </w:p>
        </w:tc>
      </w:tr>
      <w:tr>
        <w:trPr>
          <w:trHeight w:val="198"/>
        </w:trPr>
        <w:tc>
          <w:tcPr>
            <w:tcW w:w="4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Unrealized  gains  (losses)  on  cemetery  perpetual  care  trust</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(1)</w:t>
            </w:r>
          </w:p>
        </w:tc>
        <w:tc>
          <w:tcPr>
            <w:tcW w:w="1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(5,225)</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3,612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(1,613)</w:t>
            </w:r>
          </w:p>
        </w:tc>
      </w:tr>
      <w:tr>
        <w:trPr>
          <w:trHeight w:val="230"/>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remeasurement of future policy benefits</w:t>
            </w:r>
          </w:p>
        </w:tc>
        <w:tc>
          <w:tcPr>
            <w:tcW w:w="16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40,876,364</w:t>
            </w:r>
          </w:p>
        </w:tc>
        <w:tc>
          <w:tcPr>
            <w:tcW w:w="140" w:type="dxa"/>
            <w:vAlign w:val="bottom"/>
          </w:tcPr>
          <w:p>
            <w:pPr>
              <w:spacing w:after="0"/>
              <w:rPr>
                <w:sz w:val="19"/>
                <w:szCs w:val="19"/>
                <w:color w:val="auto"/>
              </w:rPr>
            </w:pPr>
          </w:p>
        </w:tc>
        <w:tc>
          <w:tcPr>
            <w:tcW w:w="11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(12,865,848)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28,010,516</w:t>
            </w:r>
          </w:p>
        </w:tc>
      </w:tr>
      <w:tr>
        <w:trPr>
          <w:trHeight w:val="223"/>
        </w:trPr>
        <w:tc>
          <w:tcPr>
            <w:tcW w:w="4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33,719,629</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(4,957,506</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28,762,123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Fixed maturity securities available for sale</w:t>
      </w:r>
    </w:p>
    <w:p>
      <w:pPr>
        <w:spacing w:after="0" w:line="2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7" w:lineRule="exact"/>
        <w:rPr>
          <w:sz w:val="20"/>
          <w:szCs w:val="20"/>
          <w:color w:val="auto"/>
        </w:rPr>
      </w:pPr>
    </w:p>
    <w:p>
      <w:pPr>
        <w:ind w:left="660" w:hanging="652"/>
        <w:spacing w:after="0"/>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the accumulated balances of other comprehensive income (loss) as of December 31,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341"/>
              <w:spacing w:after="0"/>
              <w:rPr>
                <w:sz w:val="20"/>
                <w:szCs w:val="20"/>
                <w:color w:val="auto"/>
              </w:rPr>
            </w:pPr>
            <w:r>
              <w:rPr>
                <w:rFonts w:ascii="Times New Roman" w:cs="Times New Roman" w:eastAsia="Times New Roman" w:hAnsi="Times New Roman"/>
                <w:sz w:val="18"/>
                <w:szCs w:val="18"/>
                <w:color w:val="auto"/>
              </w:rPr>
              <w:t>Beginning</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Ending</w:t>
            </w:r>
          </w:p>
        </w:tc>
      </w:tr>
      <w:tr>
        <w:trPr>
          <w:trHeight w:val="216"/>
        </w:trPr>
        <w:tc>
          <w:tcPr>
            <w:tcW w:w="6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321"/>
              <w:spacing w:after="0"/>
              <w:rPr>
                <w:sz w:val="20"/>
                <w:szCs w:val="20"/>
                <w:color w:val="auto"/>
              </w:rPr>
            </w:pPr>
            <w:r>
              <w:rPr>
                <w:rFonts w:ascii="Times New Roman" w:cs="Times New Roman" w:eastAsia="Times New Roman" w:hAnsi="Times New Roman"/>
                <w:sz w:val="18"/>
                <w:szCs w:val="18"/>
                <w:color w:val="auto"/>
                <w:w w:val="99"/>
              </w:rPr>
              <w:t>Balance</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Balance</w:t>
            </w:r>
          </w:p>
        </w:tc>
      </w:tr>
      <w:tr>
        <w:trPr>
          <w:trHeight w:val="216"/>
        </w:trPr>
        <w:tc>
          <w:tcPr>
            <w:tcW w:w="6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321"/>
              <w:spacing w:after="0"/>
              <w:rPr>
                <w:sz w:val="20"/>
                <w:szCs w:val="20"/>
                <w:color w:val="auto"/>
              </w:rPr>
            </w:pPr>
            <w:r>
              <w:rPr>
                <w:rFonts w:ascii="Times New Roman" w:cs="Times New Roman" w:eastAsia="Times New Roman" w:hAnsi="Times New Roman"/>
                <w:sz w:val="18"/>
                <w:szCs w:val="18"/>
                <w:color w:val="auto"/>
                <w:w w:val="99"/>
              </w:rPr>
              <w:t>January 1,</w:t>
            </w:r>
          </w:p>
        </w:tc>
        <w:tc>
          <w:tcPr>
            <w:tcW w:w="14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Change for</w:t>
            </w:r>
          </w:p>
        </w:tc>
        <w:tc>
          <w:tcPr>
            <w:tcW w:w="100" w:type="dxa"/>
            <w:vAlign w:val="bottom"/>
          </w:tcPr>
          <w:p>
            <w:pPr>
              <w:spacing w:after="0"/>
              <w:rPr>
                <w:sz w:val="18"/>
                <w:szCs w:val="18"/>
                <w:color w:val="auto"/>
              </w:rPr>
            </w:pP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34"/>
        </w:trPr>
        <w:tc>
          <w:tcPr>
            <w:tcW w:w="6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2024</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the period</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2024</w:t>
            </w:r>
          </w:p>
        </w:tc>
        <w:tc>
          <w:tcPr>
            <w:tcW w:w="80" w:type="dxa"/>
            <w:vAlign w:val="bottom"/>
          </w:tcPr>
          <w:p>
            <w:pPr>
              <w:spacing w:after="0"/>
              <w:rPr>
                <w:sz w:val="20"/>
                <w:szCs w:val="20"/>
                <w:color w:val="auto"/>
              </w:rPr>
            </w:pPr>
          </w:p>
        </w:tc>
      </w:tr>
      <w:tr>
        <w:trPr>
          <w:trHeight w:val="178"/>
        </w:trPr>
        <w:tc>
          <w:tcPr>
            <w:tcW w:w="4860" w:type="dxa"/>
            <w:vAlign w:val="bottom"/>
            <w:tcBorders>
              <w:top w:val="single" w:sz="8" w:color="CCEEFF"/>
            </w:tcBorders>
            <w:gridSpan w:val="4"/>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Unrealized gains (losses) on fixed maturity securities available</w:t>
            </w:r>
          </w:p>
        </w:tc>
        <w:tc>
          <w:tcPr>
            <w:tcW w:w="16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34"/>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sale</w:t>
            </w:r>
          </w:p>
        </w:tc>
        <w:tc>
          <w:tcPr>
            <w:tcW w:w="13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(7,135,965)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(11,419)</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(7,147,384)</w:t>
            </w:r>
          </w:p>
        </w:tc>
      </w:tr>
      <w:tr>
        <w:trPr>
          <w:trHeight w:val="216"/>
        </w:trPr>
        <w:tc>
          <w:tcPr>
            <w:tcW w:w="4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Unrealized gains (losses) on restricted assets (1)</w:t>
            </w:r>
          </w:p>
        </w:tc>
        <w:tc>
          <w:tcPr>
            <w:tcW w:w="160" w:type="dxa"/>
            <w:vAlign w:val="bottom"/>
          </w:tcPr>
          <w:p>
            <w:pPr>
              <w:spacing w:after="0"/>
              <w:rPr>
                <w:sz w:val="18"/>
                <w:szCs w:val="18"/>
                <w:color w:val="auto"/>
              </w:rPr>
            </w:pPr>
          </w:p>
        </w:tc>
        <w:tc>
          <w:tcPr>
            <w:tcW w:w="13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(4,757)</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(4,126)</w:t>
            </w:r>
          </w:p>
        </w:tc>
      </w:tr>
      <w:tr>
        <w:trPr>
          <w:trHeight w:val="198"/>
        </w:trPr>
        <w:tc>
          <w:tcPr>
            <w:tcW w:w="486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Unrealized  gains  (losses)  on  cemetery  perpetual  care  trust</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48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(1)</w:t>
            </w:r>
          </w:p>
        </w:tc>
        <w:tc>
          <w:tcPr>
            <w:tcW w:w="1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(4,172)</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(5,225)</w:t>
            </w:r>
          </w:p>
        </w:tc>
      </w:tr>
      <w:tr>
        <w:trPr>
          <w:trHeight w:val="230"/>
        </w:trPr>
        <w:tc>
          <w:tcPr>
            <w:tcW w:w="4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Interest rate remeasurement of future policy benefits</w:t>
            </w:r>
          </w:p>
        </w:tc>
        <w:tc>
          <w:tcPr>
            <w:tcW w:w="160" w:type="dxa"/>
            <w:vAlign w:val="bottom"/>
          </w:tcPr>
          <w:p>
            <w:pPr>
              <w:spacing w:after="0"/>
              <w:rPr>
                <w:sz w:val="19"/>
                <w:szCs w:val="19"/>
                <w:color w:val="auto"/>
              </w:rPr>
            </w:pPr>
          </w:p>
        </w:tc>
        <w:tc>
          <w:tcPr>
            <w:tcW w:w="13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5,353,038</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35,523,326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40,876,364</w:t>
            </w:r>
          </w:p>
        </w:tc>
      </w:tr>
      <w:tr>
        <w:trPr>
          <w:trHeight w:val="223"/>
        </w:trPr>
        <w:tc>
          <w:tcPr>
            <w:tcW w:w="486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(1,791,856</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35,511,485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33,719,629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0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2040" w:type="dxa"/>
            <w:vAlign w:val="bottom"/>
            <w:gridSpan w:val="2"/>
          </w:tcPr>
          <w:p>
            <w:pPr>
              <w:spacing w:after="0"/>
              <w:rPr>
                <w:sz w:val="17"/>
                <w:szCs w:val="17"/>
                <w:color w:val="auto"/>
              </w:rPr>
            </w:pPr>
          </w:p>
        </w:tc>
        <w:tc>
          <w:tcPr>
            <w:tcW w:w="282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8"/>
        </w:trPr>
        <w:tc>
          <w:tcPr>
            <w:tcW w:w="28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(1) Fixed maturity securities available</w:t>
            </w:r>
          </w:p>
        </w:tc>
        <w:tc>
          <w:tcPr>
            <w:tcW w:w="2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 sale</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387"/>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19)</w:t>
            </w:r>
          </w:p>
        </w:tc>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Earnings Per Share</w:t>
            </w:r>
          </w:p>
        </w:tc>
        <w:tc>
          <w:tcPr>
            <w:tcW w:w="282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Earnings per share have been retroactively adjusted for the effect of annual stock dividends. In accordance with GAAP, the basic and diluted earnings per share were calculated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40" w:type="dxa"/>
            <w:vAlign w:val="bottom"/>
            <w:gridSpan w:val="5"/>
          </w:tcPr>
          <w:p>
            <w:pPr>
              <w:jc w:val="right"/>
              <w:ind w:right="740"/>
              <w:spacing w:after="0"/>
              <w:rPr>
                <w:sz w:val="20"/>
                <w:szCs w:val="20"/>
                <w:color w:val="auto"/>
              </w:rPr>
            </w:pPr>
            <w:r>
              <w:rPr>
                <w:rFonts w:ascii="Times New Roman" w:cs="Times New Roman" w:eastAsia="Times New Roman" w:hAnsi="Times New Roman"/>
                <w:sz w:val="18"/>
                <w:szCs w:val="18"/>
                <w:color w:val="auto"/>
              </w:rPr>
              <w:t>Years Ended December 31,</w:t>
            </w:r>
          </w:p>
        </w:tc>
      </w:tr>
      <w:tr>
        <w:trPr>
          <w:trHeight w:val="223"/>
        </w:trPr>
        <w:tc>
          <w:tcPr>
            <w:tcW w:w="56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CCEEFF"/>
            </w:tcBorders>
          </w:tcPr>
          <w:p>
            <w:pPr>
              <w:spacing w:after="0"/>
              <w:rPr>
                <w:sz w:val="19"/>
                <w:szCs w:val="19"/>
                <w:color w:val="auto"/>
              </w:rPr>
            </w:pPr>
          </w:p>
        </w:tc>
      </w:tr>
      <w:tr>
        <w:trPr>
          <w:trHeight w:val="21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8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earnings</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32,152,330</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29,119,165</w:t>
            </w:r>
          </w:p>
        </w:tc>
      </w:tr>
      <w:tr>
        <w:trPr>
          <w:trHeight w:val="197"/>
        </w:trPr>
        <w:tc>
          <w:tcPr>
            <w:tcW w:w="56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Denominator for basic earnings per share-weighted-average shares</w:t>
            </w:r>
          </w:p>
        </w:tc>
        <w:tc>
          <w:tcPr>
            <w:tcW w:w="3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24,727,498</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24,492,597</w:t>
            </w:r>
          </w:p>
        </w:tc>
      </w:tr>
      <w:tr>
        <w:trPr>
          <w:trHeight w:val="210"/>
        </w:trPr>
        <w:tc>
          <w:tcPr>
            <w:tcW w:w="56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stock options</w:t>
            </w:r>
          </w:p>
        </w:tc>
        <w:tc>
          <w:tcPr>
            <w:tcW w:w="34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756,696</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693,877</w:t>
            </w:r>
          </w:p>
        </w:tc>
      </w:tr>
      <w:tr>
        <w:trPr>
          <w:trHeight w:val="230"/>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3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118</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w:t>
            </w:r>
          </w:p>
        </w:tc>
      </w:tr>
      <w:tr>
        <w:trPr>
          <w:trHeight w:val="210"/>
        </w:trPr>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Dilutive potential common shares</w:t>
            </w: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756,814</w:t>
            </w:r>
          </w:p>
        </w:tc>
        <w:tc>
          <w:tcPr>
            <w:tcW w:w="26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693,908</w:t>
            </w:r>
          </w:p>
        </w:tc>
        <w:tc>
          <w:tcPr>
            <w:tcW w:w="80" w:type="dxa"/>
            <w:vAlign w:val="bottom"/>
            <w:tcBorders>
              <w:bottom w:val="single" w:sz="8" w:color="CCEEFF"/>
            </w:tcBorders>
          </w:tcPr>
          <w:p>
            <w:pPr>
              <w:spacing w:after="0"/>
              <w:rPr>
                <w:sz w:val="18"/>
                <w:szCs w:val="18"/>
                <w:color w:val="auto"/>
              </w:rPr>
            </w:pPr>
          </w:p>
        </w:tc>
      </w:tr>
      <w:tr>
        <w:trPr>
          <w:trHeight w:val="210"/>
        </w:trPr>
        <w:tc>
          <w:tcPr>
            <w:tcW w:w="5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56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Denominator for diluted earnings per share-adjusted weighted-average</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01"/>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and assumed conversions</w:t>
            </w:r>
          </w:p>
        </w:tc>
        <w:tc>
          <w:tcPr>
            <w:tcW w:w="340" w:type="dxa"/>
            <w:vAlign w:val="bottom"/>
          </w:tcPr>
          <w:p>
            <w:pPr>
              <w:spacing w:after="0"/>
              <w:rPr>
                <w:sz w:val="24"/>
                <w:szCs w:val="24"/>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25,484,312</w:t>
            </w:r>
          </w:p>
        </w:tc>
        <w:tc>
          <w:tcPr>
            <w:tcW w:w="340" w:type="dxa"/>
            <w:vAlign w:val="bottom"/>
          </w:tcPr>
          <w:p>
            <w:pPr>
              <w:spacing w:after="0"/>
              <w:rPr>
                <w:sz w:val="24"/>
                <w:szCs w:val="24"/>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25,186,505</w:t>
            </w:r>
          </w:p>
        </w:tc>
      </w:tr>
      <w:tr>
        <w:trPr>
          <w:trHeight w:val="197"/>
        </w:trPr>
        <w:tc>
          <w:tcPr>
            <w:tcW w:w="56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8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1.30</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1.19</w:t>
            </w:r>
          </w:p>
        </w:tc>
      </w:tr>
      <w:tr>
        <w:trPr>
          <w:trHeight w:val="197"/>
        </w:trPr>
        <w:tc>
          <w:tcPr>
            <w:tcW w:w="5600" w:type="dxa"/>
            <w:vAlign w:val="bottom"/>
            <w:tcBorders>
              <w:top w:val="single" w:sz="8" w:color="CCEEFF"/>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Diluted earnings per share</w:t>
            </w:r>
          </w:p>
        </w:tc>
        <w:tc>
          <w:tcPr>
            <w:tcW w:w="3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1.26</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5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2025 and 2024, there were 435,485 and 363,700 of anti-dilutive employee stock option shares, respectively, that were not included in the computation of diluted net earnings per common share as their effect would be anti-dilutive. Basic and diluted earnings per share are the same for each class of common stock.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7" w:lineRule="exact"/>
        <w:rPr>
          <w:sz w:val="20"/>
          <w:szCs w:val="20"/>
          <w:color w:val="auto"/>
        </w:rPr>
      </w:pPr>
    </w:p>
    <w:p>
      <w:pPr>
        <w:ind w:left="660" w:hanging="652"/>
        <w:spacing w:after="0"/>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Business Segment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Products and Services by Segment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identified three operating and reportable business segments: life insurance, cemetery and mortuary, and mortgage. The Company’s life insurance segment revenue consists of life insurance premiums; fees earned on insurance assignment funding and net investment income derived from investing policyholder and surplus funds. Its expenses include operating expenses to collect insurance premiums and insurance policy receivables, and administer claims, and commissions payable related to the sale of insurance products sold by the Company’s independent agency force. The Company’s cemetery and mortuary segment revenue consists of fees from the sale of at-need cemetery and mortuary merchandise, services at its mortuaries and cemeteries, pre-need sales of cemetery spaces and the net investment income from investing surplus cash. Its expenses include operating expenses to maintain mortuary and cemetery operations and commissions related to the sale of insurance products sold by the Company’s agents. The Company’s mortgage segment revenue consists of residential mortgage origination fee income and mortgage interest income. Its expenses include normal operating expenses related to the origination and sale of residential mortgage loans, loan servicing, and warehouse interest and fee expenses.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Services and Cost Sharing Policies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accounting policies of the Company’s operating and reportable segments are the same as those described in the Significant Accounting Principles. Intersegment revenues are recorded at cost plus an agreed upon intercompany profit and are eliminated upon consolidation. In addition to revenues, the reportable segments share in business services and costs including personnel expenses, rent, information technology, software, interest expense, and other similar operating costs. These shared services and costs are allocated between the segments using prevailing market rates and other agreed upon allocation methods.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Management Used to Identify the Company’s Operating and Reportable Segments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operating and reportable segments are business units that are managed separately due to the different products provided and the need to report separately to the various regulatory jurisdictions.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Chief Operating Decision Maker (“CODM”)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CODM is the Chief Executive Officer. The following table summarizes significant segment expenses. The significant expenses are based on the information that the CODM is regularly provided to assess segment performance. The CODM reviews the regularly provided information for each segment monthly and gives added emphasis on month-over-month and year-over-year comparative results. The CODM considers these comparative results when making decisions about the allocation of the Company’s resources to each segment. The measure of segment profit or loss for the Company’s three operating and reportable business segments is net earnings.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20)</w:t>
            </w: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 Segment Information (Continued)</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66"/>
        </w:trPr>
        <w:tc>
          <w:tcPr>
            <w:tcW w:w="660" w:type="dxa"/>
            <w:vAlign w:val="bottom"/>
          </w:tcPr>
          <w:p>
            <w:pPr>
              <w:spacing w:after="0"/>
              <w:rPr>
                <w:sz w:val="24"/>
                <w:szCs w:val="24"/>
                <w:color w:val="auto"/>
              </w:rPr>
            </w:pPr>
          </w:p>
        </w:tc>
        <w:tc>
          <w:tcPr>
            <w:tcW w:w="2220" w:type="dxa"/>
            <w:vAlign w:val="bottom"/>
            <w:tcBorders>
              <w:top w:val="single" w:sz="8" w:color="auto"/>
            </w:tcBorders>
          </w:tcPr>
          <w:p>
            <w:pPr>
              <w:spacing w:after="0"/>
              <w:rPr>
                <w:sz w:val="24"/>
                <w:szCs w:val="24"/>
                <w:color w:val="auto"/>
              </w:rPr>
            </w:pPr>
          </w:p>
        </w:tc>
        <w:tc>
          <w:tcPr>
            <w:tcW w:w="23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5"/>
          </w:tcPr>
          <w:p>
            <w:pPr>
              <w:jc w:val="right"/>
              <w:ind w:right="480"/>
              <w:spacing w:after="0"/>
              <w:rPr>
                <w:sz w:val="20"/>
                <w:szCs w:val="20"/>
                <w:color w:val="auto"/>
              </w:rPr>
            </w:pPr>
            <w:r>
              <w:rPr>
                <w:rFonts w:ascii="Times New Roman" w:cs="Times New Roman" w:eastAsia="Times New Roman" w:hAnsi="Times New Roman"/>
                <w:sz w:val="18"/>
                <w:szCs w:val="18"/>
                <w:color w:val="auto"/>
              </w:rPr>
              <w:t>Year Ended December 31, 2025</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5"/>
        </w:trPr>
        <w:tc>
          <w:tcPr>
            <w:tcW w:w="6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660"/>
              <w:spacing w:after="0" w:line="205" w:lineRule="exact"/>
              <w:rPr>
                <w:sz w:val="20"/>
                <w:szCs w:val="20"/>
                <w:color w:val="auto"/>
              </w:rPr>
            </w:pPr>
            <w:r>
              <w:rPr>
                <w:rFonts w:ascii="Times New Roman" w:cs="Times New Roman" w:eastAsia="Times New Roman" w:hAnsi="Times New Roman"/>
                <w:sz w:val="18"/>
                <w:szCs w:val="18"/>
                <w:color w:val="auto"/>
              </w:rPr>
              <w:t>Life</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580"/>
              <w:spacing w:after="0" w:line="205" w:lineRule="exact"/>
              <w:rPr>
                <w:sz w:val="20"/>
                <w:szCs w:val="20"/>
                <w:color w:val="auto"/>
              </w:rPr>
            </w:pPr>
            <w:r>
              <w:rPr>
                <w:rFonts w:ascii="Times New Roman" w:cs="Times New Roman" w:eastAsia="Times New Roman" w:hAnsi="Times New Roman"/>
                <w:sz w:val="18"/>
                <w:szCs w:val="18"/>
                <w:color w:val="auto"/>
              </w:rPr>
              <w:t>Cemetery/</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Insurance</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Mortuary</w:t>
            </w:r>
          </w:p>
        </w:tc>
        <w:tc>
          <w:tcPr>
            <w:tcW w:w="160" w:type="dxa"/>
            <w:vAlign w:val="bottom"/>
          </w:tcPr>
          <w:p>
            <w:pPr>
              <w:spacing w:after="0"/>
              <w:rPr>
                <w:sz w:val="20"/>
                <w:szCs w:val="20"/>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Mortgage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520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From external sources: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119,757,103</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28,704,450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108,209,319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256,670,872</w:t>
            </w:r>
          </w:p>
        </w:tc>
      </w:tr>
      <w:tr>
        <w:trPr>
          <w:trHeight w:val="216"/>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76,379,023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2,345,283</w:t>
            </w:r>
          </w:p>
        </w:tc>
        <w:tc>
          <w:tcPr>
            <w:tcW w:w="1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614,206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79,338,512</w:t>
            </w:r>
          </w:p>
        </w:tc>
      </w:tr>
      <w:tr>
        <w:trPr>
          <w:trHeight w:val="216"/>
        </w:trPr>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 on investments and other assets</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3,229,181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1,347,054</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60,142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4,636,377</w:t>
            </w:r>
          </w:p>
        </w:tc>
      </w:tr>
      <w:tr>
        <w:trPr>
          <w:trHeight w:val="216"/>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1,903,939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920,325</w:t>
            </w:r>
          </w:p>
        </w:tc>
        <w:tc>
          <w:tcPr>
            <w:tcW w:w="1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1,117,513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3,941,777</w:t>
            </w:r>
          </w:p>
        </w:tc>
      </w:tr>
      <w:tr>
        <w:trPr>
          <w:trHeight w:val="229"/>
        </w:trPr>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 revenues</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6,995,959</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340,001</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353,929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7,689,889</w:t>
            </w:r>
          </w:p>
        </w:tc>
      </w:tr>
      <w:tr>
        <w:trPr>
          <w:trHeight w:val="210"/>
        </w:trPr>
        <w:tc>
          <w:tcPr>
            <w:tcW w:w="52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segment revenues</w:t>
            </w: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208,265,205</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33,657,113</w:t>
            </w:r>
          </w:p>
        </w:tc>
        <w:tc>
          <w:tcPr>
            <w:tcW w:w="3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110,355,109</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352,277,427</w:t>
            </w:r>
          </w:p>
        </w:tc>
        <w:tc>
          <w:tcPr>
            <w:tcW w:w="100" w:type="dxa"/>
            <w:vAlign w:val="bottom"/>
            <w:tcBorders>
              <w:bottom w:val="single" w:sz="8" w:color="CCEEFF"/>
            </w:tcBorders>
          </w:tcPr>
          <w:p>
            <w:pPr>
              <w:spacing w:after="0"/>
              <w:rPr>
                <w:sz w:val="18"/>
                <w:szCs w:val="18"/>
                <w:color w:val="auto"/>
              </w:rPr>
            </w:pPr>
          </w:p>
        </w:tc>
      </w:tr>
      <w:tr>
        <w:trPr>
          <w:trHeight w:val="209"/>
        </w:trPr>
        <w:tc>
          <w:tcPr>
            <w:tcW w:w="66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Elimination of intersegment revenues</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(7,689,889)</w:t>
            </w:r>
          </w:p>
        </w:tc>
      </w:tr>
      <w:tr>
        <w:trPr>
          <w:trHeight w:val="210"/>
        </w:trPr>
        <w:tc>
          <w:tcPr>
            <w:tcW w:w="520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consolidated revenues</w:t>
            </w:r>
          </w:p>
        </w:tc>
        <w:tc>
          <w:tcPr>
            <w:tcW w:w="1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344,587,538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6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222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Policyholder benefits and claims</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100,817,674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20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Amortization of deferred policy and pre-need acquisition costs and</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 of business acquired</w:t>
            </w: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10,946,671</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714,037</w:t>
            </w: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Commissions</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3,412,729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1,191,548</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42,444,319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Personnel</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34,946,951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10,808,207</w:t>
            </w:r>
          </w:p>
        </w:tc>
        <w:tc>
          <w:tcPr>
            <w:tcW w:w="1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41,396,645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Advertising</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443,079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601,283</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2,470,279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Rent and rent related</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362,650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146,850</w:t>
            </w:r>
          </w:p>
        </w:tc>
        <w:tc>
          <w:tcPr>
            <w:tcW w:w="1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3,251,019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on property and equipment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896,227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913,037</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615,921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Cost related to funding mortgage loans</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6,622,489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Data processing and IT related (1)</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1,191,834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300,271</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3,640,818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5200" w:type="dxa"/>
            <w:vAlign w:val="bottom"/>
            <w:gridSpan w:val="3"/>
          </w:tcPr>
          <w:p>
            <w:pPr>
              <w:ind w:left="180"/>
              <w:spacing w:after="0" w:line="198" w:lineRule="exact"/>
              <w:rPr>
                <w:sz w:val="20"/>
                <w:szCs w:val="20"/>
                <w:color w:val="auto"/>
              </w:rPr>
            </w:pPr>
            <w:r>
              <w:rPr>
                <w:rFonts w:ascii="Times New Roman" w:cs="Times New Roman" w:eastAsia="Times New Roman" w:hAnsi="Times New Roman"/>
                <w:sz w:val="18"/>
                <w:szCs w:val="18"/>
                <w:color w:val="auto"/>
              </w:rPr>
              <w:t>Premium taxes on insurance premiums and other considerations</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w:t>
            </w:r>
          </w:p>
        </w:tc>
        <w:tc>
          <w:tcPr>
            <w:tcW w:w="22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2,957,328</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2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segment items (1)(2)</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10,509,380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5,163,619</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7,234,014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Intersegment expenses (3)</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693,716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336,863</w:t>
            </w:r>
          </w:p>
        </w:tc>
        <w:tc>
          <w:tcPr>
            <w:tcW w:w="1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6,659,310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3,735,224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2,318</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781,423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Costs of goods and services sold-mortuaries and cemeteries</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4,660,090</w:t>
            </w:r>
          </w:p>
        </w:tc>
        <w:tc>
          <w:tcPr>
            <w:tcW w:w="1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7,912,489</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2,235,035</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(890,250)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3"/>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Segment net earnings (loss)</w:t>
            </w: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29,439,253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6,583,955</w:t>
            </w: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(3,870,878)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32,152,330</w:t>
            </w:r>
          </w:p>
        </w:tc>
      </w:tr>
      <w:tr>
        <w:trPr>
          <w:trHeight w:val="209"/>
        </w:trPr>
        <w:tc>
          <w:tcPr>
            <w:tcW w:w="66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CCEEFF"/>
            </w:tcBorders>
            <w:shd w:val="clear" w:color="auto" w:fill="CCEEFF"/>
          </w:tcPr>
          <w:p>
            <w:pPr>
              <w:spacing w:after="0"/>
              <w:rPr>
                <w:sz w:val="18"/>
                <w:szCs w:val="18"/>
                <w:color w:val="auto"/>
              </w:rPr>
            </w:pPr>
          </w:p>
        </w:tc>
        <w:tc>
          <w:tcPr>
            <w:tcW w:w="2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83"/>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32,152,330</w:t>
            </w:r>
          </w:p>
        </w:tc>
      </w:tr>
      <w:tr>
        <w:trPr>
          <w:trHeight w:val="196"/>
        </w:trPr>
        <w:tc>
          <w:tcPr>
            <w:tcW w:w="660" w:type="dxa"/>
            <w:vAlign w:val="bottom"/>
            <w:tcBorders>
              <w:top w:val="single" w:sz="8" w:color="CCEEFF"/>
            </w:tcBorders>
            <w:shd w:val="clear" w:color="auto" w:fill="CCEEFF"/>
          </w:tcPr>
          <w:p>
            <w:pPr>
              <w:spacing w:after="0"/>
              <w:rPr>
                <w:sz w:val="17"/>
                <w:szCs w:val="17"/>
                <w:color w:val="auto"/>
              </w:rPr>
            </w:pPr>
          </w:p>
        </w:tc>
        <w:tc>
          <w:tcPr>
            <w:tcW w:w="2220" w:type="dxa"/>
            <w:vAlign w:val="bottom"/>
            <w:tcBorders>
              <w:top w:val="single" w:sz="8" w:color="CCEEFF"/>
            </w:tcBorders>
            <w:shd w:val="clear" w:color="auto" w:fill="CCEEFF"/>
          </w:tcPr>
          <w:p>
            <w:pPr>
              <w:spacing w:after="0"/>
              <w:rPr>
                <w:sz w:val="17"/>
                <w:szCs w:val="17"/>
                <w:color w:val="auto"/>
              </w:rPr>
            </w:pPr>
          </w:p>
        </w:tc>
        <w:tc>
          <w:tcPr>
            <w:tcW w:w="2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83"/>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1,409,753,605</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105,970,868</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72,460,214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1,588,184,687</w:t>
            </w:r>
          </w:p>
        </w:tc>
      </w:tr>
      <w:tr>
        <w:trPr>
          <w:trHeight w:val="197"/>
        </w:trPr>
        <w:tc>
          <w:tcPr>
            <w:tcW w:w="660" w:type="dxa"/>
            <w:vAlign w:val="bottom"/>
            <w:tcBorders>
              <w:top w:val="single" w:sz="8" w:color="CCEEFF"/>
            </w:tcBorders>
            <w:shd w:val="clear" w:color="auto" w:fill="CCEEFF"/>
          </w:tcPr>
          <w:p>
            <w:pPr>
              <w:spacing w:after="0"/>
              <w:rPr>
                <w:sz w:val="17"/>
                <w:szCs w:val="17"/>
                <w:color w:val="auto"/>
              </w:rPr>
            </w:pPr>
          </w:p>
        </w:tc>
        <w:tc>
          <w:tcPr>
            <w:tcW w:w="2220" w:type="dxa"/>
            <w:vAlign w:val="bottom"/>
            <w:tcBorders>
              <w:top w:val="single" w:sz="8" w:color="CCEEFF"/>
            </w:tcBorders>
            <w:shd w:val="clear" w:color="auto" w:fill="CCEEFF"/>
          </w:tcPr>
          <w:p>
            <w:pPr>
              <w:spacing w:after="0"/>
              <w:rPr>
                <w:sz w:val="17"/>
                <w:szCs w:val="17"/>
                <w:color w:val="auto"/>
              </w:rPr>
            </w:pPr>
          </w:p>
        </w:tc>
        <w:tc>
          <w:tcPr>
            <w:tcW w:w="2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30"/>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Elimination of intersegment assets</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(26,340,083)</w:t>
            </w:r>
          </w:p>
        </w:tc>
      </w:tr>
      <w:tr>
        <w:trPr>
          <w:trHeight w:val="223"/>
        </w:trPr>
        <w:tc>
          <w:tcPr>
            <w:tcW w:w="52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consolidated assets</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1,561,844,604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88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Expenditures for long-lived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64,060,800</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1,244,003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314,557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65,619,360</w:t>
            </w:r>
          </w:p>
        </w:tc>
      </w:tr>
      <w:tr>
        <w:trPr>
          <w:trHeight w:val="20"/>
        </w:trPr>
        <w:tc>
          <w:tcPr>
            <w:tcW w:w="66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left="340" w:right="20" w:hanging="332"/>
        <w:spacing w:after="0" w:line="261" w:lineRule="auto"/>
        <w:tabs>
          <w:tab w:leader="none" w:pos="3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expenses on the consolidated statements of earnings. Data processing and IT related expenses includes various software subscriptions, maintenance, consulting, support and storage fees.</w:t>
      </w:r>
    </w:p>
    <w:p>
      <w:pPr>
        <w:ind w:left="340" w:hanging="332"/>
        <w:spacing w:after="0"/>
        <w:tabs>
          <w:tab w:leader="none" w:pos="3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reportable segment, other segment items includes:</w:t>
      </w:r>
    </w:p>
    <w:p>
      <w:pPr>
        <w:spacing w:after="0" w:line="9" w:lineRule="exact"/>
        <w:rPr>
          <w:sz w:val="20"/>
          <w:szCs w:val="20"/>
          <w:color w:val="auto"/>
        </w:rPr>
      </w:pPr>
    </w:p>
    <w:p>
      <w:pPr>
        <w:ind w:left="600"/>
        <w:spacing w:after="0" w:line="250" w:lineRule="auto"/>
        <w:rPr>
          <w:sz w:val="20"/>
          <w:szCs w:val="20"/>
          <w:color w:val="auto"/>
        </w:rPr>
      </w:pPr>
      <w:r>
        <w:rPr>
          <w:rFonts w:ascii="Times New Roman" w:cs="Times New Roman" w:eastAsia="Times New Roman" w:hAnsi="Times New Roman"/>
          <w:sz w:val="18"/>
          <w:szCs w:val="18"/>
          <w:color w:val="auto"/>
        </w:rPr>
        <w:t>Life Insurance - bad debt, insurance expenses, professional service expenses, state insurance department fees, amortization of intangible assets, and certain overhead expenses.</w:t>
      </w:r>
    </w:p>
    <w:p>
      <w:pPr>
        <w:spacing w:after="0" w:line="1" w:lineRule="exact"/>
        <w:rPr>
          <w:sz w:val="20"/>
          <w:szCs w:val="20"/>
          <w:color w:val="auto"/>
        </w:rPr>
      </w:pPr>
    </w:p>
    <w:p>
      <w:pPr>
        <w:ind w:left="600"/>
        <w:spacing w:after="0" w:line="250" w:lineRule="auto"/>
        <w:rPr>
          <w:sz w:val="20"/>
          <w:szCs w:val="20"/>
          <w:color w:val="auto"/>
        </w:rPr>
      </w:pPr>
      <w:r>
        <w:rPr>
          <w:rFonts w:ascii="Times New Roman" w:cs="Times New Roman" w:eastAsia="Times New Roman" w:hAnsi="Times New Roman"/>
          <w:sz w:val="18"/>
          <w:szCs w:val="18"/>
          <w:color w:val="auto"/>
        </w:rPr>
        <w:t>Cemetery/Mortuary - bad debt, insurance expenses, professional service expenses, maintenance and utility expenses, property taxes, amortization of intangible assets, and certain overhead expenses.</w:t>
      </w:r>
    </w:p>
    <w:p>
      <w:pPr>
        <w:spacing w:after="0" w:line="1" w:lineRule="exact"/>
        <w:rPr>
          <w:sz w:val="20"/>
          <w:szCs w:val="20"/>
          <w:color w:val="auto"/>
        </w:rPr>
      </w:pPr>
    </w:p>
    <w:p>
      <w:pPr>
        <w:ind w:left="600" w:right="20"/>
        <w:spacing w:after="0" w:line="250" w:lineRule="auto"/>
        <w:rPr>
          <w:sz w:val="20"/>
          <w:szCs w:val="20"/>
          <w:color w:val="auto"/>
        </w:rPr>
      </w:pPr>
      <w:r>
        <w:rPr>
          <w:rFonts w:ascii="Times New Roman" w:cs="Times New Roman" w:eastAsia="Times New Roman" w:hAnsi="Times New Roman"/>
          <w:sz w:val="18"/>
          <w:szCs w:val="18"/>
          <w:color w:val="auto"/>
        </w:rPr>
        <w:t>Mortgage - bad debt, insurance expenses, professional service expenses, business license and registration fees, dues and subscriptions, amortization expense of mortgage servicing rights, and certain overhead expenses.</w:t>
      </w:r>
    </w:p>
    <w:p>
      <w:pPr>
        <w:spacing w:after="0" w:line="1" w:lineRule="exact"/>
        <w:rPr>
          <w:sz w:val="20"/>
          <w:szCs w:val="20"/>
          <w:color w:val="auto"/>
        </w:rPr>
      </w:pPr>
    </w:p>
    <w:p>
      <w:pPr>
        <w:ind w:left="600" w:right="6180" w:hanging="592"/>
        <w:spacing w:after="0" w:line="265" w:lineRule="auto"/>
        <w:tabs>
          <w:tab w:leader="none" w:pos="341"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each reportable segment, intersegment expenses includes: Life Insurance - mortgage servicing fees and interest expense.</w:t>
      </w:r>
    </w:p>
    <w:p>
      <w:pPr>
        <w:ind w:left="600" w:right="362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Cemetery/Mortuary - rent expense, data processing and IT related expenses, and interest expense. Mortgage - rent expense and interest expense.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623"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20)</w:t>
            </w: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 Segment Information (Continued)</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66"/>
        </w:trPr>
        <w:tc>
          <w:tcPr>
            <w:tcW w:w="660" w:type="dxa"/>
            <w:vAlign w:val="bottom"/>
          </w:tcPr>
          <w:p>
            <w:pPr>
              <w:spacing w:after="0"/>
              <w:rPr>
                <w:sz w:val="24"/>
                <w:szCs w:val="24"/>
                <w:color w:val="auto"/>
              </w:rPr>
            </w:pPr>
          </w:p>
        </w:tc>
        <w:tc>
          <w:tcPr>
            <w:tcW w:w="2220" w:type="dxa"/>
            <w:vAlign w:val="bottom"/>
            <w:tcBorders>
              <w:top w:val="single" w:sz="8" w:color="auto"/>
            </w:tcBorders>
          </w:tcPr>
          <w:p>
            <w:pPr>
              <w:spacing w:after="0"/>
              <w:rPr>
                <w:sz w:val="24"/>
                <w:szCs w:val="24"/>
                <w:color w:val="auto"/>
              </w:rPr>
            </w:pPr>
          </w:p>
        </w:tc>
        <w:tc>
          <w:tcPr>
            <w:tcW w:w="23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5"/>
          </w:tcPr>
          <w:p>
            <w:pPr>
              <w:jc w:val="right"/>
              <w:ind w:right="480"/>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5"/>
        </w:trPr>
        <w:tc>
          <w:tcPr>
            <w:tcW w:w="6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660"/>
              <w:spacing w:after="0" w:line="205" w:lineRule="exact"/>
              <w:rPr>
                <w:sz w:val="20"/>
                <w:szCs w:val="20"/>
                <w:color w:val="auto"/>
              </w:rPr>
            </w:pPr>
            <w:r>
              <w:rPr>
                <w:rFonts w:ascii="Times New Roman" w:cs="Times New Roman" w:eastAsia="Times New Roman" w:hAnsi="Times New Roman"/>
                <w:sz w:val="18"/>
                <w:szCs w:val="18"/>
                <w:color w:val="auto"/>
              </w:rPr>
              <w:t>Life</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580"/>
              <w:spacing w:after="0" w:line="205" w:lineRule="exact"/>
              <w:rPr>
                <w:sz w:val="20"/>
                <w:szCs w:val="20"/>
                <w:color w:val="auto"/>
              </w:rPr>
            </w:pPr>
            <w:r>
              <w:rPr>
                <w:rFonts w:ascii="Times New Roman" w:cs="Times New Roman" w:eastAsia="Times New Roman" w:hAnsi="Times New Roman"/>
                <w:sz w:val="18"/>
                <w:szCs w:val="18"/>
                <w:color w:val="auto"/>
              </w:rPr>
              <w:t>Cemetery/</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Insurance</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Mortuary</w:t>
            </w:r>
          </w:p>
        </w:tc>
        <w:tc>
          <w:tcPr>
            <w:tcW w:w="160" w:type="dxa"/>
            <w:vAlign w:val="bottom"/>
          </w:tcPr>
          <w:p>
            <w:pPr>
              <w:spacing w:after="0"/>
              <w:rPr>
                <w:sz w:val="20"/>
                <w:szCs w:val="20"/>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Mortgage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520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From external sources: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119,655,745</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29,037,173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107,558,640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256,251,558</w:t>
            </w:r>
          </w:p>
        </w:tc>
      </w:tr>
      <w:tr>
        <w:trPr>
          <w:trHeight w:val="216"/>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68,254,989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2,568,511</w:t>
            </w:r>
          </w:p>
        </w:tc>
        <w:tc>
          <w:tcPr>
            <w:tcW w:w="1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901,749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71,725,249</w:t>
            </w:r>
          </w:p>
        </w:tc>
      </w:tr>
      <w:tr>
        <w:trPr>
          <w:trHeight w:val="216"/>
        </w:trPr>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 (losses) on investments and other assets</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2,054,994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873,166</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(986,262)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1,941,898</w:t>
            </w:r>
          </w:p>
        </w:tc>
      </w:tr>
      <w:tr>
        <w:trPr>
          <w:trHeight w:val="216"/>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1,563,812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543,354</w:t>
            </w:r>
          </w:p>
        </w:tc>
        <w:tc>
          <w:tcPr>
            <w:tcW w:w="1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2,496,797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4,603,963</w:t>
            </w:r>
          </w:p>
        </w:tc>
      </w:tr>
      <w:tr>
        <w:trPr>
          <w:trHeight w:val="229"/>
        </w:trPr>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 revenues</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7,272,110</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340,933</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573,449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8,186,492</w:t>
            </w:r>
          </w:p>
        </w:tc>
      </w:tr>
      <w:tr>
        <w:trPr>
          <w:trHeight w:val="210"/>
        </w:trPr>
        <w:tc>
          <w:tcPr>
            <w:tcW w:w="52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segment revenues</w:t>
            </w: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198,801,650</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33,363,137</w:t>
            </w:r>
          </w:p>
        </w:tc>
        <w:tc>
          <w:tcPr>
            <w:tcW w:w="3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110,544,373</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342,709,160</w:t>
            </w:r>
          </w:p>
        </w:tc>
        <w:tc>
          <w:tcPr>
            <w:tcW w:w="100" w:type="dxa"/>
            <w:vAlign w:val="bottom"/>
            <w:tcBorders>
              <w:bottom w:val="single" w:sz="8" w:color="CCEEFF"/>
            </w:tcBorders>
          </w:tcPr>
          <w:p>
            <w:pPr>
              <w:spacing w:after="0"/>
              <w:rPr>
                <w:sz w:val="18"/>
                <w:szCs w:val="18"/>
                <w:color w:val="auto"/>
              </w:rPr>
            </w:pPr>
          </w:p>
        </w:tc>
      </w:tr>
      <w:tr>
        <w:trPr>
          <w:trHeight w:val="209"/>
        </w:trPr>
        <w:tc>
          <w:tcPr>
            <w:tcW w:w="66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Elimination of intersegment revenues</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(8,186,492)</w:t>
            </w:r>
          </w:p>
        </w:tc>
      </w:tr>
      <w:tr>
        <w:trPr>
          <w:trHeight w:val="210"/>
        </w:trPr>
        <w:tc>
          <w:tcPr>
            <w:tcW w:w="520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consolidated revenues</w:t>
            </w:r>
          </w:p>
        </w:tc>
        <w:tc>
          <w:tcPr>
            <w:tcW w:w="1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334,522,668</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6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222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Policyholder benefits and claims</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100,613,091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20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Amortization of deferred policy and pre-need acquisition costs and</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 of business acquired</w:t>
            </w: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10,235,240</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777,376</w:t>
            </w: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Commissions</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3,809,118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1,564,426</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41,599,365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Personnel</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30,396,560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10,215,565</w:t>
            </w:r>
          </w:p>
        </w:tc>
        <w:tc>
          <w:tcPr>
            <w:tcW w:w="1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44,472,677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Advertising</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466,821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568,597</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2,079,702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Rent and rent related</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434,604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158,950</w:t>
            </w:r>
          </w:p>
        </w:tc>
        <w:tc>
          <w:tcPr>
            <w:tcW w:w="1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4,553,515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on property and equipment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923,365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830,855</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629,401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Cost related to funding mortgage loans</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6,134,709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Data processing and IT related (1)</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847,845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240,946</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3,453,741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5200" w:type="dxa"/>
            <w:vAlign w:val="bottom"/>
            <w:gridSpan w:val="3"/>
          </w:tcPr>
          <w:p>
            <w:pPr>
              <w:ind w:left="180"/>
              <w:spacing w:after="0" w:line="198" w:lineRule="exact"/>
              <w:rPr>
                <w:sz w:val="20"/>
                <w:szCs w:val="20"/>
                <w:color w:val="auto"/>
              </w:rPr>
            </w:pPr>
            <w:r>
              <w:rPr>
                <w:rFonts w:ascii="Times New Roman" w:cs="Times New Roman" w:eastAsia="Times New Roman" w:hAnsi="Times New Roman"/>
                <w:sz w:val="18"/>
                <w:szCs w:val="18"/>
                <w:color w:val="auto"/>
              </w:rPr>
              <w:t>Premium taxes on insurance premiums and other considerations</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w:t>
            </w:r>
          </w:p>
        </w:tc>
        <w:tc>
          <w:tcPr>
            <w:tcW w:w="22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3,067,467</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2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segment items (1)(2)</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8,640,857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4,975,269</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6,401,085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Intersegment expenses (3)</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913,279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365,635</w:t>
            </w:r>
          </w:p>
        </w:tc>
        <w:tc>
          <w:tcPr>
            <w:tcW w:w="1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6,907,578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3,727,514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827</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525,759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Costs of goods and services sold-mortuaries and cemeteries</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4,803,528</w:t>
            </w:r>
          </w:p>
        </w:tc>
        <w:tc>
          <w:tcPr>
            <w:tcW w:w="1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7,291,246</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2,227,353</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(1,263,871)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3"/>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Segment net earnings (loss)</w:t>
            </w: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27,434,643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6,633,810</w:t>
            </w: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(4,949,288)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29,119,165</w:t>
            </w:r>
          </w:p>
        </w:tc>
      </w:tr>
      <w:tr>
        <w:trPr>
          <w:trHeight w:val="209"/>
        </w:trPr>
        <w:tc>
          <w:tcPr>
            <w:tcW w:w="66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CCEEFF"/>
            </w:tcBorders>
            <w:shd w:val="clear" w:color="auto" w:fill="CCEEFF"/>
          </w:tcPr>
          <w:p>
            <w:pPr>
              <w:spacing w:after="0"/>
              <w:rPr>
                <w:sz w:val="18"/>
                <w:szCs w:val="18"/>
                <w:color w:val="auto"/>
              </w:rPr>
            </w:pPr>
          </w:p>
        </w:tc>
        <w:tc>
          <w:tcPr>
            <w:tcW w:w="2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83"/>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29,119,165</w:t>
            </w:r>
          </w:p>
        </w:tc>
      </w:tr>
      <w:tr>
        <w:trPr>
          <w:trHeight w:val="196"/>
        </w:trPr>
        <w:tc>
          <w:tcPr>
            <w:tcW w:w="660" w:type="dxa"/>
            <w:vAlign w:val="bottom"/>
            <w:tcBorders>
              <w:top w:val="single" w:sz="8" w:color="CCEEFF"/>
            </w:tcBorders>
            <w:shd w:val="clear" w:color="auto" w:fill="CCEEFF"/>
          </w:tcPr>
          <w:p>
            <w:pPr>
              <w:spacing w:after="0"/>
              <w:rPr>
                <w:sz w:val="17"/>
                <w:szCs w:val="17"/>
                <w:color w:val="auto"/>
              </w:rPr>
            </w:pPr>
          </w:p>
        </w:tc>
        <w:tc>
          <w:tcPr>
            <w:tcW w:w="2220" w:type="dxa"/>
            <w:vAlign w:val="bottom"/>
            <w:tcBorders>
              <w:top w:val="single" w:sz="8" w:color="CCEEFF"/>
            </w:tcBorders>
            <w:shd w:val="clear" w:color="auto" w:fill="CCEEFF"/>
          </w:tcPr>
          <w:p>
            <w:pPr>
              <w:spacing w:after="0"/>
              <w:rPr>
                <w:sz w:val="17"/>
                <w:szCs w:val="17"/>
                <w:color w:val="auto"/>
              </w:rPr>
            </w:pPr>
          </w:p>
        </w:tc>
        <w:tc>
          <w:tcPr>
            <w:tcW w:w="2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83"/>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1,344,932,334</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95,565,758</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90,459,481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1,530,957,573</w:t>
            </w:r>
          </w:p>
        </w:tc>
      </w:tr>
      <w:tr>
        <w:trPr>
          <w:trHeight w:val="197"/>
        </w:trPr>
        <w:tc>
          <w:tcPr>
            <w:tcW w:w="660" w:type="dxa"/>
            <w:vAlign w:val="bottom"/>
            <w:tcBorders>
              <w:top w:val="single" w:sz="8" w:color="CCEEFF"/>
            </w:tcBorders>
            <w:shd w:val="clear" w:color="auto" w:fill="CCEEFF"/>
          </w:tcPr>
          <w:p>
            <w:pPr>
              <w:spacing w:after="0"/>
              <w:rPr>
                <w:sz w:val="17"/>
                <w:szCs w:val="17"/>
                <w:color w:val="auto"/>
              </w:rPr>
            </w:pPr>
          </w:p>
        </w:tc>
        <w:tc>
          <w:tcPr>
            <w:tcW w:w="2220" w:type="dxa"/>
            <w:vAlign w:val="bottom"/>
            <w:tcBorders>
              <w:top w:val="single" w:sz="8" w:color="CCEEFF"/>
            </w:tcBorders>
            <w:shd w:val="clear" w:color="auto" w:fill="CCEEFF"/>
          </w:tcPr>
          <w:p>
            <w:pPr>
              <w:spacing w:after="0"/>
              <w:rPr>
                <w:sz w:val="17"/>
                <w:szCs w:val="17"/>
                <w:color w:val="auto"/>
              </w:rPr>
            </w:pPr>
          </w:p>
        </w:tc>
        <w:tc>
          <w:tcPr>
            <w:tcW w:w="2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30"/>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Elimination of intersegment assets</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(36,495,259)</w:t>
            </w:r>
          </w:p>
        </w:tc>
      </w:tr>
      <w:tr>
        <w:trPr>
          <w:trHeight w:val="223"/>
        </w:trPr>
        <w:tc>
          <w:tcPr>
            <w:tcW w:w="52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consolidated assets</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1,494,462,314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88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Expenditures for long-lived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52,414,507</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2,185,269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219,054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54,818,830</w:t>
            </w:r>
          </w:p>
        </w:tc>
      </w:tr>
      <w:tr>
        <w:trPr>
          <w:trHeight w:val="20"/>
        </w:trPr>
        <w:tc>
          <w:tcPr>
            <w:tcW w:w="66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left="340" w:right="20" w:hanging="332"/>
        <w:spacing w:after="0" w:line="261" w:lineRule="auto"/>
        <w:tabs>
          <w:tab w:leader="none" w:pos="3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expenses on the consolidated statements of earnings. Data processing and IT related expenses includes various software subscriptions, maintenance, consulting, support and storage fees.</w:t>
      </w:r>
    </w:p>
    <w:p>
      <w:pPr>
        <w:ind w:left="340" w:hanging="332"/>
        <w:spacing w:after="0"/>
        <w:tabs>
          <w:tab w:leader="none" w:pos="3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reportable segment, other segment items includes:</w:t>
      </w:r>
    </w:p>
    <w:p>
      <w:pPr>
        <w:spacing w:after="0" w:line="9" w:lineRule="exact"/>
        <w:rPr>
          <w:sz w:val="20"/>
          <w:szCs w:val="20"/>
          <w:color w:val="auto"/>
        </w:rPr>
      </w:pPr>
    </w:p>
    <w:p>
      <w:pPr>
        <w:ind w:left="600"/>
        <w:spacing w:after="0" w:line="250" w:lineRule="auto"/>
        <w:rPr>
          <w:sz w:val="20"/>
          <w:szCs w:val="20"/>
          <w:color w:val="auto"/>
        </w:rPr>
      </w:pPr>
      <w:r>
        <w:rPr>
          <w:rFonts w:ascii="Times New Roman" w:cs="Times New Roman" w:eastAsia="Times New Roman" w:hAnsi="Times New Roman"/>
          <w:sz w:val="18"/>
          <w:szCs w:val="18"/>
          <w:color w:val="auto"/>
        </w:rPr>
        <w:t>Life Insurance - bad debt, insurance expenses, professional service expenses, state insurance department fees, amortization of intangible assets, and certain overhead expenses.</w:t>
      </w:r>
    </w:p>
    <w:p>
      <w:pPr>
        <w:spacing w:after="0" w:line="1" w:lineRule="exact"/>
        <w:rPr>
          <w:sz w:val="20"/>
          <w:szCs w:val="20"/>
          <w:color w:val="auto"/>
        </w:rPr>
      </w:pPr>
    </w:p>
    <w:p>
      <w:pPr>
        <w:ind w:left="600"/>
        <w:spacing w:after="0" w:line="250" w:lineRule="auto"/>
        <w:rPr>
          <w:sz w:val="20"/>
          <w:szCs w:val="20"/>
          <w:color w:val="auto"/>
        </w:rPr>
      </w:pPr>
      <w:r>
        <w:rPr>
          <w:rFonts w:ascii="Times New Roman" w:cs="Times New Roman" w:eastAsia="Times New Roman" w:hAnsi="Times New Roman"/>
          <w:sz w:val="18"/>
          <w:szCs w:val="18"/>
          <w:color w:val="auto"/>
        </w:rPr>
        <w:t>Cemetery/Mortuary - bad debt, insurance expenses, professional service expenses, maintenance and utility expenses, property taxes, amortization of intangible assets, and certain overhead expenses.</w:t>
      </w:r>
    </w:p>
    <w:p>
      <w:pPr>
        <w:spacing w:after="0" w:line="1" w:lineRule="exact"/>
        <w:rPr>
          <w:sz w:val="20"/>
          <w:szCs w:val="20"/>
          <w:color w:val="auto"/>
        </w:rPr>
      </w:pPr>
    </w:p>
    <w:p>
      <w:pPr>
        <w:ind w:left="600" w:right="20"/>
        <w:spacing w:after="0" w:line="250" w:lineRule="auto"/>
        <w:rPr>
          <w:sz w:val="20"/>
          <w:szCs w:val="20"/>
          <w:color w:val="auto"/>
        </w:rPr>
      </w:pPr>
      <w:r>
        <w:rPr>
          <w:rFonts w:ascii="Times New Roman" w:cs="Times New Roman" w:eastAsia="Times New Roman" w:hAnsi="Times New Roman"/>
          <w:sz w:val="18"/>
          <w:szCs w:val="18"/>
          <w:color w:val="auto"/>
        </w:rPr>
        <w:t>Mortgage - bad debt, insurance expenses, professional service expenses, business license and registration fees, dues and subscriptions, amortization expense of mortgage servicing rights, and certain overhead expenses.</w:t>
      </w:r>
    </w:p>
    <w:p>
      <w:pPr>
        <w:spacing w:after="0" w:line="1" w:lineRule="exact"/>
        <w:rPr>
          <w:sz w:val="20"/>
          <w:szCs w:val="20"/>
          <w:color w:val="auto"/>
        </w:rPr>
      </w:pPr>
    </w:p>
    <w:p>
      <w:pPr>
        <w:ind w:left="600" w:right="6180" w:hanging="592"/>
        <w:spacing w:after="0" w:line="265" w:lineRule="auto"/>
        <w:tabs>
          <w:tab w:leader="none" w:pos="341"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each reportable segment, intersegment expenses includes: Life Insurance - mortgage servicing fees and interest expense.</w:t>
      </w:r>
    </w:p>
    <w:p>
      <w:pPr>
        <w:ind w:left="600" w:right="362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Cemetery/Mortuary - rent expense, data processing and IT related expenses, and interest expense. Mortgage - rent expense and interest expense.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623"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7" w:lineRule="exact"/>
        <w:rPr>
          <w:sz w:val="20"/>
          <w:szCs w:val="20"/>
          <w:color w:val="auto"/>
        </w:rPr>
      </w:pPr>
    </w:p>
    <w:p>
      <w:pPr>
        <w:ind w:left="660" w:hanging="652"/>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GAAP defines fair value as the exchange price that would be received for an asset or paid to transfer a liability (an exit price) in the principal or most advantageous market for the asset or liability in an orderly transaction between market participants. GAAP also specifies a fair value hierarchy based upon the observability of inputs used in valuation techniques. Observable inputs (highest level) reflect market data obtained from independent sources, while unobservable inputs (lowest level) reflect internally developed market assumptions. Fair value measurements are classified under the following hierarchy:</w:t>
      </w:r>
    </w:p>
    <w:p>
      <w:pPr>
        <w:spacing w:after="0" w:line="17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Financial assets and financial liabilities whose values are based on unadjusted quoted prices for identical assets or liabilities in an active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the Company can access.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Financial assets and financial liabilities whose values are based on the following:</w:t>
      </w:r>
    </w:p>
    <w:p>
      <w:pPr>
        <w:spacing w:after="0" w:line="227" w:lineRule="exact"/>
        <w:rPr>
          <w:sz w:val="20"/>
          <w:szCs w:val="20"/>
          <w:color w:val="auto"/>
        </w:rPr>
      </w:pPr>
    </w:p>
    <w:p>
      <w:pPr>
        <w:ind w:left="1160" w:hanging="180"/>
        <w:spacing w:after="0"/>
        <w:tabs>
          <w:tab w:leader="none" w:pos="11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similar assets or liabilities in active markets;</w:t>
      </w:r>
    </w:p>
    <w:p>
      <w:pPr>
        <w:spacing w:after="0" w:line="225" w:lineRule="exact"/>
        <w:rPr>
          <w:rFonts w:ascii="Times New Roman" w:cs="Times New Roman" w:eastAsia="Times New Roman" w:hAnsi="Times New Roman"/>
          <w:sz w:val="18"/>
          <w:szCs w:val="18"/>
          <w:color w:val="auto"/>
        </w:rPr>
      </w:pPr>
    </w:p>
    <w:p>
      <w:pPr>
        <w:ind w:left="1180" w:hanging="200"/>
        <w:spacing w:after="0"/>
        <w:tabs>
          <w:tab w:leader="none" w:pos="11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identical or similar assets or liabilities in non-active markets; or</w:t>
      </w:r>
    </w:p>
    <w:p>
      <w:pPr>
        <w:spacing w:after="0" w:line="225" w:lineRule="exact"/>
        <w:rPr>
          <w:rFonts w:ascii="Times New Roman" w:cs="Times New Roman" w:eastAsia="Times New Roman" w:hAnsi="Times New Roman"/>
          <w:sz w:val="18"/>
          <w:szCs w:val="18"/>
          <w:color w:val="auto"/>
        </w:rPr>
      </w:pPr>
    </w:p>
    <w:p>
      <w:pPr>
        <w:ind w:left="1160" w:hanging="180"/>
        <w:spacing w:after="0"/>
        <w:tabs>
          <w:tab w:leader="none" w:pos="11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models whose inputs are observable, directly or indirectly, for substantially the full term of the asset or liability.</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Financial assets and financial liabilities whose values are based on prices or valuation techniques that require inputs that are both unobservable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to the overall fair value measurement. These inputs may reflect the Company’s estimates of the assumptions that market participants would use in valuing financial assets and financial liabilities.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utilizes a combination of third-party valuation service providers, brokers, and internal valuation models to determine fair value.</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methods and assumptions were used by the Company in estimating the fair value presented in its disclosures related to significant financial instruments: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items shown under Level 1 and Level 2 are valued as follows:</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Fixed Maturity Securities Available for 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fair values of fixed maturity securities are based on quoted market prices, (when available). For fixed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maturity securities not actively traded, fair values are estimated using values obtained from independent pricing services, or in the case of private placements (considered Level 3 financial assets), are estimated by discounting expected future cash flows using a current market value applicable to the coupon rate, credit, and maturity of the investments.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Equity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fair values for equity securities are based on quoted market prices.</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Restricted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portion of these assets include equity securities and fixed maturity securities available for sale that have quoted market prices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used to determine fair value. Also included are cash and cash equivalents and participations in mortgage loans. The carrying amounts reported in the accompanying consolidated balance sheets for these financial instruments approximate their fair values due to their short-term nature.</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Cemetery Perpetual Care Trust Investments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portion of these assets include equity securities and fixed maturity securities available for sale that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quoted market prices that are used to determine fair value. Also included are cash and cash equivalents. The carrying amounts reported in the accompanying consolidated balance sheets for these financial instruments approximate their fair values due to their short-term nature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there were no transfers between Level 1 and Level 2 in the fair value hierarchy.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7" w:lineRule="exact"/>
        <w:rPr>
          <w:sz w:val="20"/>
          <w:szCs w:val="20"/>
          <w:color w:val="auto"/>
        </w:rPr>
      </w:pPr>
    </w:p>
    <w:p>
      <w:pPr>
        <w:ind w:right="7120" w:firstLine="8"/>
        <w:spacing w:after="0" w:line="529" w:lineRule="auto"/>
        <w:tabs>
          <w:tab w:leader="none" w:pos="648"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Fair Value of Financial Instruments</w:t>
      </w:r>
      <w:r>
        <w:rPr>
          <w:rFonts w:ascii="Times New Roman" w:cs="Times New Roman" w:eastAsia="Times New Roman" w:hAnsi="Times New Roman"/>
          <w:sz w:val="17"/>
          <w:szCs w:val="17"/>
          <w:color w:val="auto"/>
        </w:rPr>
        <w:t xml:space="preserve"> (Continued) The items shown under Level 3 are valued as follows:</w:t>
      </w: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Loans Held for 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elected the fair value option for loans held for sale. The fair value is based on quoted market prices (when available).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a quoted market price is not readily available, the Company uses the market price from its last sale of similar assets. Fair value is often difficult to determine and may contain significant unobservable inputs.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Loan Commitments and Forward Sale Commitments</w:t>
      </w:r>
      <w:r>
        <w:rPr>
          <w:rFonts w:ascii="Times New Roman" w:cs="Times New Roman" w:eastAsia="Times New Roman" w:hAnsi="Times New Roman"/>
          <w:sz w:val="18"/>
          <w:szCs w:val="18"/>
          <w:color w:val="auto"/>
        </w:rPr>
        <w:t>: The Company’s mortgage segment enters into loan commitments with potential borrowers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forward sale commitments to sell loans to third-party investors. The Company also uses a hedging strategy for these transactions. A loan commitment binds the Company to lend funds to a qualified borrower at a specified interest rate and within a specified period, generally up to 30 days after issuance of the loan commitment. Loan commitments are defined to be derivatives under GAAP and are recognized at fair value on the consolidated balance sheets with changes in their fair values recorded in current earnings.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estimates the fair value of a loan commitment based on the change in estimated fair value of the underlying mortgage loan, quoted MBS prices, estimates of the fair value of mortgage servicing rights, and an estimate of the probability that the mortgage loan will fund within the terms of the commitment. The change in fair value of the underlying mortgage loan is measured from the date the loan commitment is issued. Following issuance, the value of a mortgage loan commitment can be either positive or negative depending upon the change in value of the underlying mortgage loans. Fallout rates and other factors from the Company’s recent historical data are used to estimate the quantity and value of mortgage loans that will fund within the terms of the commitments.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Impaired Mortgage Loans Held for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believes that the fair value of these nonperforming loans will approximate the unpaid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balance expected to be recovered based on the fair value of the underlying collateral. For residential and commercial properties, the collateral value is estimated by obtaining an independent appraisal. The appraisal typically considers area comparable properties and property condition as well as potential rental income that could be generated (particularly for commercial properties). For residential construction loans, the collateral is typically incomplete, so fair value is estimated as the replacement cost using data from a provider of building cost information to the real estate construction.</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Impaired Real Estate Held for Investment</w:t>
      </w:r>
      <w:r>
        <w:rPr>
          <w:rFonts w:ascii="Times New Roman" w:cs="Times New Roman" w:eastAsia="Times New Roman" w:hAnsi="Times New Roman"/>
          <w:sz w:val="18"/>
          <w:szCs w:val="18"/>
          <w:color w:val="auto"/>
        </w:rPr>
        <w:t>: Fair value is generally determined by obtaining an independent appraisal, which typically considers area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comparable properties and property conditions. The Company believes that in an orderly market, fair value approximates the replacement cost of a home and will list for sale any foreclosed properties. In a disorderly market, the Company believes the highest and best use of the properties is as income producing assets and will hold the properties as rental properties, matching the income from the investment in rental properties with the funds required for estimated future policy benefits. Accordingly, in addition to an appraisal, the determination of the fair value will generally be weighed more heavily toward the rental analysis.</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should be noted that for replacement cost, when determining the fair value of real estate held for investment, the Company uses a provider of building cost information to the real estate construction industry. For the investment analysis, the Company uses market data based upon its real estate operation experience and projected the present value of net rental income over seven years. The Company also considers comparable properties int the area and property conditions when determining fair value.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to this analysis performed by the Company, the Company depreciates Real Estate Held for Investment. This depreciation reduces the book value of these properties and lessens the exposure to the Company from further deterioration in real estate values.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7" w:lineRule="exact"/>
        <w:rPr>
          <w:sz w:val="20"/>
          <w:szCs w:val="20"/>
          <w:color w:val="auto"/>
        </w:rPr>
      </w:pPr>
    </w:p>
    <w:p>
      <w:pPr>
        <w:ind w:left="660" w:hanging="652"/>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3"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Mortgage Servicing Rights</w:t>
      </w:r>
      <w:r>
        <w:rPr>
          <w:rFonts w:ascii="Times New Roman" w:cs="Times New Roman" w:eastAsia="Times New Roman" w:hAnsi="Times New Roman"/>
          <w:sz w:val="18"/>
          <w:szCs w:val="18"/>
          <w:color w:val="auto"/>
        </w:rPr>
        <w:t>: The Company initially recognizes MSRs at their estimated fair values derived from the net cash flows associated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servicing contracts, where the Company assumes the obligation to service the loan in the sale transaction.</w:t>
      </w:r>
    </w:p>
    <w:p>
      <w:pPr>
        <w:spacing w:after="0" w:line="16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Level 1, 2 and 3 financial assets and financial liabilities measured at fair value on a recurring basis by their classification in the consolidated balance sheet as of December 31, 2025.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Quoted</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Prices in</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Active</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Markets for</w:t>
            </w:r>
          </w:p>
        </w:tc>
        <w:tc>
          <w:tcPr>
            <w:tcW w:w="140" w:type="dxa"/>
            <w:vAlign w:val="bottom"/>
          </w:tcPr>
          <w:p>
            <w:pPr>
              <w:spacing w:after="0"/>
              <w:rPr>
                <w:sz w:val="18"/>
                <w:szCs w:val="18"/>
                <w:color w:val="auto"/>
              </w:rPr>
            </w:pPr>
          </w:p>
        </w:tc>
        <w:tc>
          <w:tcPr>
            <w:tcW w:w="14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8"/>
              </w:rPr>
              <w:t>Significant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Significant</w:t>
            </w:r>
          </w:p>
        </w:tc>
      </w:tr>
      <w:tr>
        <w:trPr>
          <w:trHeight w:val="216"/>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8"/>
              </w:rPr>
              <w:t>Identical</w:t>
            </w:r>
          </w:p>
        </w:tc>
        <w:tc>
          <w:tcPr>
            <w:tcW w:w="140" w:type="dxa"/>
            <w:vAlign w:val="bottom"/>
          </w:tcPr>
          <w:p>
            <w:pPr>
              <w:spacing w:after="0"/>
              <w:rPr>
                <w:sz w:val="18"/>
                <w:szCs w:val="18"/>
                <w:color w:val="auto"/>
              </w:rPr>
            </w:pPr>
          </w:p>
        </w:tc>
        <w:tc>
          <w:tcPr>
            <w:tcW w:w="14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Observable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Unobservable</w:t>
            </w:r>
          </w:p>
        </w:tc>
      </w:tr>
      <w:tr>
        <w:trPr>
          <w:trHeight w:val="216"/>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7"/>
              </w:rPr>
              <w:t>Assets</w:t>
            </w:r>
          </w:p>
        </w:tc>
        <w:tc>
          <w:tcPr>
            <w:tcW w:w="140" w:type="dxa"/>
            <w:vAlign w:val="bottom"/>
          </w:tcPr>
          <w:p>
            <w:pPr>
              <w:spacing w:after="0"/>
              <w:rPr>
                <w:sz w:val="18"/>
                <w:szCs w:val="18"/>
                <w:color w:val="auto"/>
              </w:rPr>
            </w:pPr>
          </w:p>
        </w:tc>
        <w:tc>
          <w:tcPr>
            <w:tcW w:w="14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rPr>
              <w:t>Inputs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7"/>
              </w:rPr>
              <w:t>Inputs</w:t>
            </w:r>
          </w:p>
        </w:tc>
      </w:tr>
      <w:tr>
        <w:trPr>
          <w:trHeight w:val="234"/>
        </w:trPr>
        <w:tc>
          <w:tcPr>
            <w:tcW w:w="5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581"/>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(Level 1)</w:t>
            </w:r>
          </w:p>
        </w:tc>
        <w:tc>
          <w:tcPr>
            <w:tcW w:w="140" w:type="dxa"/>
            <w:vAlign w:val="bottom"/>
          </w:tcPr>
          <w:p>
            <w:pPr>
              <w:spacing w:after="0"/>
              <w:rPr>
                <w:sz w:val="20"/>
                <w:szCs w:val="20"/>
                <w:color w:val="auto"/>
              </w:rPr>
            </w:pPr>
          </w:p>
        </w:tc>
        <w:tc>
          <w:tcPr>
            <w:tcW w:w="14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(Level 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(Level 3)</w:t>
            </w:r>
          </w:p>
        </w:tc>
      </w:tr>
      <w:tr>
        <w:trPr>
          <w:trHeight w:val="209"/>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accounted for at fair value on a recurring basis</w:t>
            </w: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382,777,918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382,203,275</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574,643</w:t>
            </w:r>
          </w:p>
        </w:tc>
        <w:tc>
          <w:tcPr>
            <w:tcW w:w="8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18,050,062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18,050,062</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22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155,968,266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155,968,266</w:t>
            </w:r>
          </w:p>
        </w:tc>
        <w:tc>
          <w:tcPr>
            <w:tcW w:w="8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assets (1)</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1,177,251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1,177,251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Restricted assets (2)</w:t>
            </w:r>
          </w:p>
        </w:tc>
        <w:tc>
          <w:tcPr>
            <w:tcW w:w="22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14,928,917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14,928,917</w:t>
            </w:r>
          </w:p>
        </w:tc>
        <w:tc>
          <w:tcPr>
            <w:tcW w:w="14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(1)</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272,012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272,012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(2)</w:t>
            </w:r>
          </w:p>
        </w:tc>
        <w:tc>
          <w:tcPr>
            <w:tcW w:w="22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6,303,732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6,303,732</w:t>
            </w:r>
          </w:p>
        </w:tc>
        <w:tc>
          <w:tcPr>
            <w:tcW w:w="14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 loan commitments (3)</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1,700,742</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1,700,742</w:t>
            </w:r>
          </w:p>
        </w:tc>
        <w:tc>
          <w:tcPr>
            <w:tcW w:w="80" w:type="dxa"/>
            <w:vAlign w:val="bottom"/>
            <w:shd w:val="clear" w:color="auto" w:fill="CCEEFF"/>
          </w:tcPr>
          <w:p>
            <w:pPr>
              <w:spacing w:after="0"/>
              <w:rPr>
                <w:sz w:val="19"/>
                <w:szCs w:val="19"/>
                <w:color w:val="auto"/>
              </w:rPr>
            </w:pPr>
          </w:p>
        </w:tc>
      </w:tr>
      <w:tr>
        <w:trPr>
          <w:trHeight w:val="263"/>
        </w:trPr>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assets accounted for at fair value on a recurring basis</w:t>
            </w: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581,178,900</w:t>
            </w: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39,282,711</w:t>
            </w:r>
          </w:p>
        </w:tc>
        <w:tc>
          <w:tcPr>
            <w:tcW w:w="34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383,652,538</w:t>
            </w:r>
          </w:p>
        </w:tc>
        <w:tc>
          <w:tcPr>
            <w:tcW w:w="3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158,243,651</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7"/>
        </w:trPr>
        <w:tc>
          <w:tcPr>
            <w:tcW w:w="5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accounted for at fair value on a recurring basis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 loan commitments (4)</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(220,605)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(220,605)</w:t>
            </w:r>
          </w:p>
        </w:tc>
      </w:tr>
      <w:tr>
        <w:trPr>
          <w:trHeight w:val="22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accounted for at fair value on a recurring basis</w:t>
            </w: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(220,605</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(220,605</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left="340" w:hanging="332"/>
        <w:spacing w:after="0"/>
        <w:tabs>
          <w:tab w:leader="none" w:pos="3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maturity securities available for sale</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securities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assets on the consolidated balance sheets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liabilities and accrued expenses on the consolidated balance sheets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7" w:lineRule="exact"/>
        <w:rPr>
          <w:sz w:val="20"/>
          <w:szCs w:val="20"/>
          <w:color w:val="auto"/>
        </w:rPr>
      </w:pPr>
    </w:p>
    <w:p>
      <w:pPr>
        <w:ind w:left="660" w:hanging="652"/>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Level 1, 2 and 3 financial assets and financial liabilities measured at fair value on a recurring basis by their classification in the consolidated balance sheet as of December 31,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Quoted</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Prices in</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Active</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Markets for</w:t>
            </w:r>
          </w:p>
        </w:tc>
        <w:tc>
          <w:tcPr>
            <w:tcW w:w="140" w:type="dxa"/>
            <w:vAlign w:val="bottom"/>
          </w:tcPr>
          <w:p>
            <w:pPr>
              <w:spacing w:after="0"/>
              <w:rPr>
                <w:sz w:val="18"/>
                <w:szCs w:val="18"/>
                <w:color w:val="auto"/>
              </w:rPr>
            </w:pPr>
          </w:p>
        </w:tc>
        <w:tc>
          <w:tcPr>
            <w:tcW w:w="14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8"/>
              </w:rPr>
              <w:t>Significant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Significant</w:t>
            </w:r>
          </w:p>
        </w:tc>
      </w:tr>
      <w:tr>
        <w:trPr>
          <w:trHeight w:val="216"/>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8"/>
              </w:rPr>
              <w:t>Identical</w:t>
            </w:r>
          </w:p>
        </w:tc>
        <w:tc>
          <w:tcPr>
            <w:tcW w:w="140" w:type="dxa"/>
            <w:vAlign w:val="bottom"/>
          </w:tcPr>
          <w:p>
            <w:pPr>
              <w:spacing w:after="0"/>
              <w:rPr>
                <w:sz w:val="18"/>
                <w:szCs w:val="18"/>
                <w:color w:val="auto"/>
              </w:rPr>
            </w:pPr>
          </w:p>
        </w:tc>
        <w:tc>
          <w:tcPr>
            <w:tcW w:w="14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Observable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Unobservable</w:t>
            </w:r>
          </w:p>
        </w:tc>
      </w:tr>
      <w:tr>
        <w:trPr>
          <w:trHeight w:val="216"/>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7"/>
              </w:rPr>
              <w:t>Assets</w:t>
            </w:r>
          </w:p>
        </w:tc>
        <w:tc>
          <w:tcPr>
            <w:tcW w:w="140" w:type="dxa"/>
            <w:vAlign w:val="bottom"/>
          </w:tcPr>
          <w:p>
            <w:pPr>
              <w:spacing w:after="0"/>
              <w:rPr>
                <w:sz w:val="18"/>
                <w:szCs w:val="18"/>
                <w:color w:val="auto"/>
              </w:rPr>
            </w:pPr>
          </w:p>
        </w:tc>
        <w:tc>
          <w:tcPr>
            <w:tcW w:w="14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rPr>
              <w:t>Inputs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7"/>
              </w:rPr>
              <w:t>Inputs</w:t>
            </w:r>
          </w:p>
        </w:tc>
      </w:tr>
      <w:tr>
        <w:trPr>
          <w:trHeight w:val="234"/>
        </w:trPr>
        <w:tc>
          <w:tcPr>
            <w:tcW w:w="5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581"/>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(Level 1)</w:t>
            </w:r>
          </w:p>
        </w:tc>
        <w:tc>
          <w:tcPr>
            <w:tcW w:w="140" w:type="dxa"/>
            <w:vAlign w:val="bottom"/>
          </w:tcPr>
          <w:p>
            <w:pPr>
              <w:spacing w:after="0"/>
              <w:rPr>
                <w:sz w:val="20"/>
                <w:szCs w:val="20"/>
                <w:color w:val="auto"/>
              </w:rPr>
            </w:pPr>
          </w:p>
        </w:tc>
        <w:tc>
          <w:tcPr>
            <w:tcW w:w="14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(Level 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(Level 3)</w:t>
            </w: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accounted for at fair value on a recurring basis</w:t>
            </w: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366,546,129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365,396,203</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1,149,926</w:t>
            </w:r>
          </w:p>
        </w:tc>
        <w:tc>
          <w:tcPr>
            <w:tcW w:w="8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15,771,681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15,771,681</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22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131,181,148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131,181,148</w:t>
            </w:r>
          </w:p>
        </w:tc>
        <w:tc>
          <w:tcPr>
            <w:tcW w:w="8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assets (1)</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2,351,369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2,351,369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Restricted assets (2)</w:t>
            </w:r>
          </w:p>
        </w:tc>
        <w:tc>
          <w:tcPr>
            <w:tcW w:w="22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9,972,166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9,972,166</w:t>
            </w:r>
          </w:p>
        </w:tc>
        <w:tc>
          <w:tcPr>
            <w:tcW w:w="14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(1)</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769,662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769,662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(2)</w:t>
            </w:r>
          </w:p>
        </w:tc>
        <w:tc>
          <w:tcPr>
            <w:tcW w:w="22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4,920,044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4,920,044</w:t>
            </w:r>
          </w:p>
        </w:tc>
        <w:tc>
          <w:tcPr>
            <w:tcW w:w="14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 loan commitments (3)</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5,348,089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5,348,089</w:t>
            </w:r>
          </w:p>
        </w:tc>
        <w:tc>
          <w:tcPr>
            <w:tcW w:w="80" w:type="dxa"/>
            <w:vAlign w:val="bottom"/>
            <w:shd w:val="clear" w:color="auto" w:fill="CCEEFF"/>
          </w:tcPr>
          <w:p>
            <w:pPr>
              <w:spacing w:after="0"/>
              <w:rPr>
                <w:sz w:val="19"/>
                <w:szCs w:val="19"/>
                <w:color w:val="auto"/>
              </w:rPr>
            </w:pPr>
          </w:p>
        </w:tc>
      </w:tr>
      <w:tr>
        <w:trPr>
          <w:trHeight w:val="263"/>
        </w:trPr>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assets accounted for at fair value on a recurring basis</w:t>
            </w: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536,860,288</w:t>
            </w: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30,663,891</w:t>
            </w:r>
          </w:p>
        </w:tc>
        <w:tc>
          <w:tcPr>
            <w:tcW w:w="34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368,517,234</w:t>
            </w:r>
          </w:p>
        </w:tc>
        <w:tc>
          <w:tcPr>
            <w:tcW w:w="3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137,679,163</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7"/>
        </w:trPr>
        <w:tc>
          <w:tcPr>
            <w:tcW w:w="5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accounted for at fair value on a recurring basis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 loan commitments (4)</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(3,034,879)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(3,034,879)</w:t>
            </w:r>
          </w:p>
        </w:tc>
      </w:tr>
      <w:tr>
        <w:trPr>
          <w:trHeight w:val="22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accounted for at fair value on a recurring basis</w:t>
            </w: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(3,034,879</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(3,034,879</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left="340" w:hanging="332"/>
        <w:spacing w:after="0"/>
        <w:tabs>
          <w:tab w:leader="none" w:pos="3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maturity securities available for sale</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securities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assets on the consolidated balance sheets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liabilities and accrued expenses on the consolidated balance sheets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Level 3 assets and liabilities measured at fair value on a recurring basis as of December 31, 2025, the significant unobservable inputs used in the fair value measurements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4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Significant</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40" w:type="dxa"/>
            <w:vAlign w:val="bottom"/>
            <w:gridSpan w:val="5"/>
          </w:tcPr>
          <w:p>
            <w:pPr>
              <w:jc w:val="right"/>
              <w:ind w:right="1120"/>
              <w:spacing w:after="0"/>
              <w:rPr>
                <w:sz w:val="20"/>
                <w:szCs w:val="20"/>
                <w:color w:val="auto"/>
              </w:rPr>
            </w:pPr>
            <w:r>
              <w:rPr>
                <w:rFonts w:ascii="Times New Roman" w:cs="Times New Roman" w:eastAsia="Times New Roman" w:hAnsi="Times New Roman"/>
                <w:sz w:val="18"/>
                <w:szCs w:val="18"/>
                <w:color w:val="auto"/>
              </w:rPr>
              <w:t>Range of Inputs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05"/>
        </w:trPr>
        <w:tc>
          <w:tcPr>
            <w:tcW w:w="2420" w:type="dxa"/>
            <w:vAlign w:val="bottom"/>
          </w:tcPr>
          <w:p>
            <w:pPr>
              <w:spacing w:after="0"/>
              <w:rPr>
                <w:sz w:val="17"/>
                <w:szCs w:val="17"/>
                <w:color w:val="auto"/>
              </w:rPr>
            </w:pPr>
          </w:p>
        </w:tc>
        <w:tc>
          <w:tcPr>
            <w:tcW w:w="1380" w:type="dxa"/>
            <w:vAlign w:val="bottom"/>
            <w:gridSpan w:val="2"/>
          </w:tcPr>
          <w:p>
            <w:pPr>
              <w:ind w:left="140"/>
              <w:spacing w:after="0" w:line="205" w:lineRule="exact"/>
              <w:rPr>
                <w:sz w:val="20"/>
                <w:szCs w:val="20"/>
                <w:color w:val="auto"/>
              </w:rPr>
            </w:pPr>
            <w:r>
              <w:rPr>
                <w:rFonts w:ascii="Times New Roman" w:cs="Times New Roman" w:eastAsia="Times New Roman" w:hAnsi="Times New Roman"/>
                <w:sz w:val="18"/>
                <w:szCs w:val="18"/>
                <w:color w:val="auto"/>
              </w:rPr>
              <w:t>Fair Value at</w:t>
            </w:r>
          </w:p>
        </w:tc>
        <w:tc>
          <w:tcPr>
            <w:tcW w:w="160" w:type="dxa"/>
            <w:vAlign w:val="bottom"/>
          </w:tcPr>
          <w:p>
            <w:pPr>
              <w:spacing w:after="0"/>
              <w:rPr>
                <w:sz w:val="17"/>
                <w:szCs w:val="17"/>
                <w:color w:val="auto"/>
              </w:rPr>
            </w:pPr>
          </w:p>
        </w:tc>
        <w:tc>
          <w:tcPr>
            <w:tcW w:w="1340" w:type="dxa"/>
            <w:vAlign w:val="bottom"/>
            <w:gridSpan w:val="2"/>
          </w:tcPr>
          <w:p>
            <w:pPr>
              <w:jc w:val="center"/>
              <w:ind w:right="220"/>
              <w:spacing w:after="0" w:line="205" w:lineRule="exact"/>
              <w:rPr>
                <w:sz w:val="20"/>
                <w:szCs w:val="20"/>
                <w:color w:val="auto"/>
              </w:rPr>
            </w:pPr>
            <w:r>
              <w:rPr>
                <w:rFonts w:ascii="Times New Roman" w:cs="Times New Roman" w:eastAsia="Times New Roman" w:hAnsi="Times New Roman"/>
                <w:sz w:val="18"/>
                <w:szCs w:val="18"/>
                <w:color w:val="auto"/>
                <w:w w:val="95"/>
              </w:rPr>
              <w:t>Valuation</w:t>
            </w:r>
          </w:p>
        </w:tc>
        <w:tc>
          <w:tcPr>
            <w:tcW w:w="112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Unobservable</w:t>
            </w: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gridSpan w:val="2"/>
          </w:tcPr>
          <w:p>
            <w:pPr>
              <w:jc w:val="right"/>
              <w:ind w:right="620"/>
              <w:spacing w:after="0" w:line="205" w:lineRule="exact"/>
              <w:rPr>
                <w:sz w:val="20"/>
                <w:szCs w:val="20"/>
                <w:color w:val="auto"/>
              </w:rPr>
            </w:pPr>
            <w:r>
              <w:rPr>
                <w:rFonts w:ascii="Times New Roman" w:cs="Times New Roman" w:eastAsia="Times New Roman" w:hAnsi="Times New Roman"/>
                <w:sz w:val="18"/>
                <w:szCs w:val="18"/>
                <w:color w:val="auto"/>
              </w:rPr>
              <w:t>Minimum</w:t>
            </w: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150"/>
              <w:spacing w:after="0" w:line="205" w:lineRule="exact"/>
              <w:rPr>
                <w:sz w:val="20"/>
                <w:szCs w:val="20"/>
                <w:color w:val="auto"/>
              </w:rPr>
            </w:pPr>
            <w:r>
              <w:rPr>
                <w:rFonts w:ascii="Times New Roman" w:cs="Times New Roman" w:eastAsia="Times New Roman" w:hAnsi="Times New Roman"/>
                <w:sz w:val="18"/>
                <w:szCs w:val="18"/>
                <w:color w:val="auto"/>
              </w:rPr>
              <w:t>Maximum</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right"/>
              <w:ind w:right="440"/>
              <w:spacing w:after="0" w:line="205" w:lineRule="exact"/>
              <w:rPr>
                <w:sz w:val="20"/>
                <w:szCs w:val="20"/>
                <w:color w:val="auto"/>
              </w:rPr>
            </w:pPr>
            <w:r>
              <w:rPr>
                <w:rFonts w:ascii="Times New Roman" w:cs="Times New Roman" w:eastAsia="Times New Roman" w:hAnsi="Times New Roman"/>
                <w:sz w:val="18"/>
                <w:szCs w:val="18"/>
                <w:color w:val="auto"/>
              </w:rPr>
              <w:t>Weighted</w:t>
            </w:r>
          </w:p>
        </w:tc>
      </w:tr>
      <w:tr>
        <w:trPr>
          <w:trHeight w:val="234"/>
        </w:trPr>
        <w:tc>
          <w:tcPr>
            <w:tcW w:w="2420" w:type="dxa"/>
            <w:vAlign w:val="bottom"/>
          </w:tcPr>
          <w:p>
            <w:pPr>
              <w:spacing w:after="0"/>
              <w:rPr>
                <w:sz w:val="20"/>
                <w:szCs w:val="20"/>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12/31/2025</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Technique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Input(s)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Value</w:t>
            </w:r>
          </w:p>
        </w:tc>
        <w:tc>
          <w:tcPr>
            <w:tcW w:w="160" w:type="dxa"/>
            <w:vAlign w:val="bottom"/>
          </w:tcPr>
          <w:p>
            <w:pPr>
              <w:spacing w:after="0"/>
              <w:rPr>
                <w:sz w:val="20"/>
                <w:szCs w:val="20"/>
                <w:color w:val="auto"/>
              </w:rPr>
            </w:pPr>
          </w:p>
        </w:tc>
        <w:tc>
          <w:tcPr>
            <w:tcW w:w="13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Value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Average</w:t>
            </w:r>
          </w:p>
        </w:tc>
      </w:tr>
      <w:tr>
        <w:trPr>
          <w:trHeight w:val="191"/>
        </w:trPr>
        <w:tc>
          <w:tcPr>
            <w:tcW w:w="242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Investor</w:t>
            </w: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16"/>
        </w:trPr>
        <w:tc>
          <w:tcPr>
            <w:tcW w:w="2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pricing as a</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percentage of</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unpaid</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Market</w:t>
            </w: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155,968,266</w:t>
            </w:r>
          </w:p>
        </w:tc>
        <w:tc>
          <w:tcPr>
            <w:tcW w:w="15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approach</w:t>
            </w: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86.0%</w:t>
            </w:r>
          </w:p>
        </w:tc>
        <w:tc>
          <w:tcPr>
            <w:tcW w:w="1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102.0%</w:t>
            </w:r>
          </w:p>
        </w:tc>
      </w:tr>
      <w:tr>
        <w:trPr>
          <w:trHeight w:val="216"/>
        </w:trPr>
        <w:tc>
          <w:tcPr>
            <w:tcW w:w="2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2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Derivatives - loan</w:t>
            </w: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gridSpan w:val="3"/>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Market</w:t>
            </w:r>
          </w:p>
        </w:tc>
        <w:tc>
          <w:tcPr>
            <w:tcW w:w="1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Pull-through</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(net)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1,480,137</w:t>
            </w:r>
          </w:p>
        </w:tc>
        <w:tc>
          <w:tcPr>
            <w:tcW w:w="15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approach</w:t>
            </w: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rate</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60.0%</w:t>
            </w:r>
          </w:p>
        </w:tc>
        <w:tc>
          <w:tcPr>
            <w:tcW w:w="1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89.0%</w:t>
            </w:r>
          </w:p>
        </w:tc>
      </w:tr>
      <w:tr>
        <w:trPr>
          <w:trHeight w:val="216"/>
        </w:trPr>
        <w:tc>
          <w:tcPr>
            <w:tcW w:w="2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Initial-Value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2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Servicing</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 bps</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251 bps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 bps</w:t>
            </w:r>
          </w:p>
        </w:tc>
      </w:tr>
      <w:tr>
        <w:trPr>
          <w:trHeight w:val="216"/>
        </w:trPr>
        <w:tc>
          <w:tcPr>
            <w:tcW w:w="2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2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Fixed maturity securities</w:t>
            </w: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for sale</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574,643</w:t>
            </w:r>
          </w:p>
        </w:tc>
        <w:tc>
          <w:tcPr>
            <w:tcW w:w="15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Broker quotes</w:t>
            </w: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Pricing quotes</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100.77</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100.10</w:t>
            </w:r>
          </w:p>
        </w:tc>
      </w:tr>
      <w:tr>
        <w:trPr>
          <w:trHeight w:val="439"/>
        </w:trPr>
        <w:tc>
          <w:tcPr>
            <w:tcW w:w="24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120</w:t>
            </w: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7" w:lineRule="exact"/>
        <w:rPr>
          <w:sz w:val="20"/>
          <w:szCs w:val="20"/>
          <w:color w:val="auto"/>
        </w:rPr>
      </w:pPr>
    </w:p>
    <w:p>
      <w:pPr>
        <w:ind w:left="660" w:hanging="652"/>
        <w:spacing w:after="0"/>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Level 3 assets and liabilities measured at fair value on a recurring basis as of December 31, 2024, the significant unobservable inputs used in the fair value measurements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Significant</w:t>
            </w: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color w:val="auto"/>
              </w:rPr>
              <w:t>Range of Inputs</w:t>
            </w:r>
          </w:p>
        </w:tc>
        <w:tc>
          <w:tcPr>
            <w:tcW w:w="4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05"/>
        </w:trPr>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Fair Value at</w:t>
            </w:r>
          </w:p>
        </w:tc>
        <w:tc>
          <w:tcPr>
            <w:tcW w:w="160" w:type="dxa"/>
            <w:vAlign w:val="bottom"/>
          </w:tcPr>
          <w:p>
            <w:pPr>
              <w:spacing w:after="0"/>
              <w:rPr>
                <w:sz w:val="17"/>
                <w:szCs w:val="17"/>
                <w:color w:val="auto"/>
              </w:rPr>
            </w:pPr>
          </w:p>
        </w:tc>
        <w:tc>
          <w:tcPr>
            <w:tcW w:w="112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5"/>
              </w:rPr>
              <w:t>Valuation</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center"/>
              <w:ind w:right="160"/>
              <w:spacing w:after="0" w:line="205" w:lineRule="exact"/>
              <w:rPr>
                <w:sz w:val="20"/>
                <w:szCs w:val="20"/>
                <w:color w:val="auto"/>
              </w:rPr>
            </w:pPr>
            <w:r>
              <w:rPr>
                <w:rFonts w:ascii="Times New Roman" w:cs="Times New Roman" w:eastAsia="Times New Roman" w:hAnsi="Times New Roman"/>
                <w:sz w:val="18"/>
                <w:szCs w:val="18"/>
                <w:color w:val="auto"/>
                <w:w w:val="99"/>
              </w:rPr>
              <w:t>Unobservable</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gridSpan w:val="4"/>
          </w:tcPr>
          <w:p>
            <w:pPr>
              <w:jc w:val="right"/>
              <w:ind w:right="420"/>
              <w:spacing w:after="0" w:line="205" w:lineRule="exact"/>
              <w:rPr>
                <w:sz w:val="20"/>
                <w:szCs w:val="20"/>
                <w:color w:val="auto"/>
              </w:rPr>
            </w:pPr>
            <w:r>
              <w:rPr>
                <w:rFonts w:ascii="Times New Roman" w:cs="Times New Roman" w:eastAsia="Times New Roman" w:hAnsi="Times New Roman"/>
                <w:sz w:val="18"/>
                <w:szCs w:val="18"/>
                <w:color w:val="auto"/>
              </w:rPr>
              <w:t>Minimum</w:t>
            </w:r>
          </w:p>
        </w:tc>
        <w:tc>
          <w:tcPr>
            <w:tcW w:w="200" w:type="dxa"/>
            <w:vAlign w:val="bottom"/>
          </w:tcPr>
          <w:p>
            <w:pPr>
              <w:spacing w:after="0"/>
              <w:rPr>
                <w:sz w:val="17"/>
                <w:szCs w:val="17"/>
                <w:color w:val="auto"/>
              </w:rPr>
            </w:pPr>
          </w:p>
        </w:tc>
        <w:tc>
          <w:tcPr>
            <w:tcW w:w="1240" w:type="dxa"/>
            <w:vAlign w:val="bottom"/>
            <w:gridSpan w:val="3"/>
          </w:tcPr>
          <w:p>
            <w:pPr>
              <w:jc w:val="right"/>
              <w:ind w:right="240"/>
              <w:spacing w:after="0" w:line="205" w:lineRule="exact"/>
              <w:rPr>
                <w:sz w:val="20"/>
                <w:szCs w:val="20"/>
                <w:color w:val="auto"/>
              </w:rPr>
            </w:pPr>
            <w:r>
              <w:rPr>
                <w:rFonts w:ascii="Times New Roman" w:cs="Times New Roman" w:eastAsia="Times New Roman" w:hAnsi="Times New Roman"/>
                <w:sz w:val="18"/>
                <w:szCs w:val="18"/>
                <w:color w:val="auto"/>
              </w:rPr>
              <w:t>Maximum</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3"/>
          </w:tcPr>
          <w:p>
            <w:pPr>
              <w:jc w:val="right"/>
              <w:ind w:right="440"/>
              <w:spacing w:after="0" w:line="205" w:lineRule="exact"/>
              <w:rPr>
                <w:sz w:val="20"/>
                <w:szCs w:val="20"/>
                <w:color w:val="auto"/>
              </w:rPr>
            </w:pPr>
            <w:r>
              <w:rPr>
                <w:rFonts w:ascii="Times New Roman" w:cs="Times New Roman" w:eastAsia="Times New Roman" w:hAnsi="Times New Roman"/>
                <w:sz w:val="18"/>
                <w:szCs w:val="18"/>
                <w:color w:val="auto"/>
              </w:rPr>
              <w:t>Weighted</w:t>
            </w:r>
          </w:p>
        </w:tc>
      </w:tr>
      <w:tr>
        <w:trPr>
          <w:trHeight w:val="234"/>
        </w:trPr>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12/31/2024</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Technique</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Input(s)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color w:val="auto"/>
              </w:rPr>
              <w:t>Value</w:t>
            </w:r>
          </w:p>
        </w:tc>
        <w:tc>
          <w:tcPr>
            <w:tcW w:w="200" w:type="dxa"/>
            <w:vAlign w:val="bottom"/>
          </w:tcPr>
          <w:p>
            <w:pPr>
              <w:spacing w:after="0"/>
              <w:rPr>
                <w:sz w:val="20"/>
                <w:szCs w:val="20"/>
                <w:color w:val="auto"/>
              </w:rPr>
            </w:pPr>
          </w:p>
        </w:tc>
        <w:tc>
          <w:tcPr>
            <w:tcW w:w="140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color w:val="auto"/>
              </w:rPr>
              <w:t>Value</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Average</w:t>
            </w:r>
          </w:p>
        </w:tc>
      </w:tr>
      <w:tr>
        <w:trPr>
          <w:trHeight w:val="191"/>
        </w:trPr>
        <w:tc>
          <w:tcPr>
            <w:tcW w:w="24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Investor</w:t>
            </w:r>
          </w:p>
        </w:tc>
        <w:tc>
          <w:tcPr>
            <w:tcW w:w="1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16"/>
        </w:trPr>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pricing as a</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percentage of</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unpaid</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Market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131,181,148</w:t>
            </w:r>
          </w:p>
        </w:tc>
        <w:tc>
          <w:tcPr>
            <w:tcW w:w="1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approach</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84.0%</w:t>
            </w: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102.0%</w:t>
            </w:r>
          </w:p>
        </w:tc>
      </w:tr>
      <w:tr>
        <w:trPr>
          <w:trHeight w:val="216"/>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2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Derivatives - loan</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Market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Pull-through</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(net)</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2,313,210</w:t>
            </w:r>
          </w:p>
        </w:tc>
        <w:tc>
          <w:tcPr>
            <w:tcW w:w="1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approach</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rate</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63.0%</w:t>
            </w: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83.0%</w:t>
            </w:r>
          </w:p>
        </w:tc>
      </w:tr>
      <w:tr>
        <w:trPr>
          <w:trHeight w:val="216"/>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Initial-Value</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Servicing</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 bps</w:t>
            </w:r>
          </w:p>
        </w:tc>
        <w:tc>
          <w:tcPr>
            <w:tcW w:w="20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242 bps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 bps</w:t>
            </w:r>
          </w:p>
        </w:tc>
      </w:tr>
      <w:tr>
        <w:trPr>
          <w:trHeight w:val="216"/>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2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Fixed maturity securities</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for sale</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1,149,926</w:t>
            </w:r>
          </w:p>
        </w:tc>
        <w:tc>
          <w:tcPr>
            <w:tcW w:w="1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Broker quotes</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Pricing quotes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2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100.00</w:t>
            </w:r>
          </w:p>
        </w:tc>
        <w:tc>
          <w:tcPr>
            <w:tcW w:w="920" w:type="dxa"/>
            <w:vAlign w:val="bottom"/>
            <w:gridSpan w:val="2"/>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101.20</w:t>
            </w:r>
          </w:p>
        </w:tc>
        <w:tc>
          <w:tcPr>
            <w:tcW w:w="4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100.16</w:t>
            </w:r>
          </w:p>
        </w:tc>
      </w:tr>
      <w:tr>
        <w:trPr>
          <w:trHeight w:val="432"/>
        </w:trPr>
        <w:tc>
          <w:tcPr>
            <w:tcW w:w="89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The following table is a summary of changes in the consolidated balance sheet line items measured using level 3 inputs:</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4"/>
        </w:trPr>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Net Derivatives</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color w:val="auto"/>
                <w:w w:val="99"/>
              </w:rPr>
              <w:t>Fixed Maturity</w:t>
            </w:r>
          </w:p>
        </w:tc>
      </w:tr>
      <w:tr>
        <w:trPr>
          <w:trHeight w:val="216"/>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Loan</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color w:val="auto"/>
              </w:rPr>
              <w:t>Loans Held</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4"/>
          </w:tcPr>
          <w:p>
            <w:pPr>
              <w:jc w:val="center"/>
              <w:ind w:right="660"/>
              <w:spacing w:after="0"/>
              <w:rPr>
                <w:sz w:val="20"/>
                <w:szCs w:val="20"/>
                <w:color w:val="auto"/>
              </w:rPr>
            </w:pPr>
            <w:r>
              <w:rPr>
                <w:rFonts w:ascii="Times New Roman" w:cs="Times New Roman" w:eastAsia="Times New Roman" w:hAnsi="Times New Roman"/>
                <w:sz w:val="18"/>
                <w:szCs w:val="18"/>
                <w:color w:val="auto"/>
                <w:w w:val="98"/>
              </w:rPr>
              <w:t>Securities</w:t>
            </w:r>
          </w:p>
        </w:tc>
      </w:tr>
      <w:tr>
        <w:trPr>
          <w:trHeight w:val="234"/>
        </w:trPr>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Commitments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color w:val="auto"/>
              </w:rPr>
              <w:t>for Sale</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gridSpan w:val="6"/>
          </w:tcPr>
          <w:p>
            <w:pPr>
              <w:jc w:val="center"/>
              <w:ind w:right="300"/>
              <w:spacing w:after="0"/>
              <w:rPr>
                <w:sz w:val="20"/>
                <w:szCs w:val="20"/>
                <w:color w:val="auto"/>
              </w:rPr>
            </w:pPr>
            <w:r>
              <w:rPr>
                <w:rFonts w:ascii="Times New Roman" w:cs="Times New Roman" w:eastAsia="Times New Roman" w:hAnsi="Times New Roman"/>
                <w:sz w:val="18"/>
                <w:szCs w:val="18"/>
                <w:color w:val="auto"/>
                <w:w w:val="99"/>
              </w:rPr>
              <w:t>Available for Sale</w:t>
            </w:r>
          </w:p>
        </w:tc>
      </w:tr>
      <w:tr>
        <w:trPr>
          <w:trHeight w:val="209"/>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2024</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2,313,210</w:t>
            </w:r>
          </w:p>
        </w:tc>
        <w:tc>
          <w:tcPr>
            <w:tcW w:w="1020" w:type="dxa"/>
            <w:vAlign w:val="bottom"/>
            <w:gridSpan w:val="3"/>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131,181,148</w:t>
            </w:r>
          </w:p>
        </w:tc>
        <w:tc>
          <w:tcPr>
            <w:tcW w:w="68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1,149,926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Originations/purchases</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2,296,054,902</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maturities and paydowns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gridSpan w:val="7"/>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(2,323,112,059)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(574,074)</w:t>
            </w:r>
          </w:p>
        </w:tc>
      </w:tr>
      <w:tr>
        <w:trPr>
          <w:trHeight w:val="216"/>
        </w:trPr>
        <w:tc>
          <w:tcPr>
            <w:tcW w:w="3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Foreclosed into real estate held for sale</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(828,063)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Foreclosed into receivables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(380,000)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Total gains (losses):</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Included in earnings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(833,073) (1)</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53,052,338(1)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38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Included in other comprehensive income</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(1,209)</w:t>
            </w:r>
          </w:p>
        </w:tc>
      </w:tr>
      <w:tr>
        <w:trPr>
          <w:trHeight w:val="209"/>
        </w:trPr>
        <w:tc>
          <w:tcPr>
            <w:tcW w:w="2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43"/>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Balance - December 31, 2025</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1,480,137</w:t>
            </w:r>
          </w:p>
        </w:tc>
        <w:tc>
          <w:tcPr>
            <w:tcW w:w="1020" w:type="dxa"/>
            <w:vAlign w:val="bottom"/>
            <w:gridSpan w:val="3"/>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155,968,266</w:t>
            </w:r>
          </w:p>
        </w:tc>
        <w:tc>
          <w:tcPr>
            <w:tcW w:w="6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574,643</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0"/>
        </w:trPr>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left="340" w:hanging="332"/>
        <w:spacing w:after="0"/>
        <w:tabs>
          <w:tab w:leader="none" w:pos="3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component of mortgage fee income on the consolidated statements of earnings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component of net investment income on the consolidated statements of earnings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summary of changes in the consolidated balance sheet line items measured using level 3 inputs: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rPr>
              <w:t>Net Derivatives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Fixed Maturity</w:t>
            </w:r>
          </w:p>
        </w:tc>
      </w:tr>
      <w:tr>
        <w:trPr>
          <w:trHeight w:val="216"/>
        </w:trPr>
        <w:tc>
          <w:tcPr>
            <w:tcW w:w="4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rPr>
              <w:t>Loan</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Loans Held</w:t>
            </w:r>
          </w:p>
        </w:tc>
        <w:tc>
          <w:tcPr>
            <w:tcW w:w="120" w:type="dxa"/>
            <w:vAlign w:val="bottom"/>
          </w:tcPr>
          <w:p>
            <w:pPr>
              <w:spacing w:after="0"/>
              <w:rPr>
                <w:sz w:val="18"/>
                <w:szCs w:val="18"/>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Securities</w:t>
            </w:r>
          </w:p>
        </w:tc>
      </w:tr>
      <w:tr>
        <w:trPr>
          <w:trHeight w:val="234"/>
        </w:trPr>
        <w:tc>
          <w:tcPr>
            <w:tcW w:w="4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9"/>
              </w:rPr>
              <w:t>Commitments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4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for Sale</w:t>
            </w:r>
          </w:p>
        </w:tc>
        <w:tc>
          <w:tcPr>
            <w:tcW w:w="120" w:type="dxa"/>
            <w:vAlign w:val="bottom"/>
          </w:tcPr>
          <w:p>
            <w:pPr>
              <w:spacing w:after="0"/>
              <w:rPr>
                <w:sz w:val="20"/>
                <w:szCs w:val="20"/>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Available for Sale</w:t>
            </w:r>
          </w:p>
        </w:tc>
      </w:tr>
      <w:tr>
        <w:trPr>
          <w:trHeight w:val="209"/>
        </w:trPr>
        <w:tc>
          <w:tcPr>
            <w:tcW w:w="4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2023</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1,583,262</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126,549,190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1,238,656</w:t>
            </w:r>
          </w:p>
        </w:tc>
        <w:tc>
          <w:tcPr>
            <w:tcW w:w="22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Originations/purchases</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2,295,830,408</w:t>
            </w:r>
          </w:p>
        </w:tc>
        <w:tc>
          <w:tcPr>
            <w:tcW w:w="120" w:type="dxa"/>
            <w:vAlign w:val="bottom"/>
          </w:tcPr>
          <w:p>
            <w:pPr>
              <w:spacing w:after="0"/>
              <w:rPr>
                <w:sz w:val="18"/>
                <w:szCs w:val="18"/>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maturities and paydowns</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(2,338,209,587)</w:t>
            </w: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(92,593)</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Foreclosed into real estate held for sale</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(858,977)</w:t>
            </w:r>
          </w:p>
        </w:tc>
        <w:tc>
          <w:tcPr>
            <w:tcW w:w="120" w:type="dxa"/>
            <w:vAlign w:val="bottom"/>
          </w:tcPr>
          <w:p>
            <w:pPr>
              <w:spacing w:after="0"/>
              <w:rPr>
                <w:sz w:val="18"/>
                <w:szCs w:val="18"/>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Foreclosed into receivables</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(382,936)</w:t>
            </w: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Total gains (losses):</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Included in earnings</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729,948(1)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48,253,050(1)</w:t>
            </w: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Included in other comprehensive income</w:t>
            </w: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3,863</w:t>
            </w:r>
          </w:p>
        </w:tc>
        <w:tc>
          <w:tcPr>
            <w:tcW w:w="220" w:type="dxa"/>
            <w:vAlign w:val="bottom"/>
          </w:tcPr>
          <w:p>
            <w:pPr>
              <w:spacing w:after="0"/>
              <w:rPr>
                <w:sz w:val="19"/>
                <w:szCs w:val="19"/>
                <w:color w:val="auto"/>
              </w:rPr>
            </w:pPr>
          </w:p>
        </w:tc>
      </w:tr>
      <w:tr>
        <w:trPr>
          <w:trHeight w:val="209"/>
        </w:trPr>
        <w:tc>
          <w:tcPr>
            <w:tcW w:w="41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r>
      <w:tr>
        <w:trPr>
          <w:trHeight w:val="243"/>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Balance - December 31, 2024</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2,313,210</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131,181,148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1,149,926</w:t>
            </w:r>
          </w:p>
        </w:tc>
        <w:tc>
          <w:tcPr>
            <w:tcW w:w="220" w:type="dxa"/>
            <w:vAlign w:val="bottom"/>
          </w:tcPr>
          <w:p>
            <w:pPr>
              <w:spacing w:after="0"/>
              <w:rPr>
                <w:sz w:val="21"/>
                <w:szCs w:val="21"/>
                <w:color w:val="auto"/>
              </w:rPr>
            </w:pPr>
          </w:p>
        </w:tc>
      </w:tr>
      <w:tr>
        <w:trPr>
          <w:trHeight w:val="20"/>
        </w:trPr>
        <w:tc>
          <w:tcPr>
            <w:tcW w:w="4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18" w:lineRule="exact"/>
        <w:rPr>
          <w:sz w:val="20"/>
          <w:szCs w:val="20"/>
          <w:color w:val="auto"/>
        </w:rPr>
      </w:pPr>
    </w:p>
    <w:p>
      <w:pPr>
        <w:ind w:left="340" w:hanging="332"/>
        <w:spacing w:after="0"/>
        <w:tabs>
          <w:tab w:leader="none" w:pos="3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component of mortgage fee income on the consolidated statements of earnings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component of net investment income on the consolidated statements of earnings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37"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7" w:lineRule="exact"/>
        <w:rPr>
          <w:sz w:val="20"/>
          <w:szCs w:val="20"/>
          <w:color w:val="auto"/>
        </w:rPr>
      </w:pPr>
    </w:p>
    <w:p>
      <w:pPr>
        <w:ind w:left="660" w:hanging="652"/>
        <w:spacing w:after="0"/>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did not have any financial assets and financial liabilities measured at fair value on a nonrecurring basis as of December 31, 2025, or 2024,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 Carried at Other Than Fair Value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ASC 825, Financial Instruments, requires disclosure of fair value information about financial instruments whether or not recognized in the balance sheet, for which it is practicable to estimate that value.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uses its best judgment in estimating the fair value of the Company’s financial instruments; however, there are inherent limitations in any estimation technique. Therefore, for substantially all financial instruments, the fair value estimates presented herein are not necessarily indicative of the amounts the Company could have realized in a sales transaction as of December 31, 2025, and 2024.</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values and estimated fair values for such financial instruments, and their corresponding placement in the fair value hierarchy, are summarized as follows as of December 31, 2025: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Total</w:t>
            </w:r>
          </w:p>
        </w:tc>
      </w:tr>
      <w:tr>
        <w:trPr>
          <w:trHeight w:val="216"/>
        </w:trPr>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Carrying</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Estimated</w:t>
            </w:r>
          </w:p>
        </w:tc>
      </w:tr>
      <w:tr>
        <w:trPr>
          <w:trHeight w:val="234"/>
        </w:trPr>
        <w:tc>
          <w:tcPr>
            <w:tcW w:w="4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Value</w:t>
            </w:r>
          </w:p>
        </w:tc>
        <w:tc>
          <w:tcPr>
            <w:tcW w:w="160" w:type="dxa"/>
            <w:vAlign w:val="bottom"/>
          </w:tcPr>
          <w:p>
            <w:pPr>
              <w:spacing w:after="0"/>
              <w:rPr>
                <w:sz w:val="20"/>
                <w:szCs w:val="20"/>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Level 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2</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Level 3</w:t>
            </w:r>
          </w:p>
        </w:tc>
        <w:tc>
          <w:tcPr>
            <w:tcW w:w="100" w:type="dxa"/>
            <w:vAlign w:val="bottom"/>
          </w:tcPr>
          <w:p>
            <w:pPr>
              <w:spacing w:after="0"/>
              <w:rPr>
                <w:sz w:val="20"/>
                <w:szCs w:val="20"/>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Fair Value</w:t>
            </w:r>
          </w:p>
        </w:tc>
      </w:tr>
      <w:tr>
        <w:trPr>
          <w:trHeight w:val="209"/>
        </w:trPr>
        <w:tc>
          <w:tcPr>
            <w:tcW w:w="4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 held for investment</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88,348,354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89,318,434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89,318,434</w:t>
            </w:r>
          </w:p>
        </w:tc>
      </w:tr>
      <w:tr>
        <w:trPr>
          <w:trHeight w:val="216"/>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0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156,744,272</w:t>
            </w:r>
          </w:p>
        </w:tc>
        <w:tc>
          <w:tcPr>
            <w:tcW w:w="160" w:type="dxa"/>
            <w:vAlign w:val="bottom"/>
          </w:tcPr>
          <w:p>
            <w:pPr>
              <w:spacing w:after="0"/>
              <w:rPr>
                <w:sz w:val="18"/>
                <w:szCs w:val="18"/>
                <w:color w:val="auto"/>
              </w:rPr>
            </w:pP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8"/>
                <w:szCs w:val="18"/>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156,744,272</w:t>
            </w: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156,744,272</w:t>
            </w:r>
          </w:p>
        </w:tc>
      </w:tr>
      <w:tr>
        <w:trPr>
          <w:trHeight w:val="229"/>
        </w:trPr>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77,342,759</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78,683,341</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78,683,341</w:t>
            </w:r>
          </w:p>
        </w:tc>
      </w:tr>
      <w:tr>
        <w:trPr>
          <w:trHeight w:val="210"/>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 held for investment, net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322,435,385</w:t>
            </w:r>
          </w:p>
        </w:tc>
        <w:tc>
          <w:tcPr>
            <w:tcW w:w="3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Pr>
          <w:p>
            <w:pPr>
              <w:spacing w:after="0"/>
              <w:rPr>
                <w:sz w:val="18"/>
                <w:szCs w:val="18"/>
                <w:color w:val="auto"/>
              </w:rPr>
            </w:pPr>
          </w:p>
        </w:tc>
        <w:tc>
          <w:tcPr>
            <w:tcW w:w="840" w:type="dxa"/>
            <w:vAlign w:val="bottom"/>
            <w:tcBorders>
              <w:top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324,746,047</w:t>
            </w:r>
          </w:p>
        </w:tc>
        <w:tc>
          <w:tcPr>
            <w:tcW w:w="3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324,746,047</w:t>
            </w:r>
          </w:p>
        </w:tc>
        <w:tc>
          <w:tcPr>
            <w:tcW w:w="10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Policy loans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14,467,357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14,467,357</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14,467,357</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Insurance assignments, net (1)</w:t>
            </w:r>
          </w:p>
        </w:tc>
        <w:tc>
          <w:tcPr>
            <w:tcW w:w="10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44,507,531</w:t>
            </w:r>
          </w:p>
        </w:tc>
        <w:tc>
          <w:tcPr>
            <w:tcW w:w="160" w:type="dxa"/>
            <w:vAlign w:val="bottom"/>
          </w:tcPr>
          <w:p>
            <w:pPr>
              <w:spacing w:after="0"/>
              <w:rPr>
                <w:sz w:val="18"/>
                <w:szCs w:val="18"/>
                <w:color w:val="auto"/>
              </w:rPr>
            </w:pP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8"/>
                <w:szCs w:val="18"/>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44,507,531</w:t>
            </w: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44,507,531</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assets (2)</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810,802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810,802</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810,802</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(2)</w:t>
            </w:r>
          </w:p>
        </w:tc>
        <w:tc>
          <w:tcPr>
            <w:tcW w:w="10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66,209</w:t>
            </w:r>
          </w:p>
        </w:tc>
        <w:tc>
          <w:tcPr>
            <w:tcW w:w="160" w:type="dxa"/>
            <w:vAlign w:val="bottom"/>
          </w:tcPr>
          <w:p>
            <w:pPr>
              <w:spacing w:after="0"/>
              <w:rPr>
                <w:sz w:val="18"/>
                <w:szCs w:val="18"/>
                <w:color w:val="auto"/>
              </w:rPr>
            </w:pP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8"/>
                <w:szCs w:val="18"/>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66,209</w:t>
            </w: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66,209</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servicing rights, net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2,528,459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4,035,635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4,035,635</w:t>
            </w:r>
          </w:p>
        </w:tc>
      </w:tr>
      <w:tr>
        <w:trPr>
          <w:trHeight w:val="216"/>
        </w:trPr>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Bank and other loans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(98,387,919)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(87,490,315)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(87,490,315)</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Policyholder account balances - universal life</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(35,825,494)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(35,986,392)</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(35,986,392)</w:t>
            </w:r>
          </w:p>
        </w:tc>
      </w:tr>
      <w:tr>
        <w:trPr>
          <w:trHeight w:val="234"/>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Policyholder account balances - fixed annuities</w:t>
            </w:r>
          </w:p>
        </w:tc>
        <w:tc>
          <w:tcPr>
            <w:tcW w:w="10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(104,780,256)</w:t>
            </w:r>
          </w:p>
        </w:tc>
        <w:tc>
          <w:tcPr>
            <w:tcW w:w="160" w:type="dxa"/>
            <w:vAlign w:val="bottom"/>
          </w:tcPr>
          <w:p>
            <w:pPr>
              <w:spacing w:after="0"/>
              <w:rPr>
                <w:sz w:val="20"/>
                <w:szCs w:val="20"/>
                <w:color w:val="auto"/>
              </w:rPr>
            </w:pP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20"/>
                <w:szCs w:val="20"/>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8"/>
              </w:rPr>
              <w:t>(103,880,576)</w:t>
            </w:r>
          </w:p>
        </w:tc>
        <w:tc>
          <w:tcPr>
            <w:tcW w:w="10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(103,880,576)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86" w:lineRule="exact"/>
        <w:rPr>
          <w:sz w:val="20"/>
          <w:szCs w:val="20"/>
          <w:color w:val="auto"/>
        </w:rPr>
      </w:pPr>
    </w:p>
    <w:p>
      <w:pPr>
        <w:ind w:left="340" w:hanging="332"/>
        <w:spacing w:after="0"/>
        <w:tabs>
          <w:tab w:leader="none" w:pos="3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investments and policy loans on the consolidated balance sheets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 loans held for investment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7" w:lineRule="exact"/>
        <w:rPr>
          <w:sz w:val="20"/>
          <w:szCs w:val="20"/>
          <w:color w:val="auto"/>
        </w:rPr>
      </w:pPr>
    </w:p>
    <w:p>
      <w:pPr>
        <w:ind w:left="660" w:hanging="652"/>
        <w:spacing w:after="0"/>
        <w:tabs>
          <w:tab w:leader="none" w:pos="6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carrying values and estimated fair values for such financial instruments, and their corresponding placement in the fair value hierarchy, are summarized as follows as of December 31,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4"/>
              </w:rPr>
              <w:t>Total</w:t>
            </w: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Carrying</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Estimated</w:t>
            </w:r>
          </w:p>
        </w:tc>
      </w:tr>
      <w:tr>
        <w:trPr>
          <w:trHeight w:val="234"/>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Value</w:t>
            </w:r>
          </w:p>
        </w:tc>
        <w:tc>
          <w:tcPr>
            <w:tcW w:w="16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Level 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2</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Level 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Fair Value</w:t>
            </w:r>
          </w:p>
        </w:tc>
      </w:tr>
      <w:tr>
        <w:trPr>
          <w:trHeight w:val="209"/>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 held for investment</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89,780,350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90,168,328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90,168,328</w:t>
            </w: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2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150,211,240</w:t>
            </w:r>
          </w:p>
        </w:tc>
        <w:tc>
          <w:tcPr>
            <w:tcW w:w="160" w:type="dxa"/>
            <w:vAlign w:val="bottom"/>
          </w:tcPr>
          <w:p>
            <w:pPr>
              <w:spacing w:after="0"/>
              <w:rPr>
                <w:sz w:val="18"/>
                <w:szCs w:val="18"/>
                <w:color w:val="auto"/>
              </w:rPr>
            </w:pPr>
          </w:p>
        </w:tc>
        <w:tc>
          <w:tcPr>
            <w:tcW w:w="11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8"/>
                <w:szCs w:val="18"/>
                <w:color w:val="auto"/>
              </w:rPr>
            </w:pP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150,211,240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150,211,240</w:t>
            </w:r>
          </w:p>
        </w:tc>
      </w:tr>
      <w:tr>
        <w:trPr>
          <w:trHeight w:val="229"/>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61,755,768</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60,864,775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60,864,775</w:t>
            </w:r>
          </w:p>
        </w:tc>
      </w:tr>
      <w:tr>
        <w:trPr>
          <w:trHeight w:val="20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 held for investment, net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301,747,358</w:t>
            </w:r>
          </w:p>
        </w:tc>
        <w:tc>
          <w:tcPr>
            <w:tcW w:w="3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Pr>
          <w:p>
            <w:pPr>
              <w:spacing w:after="0"/>
              <w:rPr>
                <w:sz w:val="18"/>
                <w:szCs w:val="18"/>
                <w:color w:val="auto"/>
              </w:rPr>
            </w:pPr>
          </w:p>
        </w:tc>
        <w:tc>
          <w:tcPr>
            <w:tcW w:w="840" w:type="dxa"/>
            <w:vAlign w:val="bottom"/>
            <w:tcBorders>
              <w:top w:val="single" w:sz="8" w:color="auto"/>
            </w:tcBorders>
          </w:tcPr>
          <w:p>
            <w:pPr>
              <w:jc w:val="right"/>
              <w:ind w:right="674"/>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301,244,343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301,244,343</w:t>
            </w: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Policy loans</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14,019,248</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14,019,248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14,019,248</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Insurance assignments, net (1)</w:t>
            </w:r>
          </w:p>
        </w:tc>
        <w:tc>
          <w:tcPr>
            <w:tcW w:w="12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46,956,932</w:t>
            </w:r>
          </w:p>
        </w:tc>
        <w:tc>
          <w:tcPr>
            <w:tcW w:w="160" w:type="dxa"/>
            <w:vAlign w:val="bottom"/>
          </w:tcPr>
          <w:p>
            <w:pPr>
              <w:spacing w:after="0"/>
              <w:rPr>
                <w:sz w:val="18"/>
                <w:szCs w:val="18"/>
                <w:color w:val="auto"/>
              </w:rPr>
            </w:pPr>
          </w:p>
        </w:tc>
        <w:tc>
          <w:tcPr>
            <w:tcW w:w="11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8"/>
                <w:szCs w:val="18"/>
                <w:color w:val="auto"/>
              </w:rPr>
            </w:pP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46,956,932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46,956,932</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assets (2)</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983,834</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983,834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983,834</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(2)</w:t>
            </w:r>
          </w:p>
        </w:tc>
        <w:tc>
          <w:tcPr>
            <w:tcW w:w="12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2,141,464</w:t>
            </w:r>
          </w:p>
        </w:tc>
        <w:tc>
          <w:tcPr>
            <w:tcW w:w="160" w:type="dxa"/>
            <w:vAlign w:val="bottom"/>
          </w:tcPr>
          <w:p>
            <w:pPr>
              <w:spacing w:after="0"/>
              <w:rPr>
                <w:sz w:val="18"/>
                <w:szCs w:val="18"/>
                <w:color w:val="auto"/>
              </w:rPr>
            </w:pPr>
          </w:p>
        </w:tc>
        <w:tc>
          <w:tcPr>
            <w:tcW w:w="11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8"/>
                <w:szCs w:val="18"/>
                <w:color w:val="auto"/>
              </w:rPr>
            </w:pP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2,141,464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2,141,464</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servicing rights, net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2,939,878</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4,552,316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4,552,316</w:t>
            </w: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Bank and other loans payable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8"/>
              </w:rPr>
              <w:t>(106,740,104)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674"/>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(90,455,678)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(90,455,678)</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Policyholder account balances - universal life</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(37,091,230)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(37,626,593)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(37,626,593)</w:t>
            </w: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Policyholder account balances - fixed annuities</w:t>
            </w:r>
          </w:p>
        </w:tc>
        <w:tc>
          <w:tcPr>
            <w:tcW w:w="12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8"/>
              </w:rPr>
              <w:t>(105,716,086)</w:t>
            </w:r>
          </w:p>
        </w:tc>
        <w:tc>
          <w:tcPr>
            <w:tcW w:w="160" w:type="dxa"/>
            <w:vAlign w:val="bottom"/>
          </w:tcPr>
          <w:p>
            <w:pPr>
              <w:spacing w:after="0"/>
              <w:rPr>
                <w:sz w:val="20"/>
                <w:szCs w:val="20"/>
                <w:color w:val="auto"/>
              </w:rPr>
            </w:pPr>
          </w:p>
        </w:tc>
        <w:tc>
          <w:tcPr>
            <w:tcW w:w="11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20"/>
                <w:szCs w:val="20"/>
                <w:color w:val="auto"/>
              </w:rPr>
            </w:pP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(104,611,544)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(104,611,544)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86" w:lineRule="exact"/>
        <w:rPr>
          <w:sz w:val="20"/>
          <w:szCs w:val="20"/>
          <w:color w:val="auto"/>
        </w:rPr>
      </w:pPr>
    </w:p>
    <w:p>
      <w:pPr>
        <w:ind w:left="340" w:hanging="332"/>
        <w:spacing w:after="0"/>
        <w:tabs>
          <w:tab w:leader="none" w:pos="3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investments and policy loans on the consolidated balance sheets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 loans held for investment</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methods, assumptions and significant valuation techniques and inputs used to estimate the fair value of financial instruments are summarized as follows:</w:t>
      </w:r>
    </w:p>
    <w:p>
      <w:pPr>
        <w:spacing w:after="0" w:line="160"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Mortgage Loans Held for Investment</w:t>
      </w:r>
      <w:r>
        <w:rPr>
          <w:rFonts w:ascii="Times New Roman" w:cs="Times New Roman" w:eastAsia="Times New Roman" w:hAnsi="Times New Roman"/>
          <w:sz w:val="18"/>
          <w:szCs w:val="18"/>
          <w:color w:val="auto"/>
        </w:rPr>
        <w:t>: The estimated fair value of the Company’s mortgage loans held for investment is determined using various methods.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mortgage loans are grouped into three categories: Residential, Residential Construction, and Commercial. When estimating the expected future cash flows, it is assumed that all loans will be held to maturity, and any loans that are non-performing are evaluated individually for impairment.</w:t>
      </w:r>
    </w:p>
    <w:p>
      <w:pPr>
        <w:spacing w:after="0" w:line="175"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Residential — The estimated fair value is determined by estimating expected future cash flows of payments and discounting them using current interest rates for single family mortgages and considering pricing of similar loans that were sold recently.</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Residential Construction — These loans primarily have short term maturities. Accordingly, the estimated fair value is determined to be the carrying value.</w:t>
      </w:r>
    </w:p>
    <w:p>
      <w:pPr>
        <w:spacing w:after="0" w:line="162"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Commercial — The estimated fair value is determined by estimating expected future cash flows of payments and discounting them using current interest rates for commercial mortgages.</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Policy Loans</w:t>
      </w:r>
      <w:r>
        <w:rPr>
          <w:rFonts w:ascii="Times New Roman" w:cs="Times New Roman" w:eastAsia="Times New Roman" w:hAnsi="Times New Roman"/>
          <w:sz w:val="18"/>
          <w:szCs w:val="18"/>
          <w:color w:val="auto"/>
        </w:rPr>
        <w:t>: These loans are fully collateralized by the cash surrender value of the underlying insurance policy. Accordingly, the carrying amounts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reported in the accompanying consolidated balance sheets approximate their fair values.</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Insurance Assignments, Net</w:t>
      </w:r>
      <w:r>
        <w:rPr>
          <w:rFonts w:ascii="Times New Roman" w:cs="Times New Roman" w:eastAsia="Times New Roman" w:hAnsi="Times New Roman"/>
          <w:sz w:val="18"/>
          <w:szCs w:val="18"/>
          <w:color w:val="auto"/>
        </w:rPr>
        <w:t>: These investments primarily have short term maturities. Accordingly, the carrying amounts reported in the accompanying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balance sheets approximate their fair values.</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Bank and Other Loans Payable</w:t>
      </w:r>
      <w:r>
        <w:rPr>
          <w:rFonts w:ascii="Times New Roman" w:cs="Times New Roman" w:eastAsia="Times New Roman" w:hAnsi="Times New Roman"/>
          <w:sz w:val="18"/>
          <w:szCs w:val="18"/>
          <w:color w:val="auto"/>
        </w:rPr>
        <w:t>: The carrying amounts reported in the accompanying consolidated balance sheet for warehouse lines of credit approximate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fair values due to their relatively short-term maturities and variable interest rates. The estimated fair value for bank loans collateralized by real estate is determined by estimating future cash flows of payments and discounting them using current market rates.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Policyholder Account Balances</w:t>
      </w:r>
      <w:r>
        <w:rPr>
          <w:rFonts w:ascii="Times New Roman" w:cs="Times New Roman" w:eastAsia="Times New Roman" w:hAnsi="Times New Roman"/>
          <w:sz w:val="18"/>
          <w:szCs w:val="18"/>
          <w:color w:val="auto"/>
        </w:rPr>
        <w:t>: Policyholder account balances for interest-sensitive insurance products are computed under a retrospective deposit method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represent policy account balances before applicable surrender charges. Policy benefits and claims that are charged to expense include benefit claims incurred in the period more than related policy account balances. Interest credit rates for interest-sensitive insurance products ranged from 1.5% to 6.5%. The fair values for these investment-type insurance policies are estimated based on the present value of liability cash flows. The fair values for the Company’s insurance policies other than investment-type policies are not required to be disclosed. However, the fair values of liabilities under all insurance policies are taken into consideration in the Company’s overall management of interest rate risk, such that the Company’s exposure to changing interest rates is minimized through the matching of investment maturities with amounts due under insurance policies.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839"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7" w:lineRule="exact"/>
        <w:rPr>
          <w:sz w:val="20"/>
          <w:szCs w:val="20"/>
          <w:color w:val="auto"/>
        </w:rPr>
      </w:pPr>
    </w:p>
    <w:p>
      <w:pPr>
        <w:ind w:left="660" w:hanging="652"/>
        <w:spacing w:after="0"/>
        <w:tabs>
          <w:tab w:leader="none" w:pos="6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Compensation Plans and Retirement Plans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Compensation Plans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three active equity incentive plans (the “2013 Plan”, the “2014 Director Plan” and the “2022 Plan” or “the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 based compensation expense for stock options issued of $1,281,569 and $794,654 has been recognized under these Plans for 2025 and 2024, respectively, and is included in personnel expenses on the consolidated statements of earnings. As of December 31, 2025, the total unrecognized compensation expense related to the stock options issued was $1,681,944, which is expected to be recognized over the remaining vesting period.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each stock option granted is estimated on the date of grant using the Black Scholes Option Pricing Model. The Company estimates the expected life of the options using the simplified method. Future volatility is estimated based upon the weighted historical volatility of the Company’s Class A Common Stock over a period equal to the expected life of the options. The risk-free interest rate for the expected life of the options is based upon the Federal Reserve Board’s daily interest rates in effect at the time of the grant.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assumptions used in estimating the fair value of each stock option granted along with the weighted-average fair value of the stock options granted.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8"/>
                <w:szCs w:val="18"/>
                <w:color w:val="auto"/>
                <w:w w:val="97"/>
              </w:rPr>
              <w:t>Weighted-</w:t>
            </w: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9"/>
              </w:rPr>
              <w:t>Assumptions</w:t>
            </w:r>
          </w:p>
        </w:tc>
        <w:tc>
          <w:tcPr>
            <w:tcW w:w="8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gridSpan w:val="2"/>
          </w:tcPr>
          <w:p>
            <w:pPr>
              <w:jc w:val="center"/>
              <w:ind w:right="380"/>
              <w:spacing w:after="0" w:line="191" w:lineRule="exact"/>
              <w:rPr>
                <w:sz w:val="20"/>
                <w:szCs w:val="20"/>
                <w:color w:val="auto"/>
              </w:rPr>
            </w:pPr>
            <w:r>
              <w:rPr>
                <w:rFonts w:ascii="Times New Roman" w:cs="Times New Roman" w:eastAsia="Times New Roman" w:hAnsi="Times New Roman"/>
                <w:sz w:val="18"/>
                <w:szCs w:val="18"/>
                <w:color w:val="auto"/>
                <w:w w:val="99"/>
              </w:rPr>
              <w:t>Weighted-</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8"/>
              </w:rPr>
              <w:t>Average</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Average</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Weighted-</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6"/>
              </w:rPr>
              <w:t>Fair Value</w:t>
            </w:r>
          </w:p>
        </w:tc>
        <w:tc>
          <w:tcPr>
            <w:tcW w:w="7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Expected</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7"/>
              </w:rPr>
              <w:t>Weighted-</w:t>
            </w: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Risk-Free</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Average</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of Each</w:t>
            </w:r>
          </w:p>
        </w:tc>
        <w:tc>
          <w:tcPr>
            <w:tcW w:w="7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Dividend</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Underlying</w:t>
            </w: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5"/>
              </w:rPr>
              <w:t>Average</w:t>
            </w: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Interest</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Expected</w:t>
            </w:r>
          </w:p>
        </w:tc>
        <w:tc>
          <w:tcPr>
            <w:tcW w:w="0" w:type="dxa"/>
            <w:vAlign w:val="bottom"/>
          </w:tcPr>
          <w:p>
            <w:pPr>
              <w:spacing w:after="0"/>
              <w:rPr>
                <w:sz w:val="1"/>
                <w:szCs w:val="1"/>
                <w:color w:val="auto"/>
              </w:rPr>
            </w:pPr>
          </w:p>
        </w:tc>
      </w:tr>
      <w:tr>
        <w:trPr>
          <w:trHeight w:val="234"/>
        </w:trPr>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Grant Date</w:t>
            </w:r>
          </w:p>
        </w:tc>
        <w:tc>
          <w:tcPr>
            <w:tcW w:w="20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Plan</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Option</w:t>
            </w:r>
          </w:p>
        </w:tc>
        <w:tc>
          <w:tcPr>
            <w:tcW w:w="32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7"/>
              </w:rPr>
              <w:t>Yield (1)</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stock FMV</w:t>
            </w:r>
          </w:p>
        </w:tc>
        <w:tc>
          <w:tcPr>
            <w:tcW w:w="3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Volatility</w:t>
            </w:r>
          </w:p>
        </w:tc>
        <w:tc>
          <w:tcPr>
            <w:tcW w:w="38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Rate</w:t>
            </w:r>
          </w:p>
        </w:tc>
        <w:tc>
          <w:tcPr>
            <w:tcW w:w="38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Life (years)</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December 5, 2025</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All Plans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88"/>
              </w:rPr>
              <w:t>1.93</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1"/>
              </w:rPr>
              <w:t>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35.93%</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March 21, 2025</w:t>
            </w:r>
          </w:p>
        </w:tc>
        <w:tc>
          <w:tcPr>
            <w:tcW w:w="15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All Plans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3.17</w:t>
            </w:r>
          </w:p>
        </w:tc>
        <w:tc>
          <w:tcPr>
            <w:tcW w:w="7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1"/>
              </w:rPr>
              <w:t>5%</w:t>
            </w:r>
          </w:p>
        </w:tc>
        <w:tc>
          <w:tcPr>
            <w:tcW w:w="3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12.82</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38.26%</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3.98%</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January 9, 2025</w:t>
            </w:r>
          </w:p>
        </w:tc>
        <w:tc>
          <w:tcPr>
            <w:tcW w:w="15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All Plans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3.04</w:t>
            </w:r>
          </w:p>
        </w:tc>
        <w:tc>
          <w:tcPr>
            <w:tcW w:w="7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1"/>
              </w:rPr>
              <w:t>5%</w:t>
            </w:r>
          </w:p>
        </w:tc>
        <w:tc>
          <w:tcPr>
            <w:tcW w:w="3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11.93</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38.44%</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4.43%</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December 26, 2024</w:t>
            </w:r>
          </w:p>
        </w:tc>
        <w:tc>
          <w:tcPr>
            <w:tcW w:w="15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All Plans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3.01</w:t>
            </w:r>
          </w:p>
        </w:tc>
        <w:tc>
          <w:tcPr>
            <w:tcW w:w="7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1"/>
              </w:rPr>
              <w:t>5%</w:t>
            </w:r>
          </w:p>
        </w:tc>
        <w:tc>
          <w:tcPr>
            <w:tcW w:w="3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11.87</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38.41%</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4.38%</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December 6, 2024</w:t>
            </w:r>
          </w:p>
        </w:tc>
        <w:tc>
          <w:tcPr>
            <w:tcW w:w="15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All Plans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3.17</w:t>
            </w:r>
          </w:p>
        </w:tc>
        <w:tc>
          <w:tcPr>
            <w:tcW w:w="7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1"/>
              </w:rPr>
              <w:t>5%</w:t>
            </w:r>
          </w:p>
        </w:tc>
        <w:tc>
          <w:tcPr>
            <w:tcW w:w="3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13.08</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38.17%</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4.00%</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January 12, 2024</w:t>
            </w:r>
          </w:p>
        </w:tc>
        <w:tc>
          <w:tcPr>
            <w:tcW w:w="15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All Plans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2.01</w:t>
            </w:r>
          </w:p>
        </w:tc>
        <w:tc>
          <w:tcPr>
            <w:tcW w:w="7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1"/>
              </w:rPr>
              <w:t>5%</w:t>
            </w:r>
          </w:p>
        </w:tc>
        <w:tc>
          <w:tcPr>
            <w:tcW w:w="3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8.35</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37.51%</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3.81%</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January 8, 2024</w:t>
            </w:r>
          </w:p>
        </w:tc>
        <w:tc>
          <w:tcPr>
            <w:tcW w:w="15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All Plans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2.16</w:t>
            </w:r>
          </w:p>
        </w:tc>
        <w:tc>
          <w:tcPr>
            <w:tcW w:w="7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1"/>
              </w:rPr>
              <w:t>5%</w:t>
            </w:r>
          </w:p>
        </w:tc>
        <w:tc>
          <w:tcPr>
            <w:tcW w:w="3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8.93</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37.50%</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3.93%</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Stock dividend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8" w:name="page129"/>
    <w:bookmarkEnd w:id="128"/>
    <w:p>
      <w:pPr>
        <w:jc w:val="center"/>
        <w:ind w:left="3220"/>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ind w:left="3220"/>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left="322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left="3220"/>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7" w:lineRule="exact"/>
        <w:rPr>
          <w:sz w:val="20"/>
          <w:szCs w:val="20"/>
          <w:color w:val="auto"/>
        </w:rPr>
      </w:pPr>
    </w:p>
    <w:p>
      <w:pPr>
        <w:ind w:right="2940" w:firstLine="8"/>
        <w:spacing w:after="0" w:line="500" w:lineRule="auto"/>
        <w:tabs>
          <w:tab w:leader="none" w:pos="64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Compensation Plans and Retirement Plans</w:t>
      </w:r>
      <w:r>
        <w:rPr>
          <w:rFonts w:ascii="Times New Roman" w:cs="Times New Roman" w:eastAsia="Times New Roman" w:hAnsi="Times New Roman"/>
          <w:sz w:val="18"/>
          <w:szCs w:val="18"/>
          <w:color w:val="auto"/>
        </w:rPr>
        <w:t xml:space="preserve"> (Continued) The activity of the Plans is summarized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Weighted</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4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Number of</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Average</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4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Class A</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Exercise</w:t>
            </w:r>
          </w:p>
        </w:tc>
        <w:tc>
          <w:tcPr>
            <w:tcW w:w="0" w:type="dxa"/>
            <w:vAlign w:val="bottom"/>
          </w:tcPr>
          <w:p>
            <w:pPr>
              <w:spacing w:after="0"/>
              <w:rPr>
                <w:sz w:val="1"/>
                <w:szCs w:val="1"/>
                <w:color w:val="auto"/>
              </w:rPr>
            </w:pPr>
          </w:p>
        </w:tc>
      </w:tr>
      <w:tr>
        <w:trPr>
          <w:trHeight w:val="234"/>
        </w:trPr>
        <w:tc>
          <w:tcPr>
            <w:tcW w:w="5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22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Price (2)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00" w:type="dxa"/>
            <w:vAlign w:val="bottom"/>
            <w:vMerge w:val="continue"/>
          </w:tcPr>
          <w:p>
            <w:pPr>
              <w:spacing w:after="0"/>
              <w:rPr>
                <w:sz w:val="20"/>
                <w:szCs w:val="20"/>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833,570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Adjustment for the effect of stock dividends</w:t>
            </w:r>
          </w:p>
        </w:tc>
        <w:tc>
          <w:tcPr>
            <w:tcW w:w="12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200" w:type="dxa"/>
            <w:vAlign w:val="bottom"/>
            <w:vMerge w:val="continue"/>
          </w:tcPr>
          <w:p>
            <w:pPr>
              <w:spacing w:after="0"/>
              <w:rPr>
                <w:sz w:val="15"/>
                <w:szCs w:val="15"/>
                <w:color w:val="auto"/>
              </w:rPr>
            </w:pPr>
          </w:p>
        </w:tc>
        <w:tc>
          <w:tcPr>
            <w:tcW w:w="124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38,724</w:t>
            </w:r>
          </w:p>
        </w:tc>
        <w:tc>
          <w:tcPr>
            <w:tcW w:w="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59,200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(267,491)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Cancelled</w:t>
            </w:r>
          </w:p>
        </w:tc>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(17,409)</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2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646,594</w:t>
            </w:r>
          </w:p>
        </w:tc>
        <w:tc>
          <w:tcPr>
            <w:tcW w:w="200" w:type="dxa"/>
            <w:vAlign w:val="bottom"/>
          </w:tcPr>
          <w:p>
            <w:pPr>
              <w:spacing w:after="0"/>
              <w:rPr>
                <w:sz w:val="24"/>
                <w:szCs w:val="24"/>
                <w:color w:val="auto"/>
              </w:rPr>
            </w:pPr>
          </w:p>
        </w:tc>
        <w:tc>
          <w:tcPr>
            <w:tcW w:w="3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5.63</w:t>
            </w:r>
          </w:p>
        </w:tc>
        <w:tc>
          <w:tcPr>
            <w:tcW w:w="0" w:type="dxa"/>
            <w:vAlign w:val="bottom"/>
          </w:tcPr>
          <w:p>
            <w:pPr>
              <w:spacing w:after="0"/>
              <w:rPr>
                <w:sz w:val="1"/>
                <w:szCs w:val="1"/>
                <w:color w:val="auto"/>
              </w:rPr>
            </w:pPr>
          </w:p>
        </w:tc>
      </w:tr>
      <w:tr>
        <w:trPr>
          <w:trHeight w:val="20"/>
        </w:trPr>
        <w:tc>
          <w:tcPr>
            <w:tcW w:w="52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Adjustment for the effect of stock dividends</w:t>
            </w:r>
          </w:p>
        </w:tc>
        <w:tc>
          <w:tcPr>
            <w:tcW w:w="12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200" w:type="dxa"/>
            <w:vAlign w:val="bottom"/>
            <w:vMerge w:val="continue"/>
          </w:tcPr>
          <w:p>
            <w:pPr>
              <w:spacing w:after="0"/>
              <w:rPr>
                <w:sz w:val="15"/>
                <w:szCs w:val="15"/>
                <w:color w:val="auto"/>
              </w:rPr>
            </w:pPr>
          </w:p>
        </w:tc>
        <w:tc>
          <w:tcPr>
            <w:tcW w:w="124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27,898</w:t>
            </w:r>
          </w:p>
        </w:tc>
        <w:tc>
          <w:tcPr>
            <w:tcW w:w="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284,707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(162,467)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Cancelled</w:t>
            </w:r>
          </w:p>
        </w:tc>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(35,894)</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-1628140</wp:posOffset>
            </wp:positionV>
            <wp:extent cx="7132320" cy="1714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-1302385</wp:posOffset>
            </wp:positionV>
            <wp:extent cx="7132320" cy="1371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-1028065</wp:posOffset>
            </wp:positionV>
            <wp:extent cx="7132320" cy="1454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-736600</wp:posOffset>
            </wp:positionV>
            <wp:extent cx="7132320" cy="1625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371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543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Weighted</w:t>
            </w:r>
          </w:p>
        </w:tc>
        <w:tc>
          <w:tcPr>
            <w:tcW w:w="0" w:type="dxa"/>
            <w:vAlign w:val="bottom"/>
          </w:tcPr>
          <w:p>
            <w:pPr>
              <w:spacing w:after="0"/>
              <w:rPr>
                <w:sz w:val="1"/>
                <w:szCs w:val="1"/>
                <w:color w:val="auto"/>
              </w:rPr>
            </w:pPr>
          </w:p>
        </w:tc>
      </w:tr>
      <w:tr>
        <w:trPr>
          <w:trHeight w:val="216"/>
        </w:trPr>
        <w:tc>
          <w:tcPr>
            <w:tcW w:w="14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Number of</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Average</w:t>
            </w:r>
          </w:p>
        </w:tc>
        <w:tc>
          <w:tcPr>
            <w:tcW w:w="0" w:type="dxa"/>
            <w:vAlign w:val="bottom"/>
          </w:tcPr>
          <w:p>
            <w:pPr>
              <w:spacing w:after="0"/>
              <w:rPr>
                <w:sz w:val="1"/>
                <w:szCs w:val="1"/>
                <w:color w:val="auto"/>
              </w:rPr>
            </w:pPr>
          </w:p>
        </w:tc>
      </w:tr>
      <w:tr>
        <w:trPr>
          <w:trHeight w:val="216"/>
        </w:trPr>
        <w:tc>
          <w:tcPr>
            <w:tcW w:w="14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Class C</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Exercise</w:t>
            </w:r>
          </w:p>
        </w:tc>
        <w:tc>
          <w:tcPr>
            <w:tcW w:w="0" w:type="dxa"/>
            <w:vAlign w:val="bottom"/>
          </w:tcPr>
          <w:p>
            <w:pPr>
              <w:spacing w:after="0"/>
              <w:rPr>
                <w:sz w:val="1"/>
                <w:szCs w:val="1"/>
                <w:color w:val="auto"/>
              </w:rPr>
            </w:pPr>
          </w:p>
        </w:tc>
      </w:tr>
      <w:tr>
        <w:trPr>
          <w:trHeight w:val="234"/>
        </w:trPr>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20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Price (2)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1,520,062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22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76,005</w:t>
            </w:r>
          </w:p>
        </w:tc>
        <w:tc>
          <w:tcPr>
            <w:tcW w:w="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330,000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4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(201,667)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4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12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1,724,400</w:t>
            </w:r>
          </w:p>
        </w:tc>
        <w:tc>
          <w:tcPr>
            <w:tcW w:w="18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6.87</w:t>
            </w:r>
          </w:p>
        </w:tc>
        <w:tc>
          <w:tcPr>
            <w:tcW w:w="0" w:type="dxa"/>
            <w:vAlign w:val="bottom"/>
          </w:tcPr>
          <w:p>
            <w:pPr>
              <w:spacing w:after="0"/>
              <w:rPr>
                <w:sz w:val="1"/>
                <w:szCs w:val="1"/>
                <w:color w:val="auto"/>
              </w:rPr>
            </w:pPr>
          </w:p>
        </w:tc>
      </w:tr>
      <w:tr>
        <w:trPr>
          <w:trHeight w:val="20"/>
        </w:trPr>
        <w:tc>
          <w:tcPr>
            <w:tcW w:w="12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22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80,571</w:t>
            </w:r>
          </w:p>
        </w:tc>
        <w:tc>
          <w:tcPr>
            <w:tcW w:w="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674,343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4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(113,023)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4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797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20" w:space="340"/>
            <w:col w:w="2880"/>
          </w:cols>
          <w:pgMar w:left="320" w:top="688" w:right="339" w:bottom="1440" w:gutter="0" w:footer="0" w:header="0"/>
        </w:sectPr>
      </w:pP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3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760,838</w:t>
            </w:r>
          </w:p>
        </w:tc>
        <w:tc>
          <w:tcPr>
            <w:tcW w:w="6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6.85</w:t>
            </w:r>
          </w:p>
        </w:tc>
        <w:tc>
          <w:tcPr>
            <w:tcW w:w="2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2,366,291</w:t>
            </w:r>
          </w:p>
        </w:tc>
        <w:tc>
          <w:tcPr>
            <w:tcW w:w="6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7.54</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r>
      <w:tr>
        <w:trPr>
          <w:trHeight w:val="196"/>
        </w:trPr>
        <w:tc>
          <w:tcPr>
            <w:tcW w:w="5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43"/>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end of year</w:t>
            </w:r>
          </w:p>
        </w:tc>
        <w:tc>
          <w:tcPr>
            <w:tcW w:w="3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494,756</w:t>
            </w:r>
          </w:p>
        </w:tc>
        <w:tc>
          <w:tcPr>
            <w:tcW w:w="6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5.89</w:t>
            </w:r>
          </w:p>
        </w:tc>
        <w:tc>
          <w:tcPr>
            <w:tcW w:w="2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1,691,948</w:t>
            </w:r>
          </w:p>
        </w:tc>
        <w:tc>
          <w:tcPr>
            <w:tcW w:w="6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7.13</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r>
      <w:tr>
        <w:trPr>
          <w:trHeight w:val="196"/>
        </w:trPr>
        <w:tc>
          <w:tcPr>
            <w:tcW w:w="5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43"/>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options for future grant</w:t>
            </w:r>
          </w:p>
        </w:tc>
        <w:tc>
          <w:tcPr>
            <w:tcW w:w="3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1,903,835</w:t>
            </w:r>
          </w:p>
        </w:tc>
        <w:tc>
          <w:tcPr>
            <w:tcW w:w="6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4,207</w:t>
            </w:r>
          </w:p>
        </w:tc>
        <w:tc>
          <w:tcPr>
            <w:tcW w:w="6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r>
      <w:tr>
        <w:trPr>
          <w:trHeight w:val="196"/>
        </w:trPr>
        <w:tc>
          <w:tcPr>
            <w:tcW w:w="5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8"/>
        </w:trPr>
        <w:tc>
          <w:tcPr>
            <w:tcW w:w="5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contractual term of options outstanding at</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34"/>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3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6.71 years</w:t>
            </w:r>
          </w:p>
        </w:tc>
        <w:tc>
          <w:tcPr>
            <w:tcW w:w="6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6.99 years</w:t>
            </w:r>
          </w:p>
        </w:tc>
        <w:tc>
          <w:tcPr>
            <w:tcW w:w="6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16"/>
        </w:trPr>
        <w:tc>
          <w:tcPr>
            <w:tcW w:w="5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98"/>
        </w:trPr>
        <w:tc>
          <w:tcPr>
            <w:tcW w:w="5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contractual term of options exercisable at</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34"/>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3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5.09 years</w:t>
            </w:r>
          </w:p>
        </w:tc>
        <w:tc>
          <w:tcPr>
            <w:tcW w:w="6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5.89 years</w:t>
            </w:r>
          </w:p>
        </w:tc>
        <w:tc>
          <w:tcPr>
            <w:tcW w:w="6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16"/>
        </w:trPr>
        <w:tc>
          <w:tcPr>
            <w:tcW w:w="5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98"/>
        </w:trPr>
        <w:tc>
          <w:tcPr>
            <w:tcW w:w="5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Aggregated intrinsic value of options outstanding at December 31,</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61"/>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(1)</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1,822,785</w:t>
            </w:r>
          </w:p>
        </w:tc>
        <w:tc>
          <w:tcPr>
            <w:tcW w:w="6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4,717,929</w:t>
            </w:r>
          </w:p>
        </w:tc>
        <w:tc>
          <w:tcPr>
            <w:tcW w:w="6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r>
      <w:tr>
        <w:trPr>
          <w:trHeight w:val="196"/>
        </w:trPr>
        <w:tc>
          <w:tcPr>
            <w:tcW w:w="5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8"/>
        </w:trPr>
        <w:tc>
          <w:tcPr>
            <w:tcW w:w="5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Aggregated intrinsic value of options exercisable at December 31,</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61"/>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(1)</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1,702,761</w:t>
            </w:r>
          </w:p>
        </w:tc>
        <w:tc>
          <w:tcPr>
            <w:tcW w:w="6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4,404,475</w:t>
            </w:r>
          </w:p>
        </w:tc>
        <w:tc>
          <w:tcPr>
            <w:tcW w:w="6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left="340" w:hanging="332"/>
        <w:spacing w:after="0"/>
        <w:tabs>
          <w:tab w:leader="none" w:pos="3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used a stock price of $9.01 as of December 31, 2025 to derive intrinsic value.</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for the effect of annual stock dividends.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total intrinsic value (which is the amount by which the fair value of the underlying stock exceeds the exercise price of an option on the exercise date) of stock options exercised during 2025, and 2024 was $1,503,525 and $3,104,163,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7" w:lineRule="exact"/>
        <w:rPr>
          <w:sz w:val="20"/>
          <w:szCs w:val="20"/>
          <w:color w:val="auto"/>
        </w:rPr>
      </w:pPr>
    </w:p>
    <w:p>
      <w:pPr>
        <w:ind w:right="6160" w:firstLine="8"/>
        <w:spacing w:after="0" w:line="500" w:lineRule="auto"/>
        <w:tabs>
          <w:tab w:leader="none" w:pos="648"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Compensation Plans and Retirement Plans</w:t>
      </w:r>
      <w:r>
        <w:rPr>
          <w:rFonts w:ascii="Times New Roman" w:cs="Times New Roman" w:eastAsia="Times New Roman" w:hAnsi="Times New Roman"/>
          <w:sz w:val="18"/>
          <w:szCs w:val="18"/>
          <w:color w:val="auto"/>
        </w:rPr>
        <w:t xml:space="preserve"> (Continued) </w:t>
      </w:r>
      <w:r>
        <w:rPr>
          <w:rFonts w:ascii="Times New Roman" w:cs="Times New Roman" w:eastAsia="Times New Roman" w:hAnsi="Times New Roman"/>
          <w:sz w:val="18"/>
          <w:szCs w:val="18"/>
          <w:u w:val="single" w:color="auto"/>
          <w:color w:val="auto"/>
        </w:rPr>
        <w:t>Restricted Stock Units (“RSUs”)</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 based compensation expense for RSUs issued of $38,928 and $6,166 has been recognized under these plans for the 2025 and 2024, respectively, and is included in personnel expenses on the consolidated statements of earnings. As of December 31, 2025, the total unrecognized compensation expense related to the RSUs issued was $26,626, which is expected to be recognized over the remaining vesting period.</w:t>
      </w:r>
    </w:p>
    <w:p>
      <w:pPr>
        <w:sectPr>
          <w:pgSz w:w="11900" w:h="16838" w:orient="portrait"/>
          <w:cols w:equalWidth="0" w:num="1">
            <w:col w:w="11240"/>
          </w:cols>
          <w:pgMar w:left="320" w:top="688" w:right="33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activity of the RSUs is summarized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Non-vested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4989195" cy="1714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989195" cy="171450"/>
                    </a:xfrm>
                    <a:prstGeom prst="rect">
                      <a:avLst/>
                    </a:prstGeom>
                    <a:noFill/>
                  </pic:spPr>
                </pic:pic>
              </a:graphicData>
            </a:graphic>
          </wp:anchor>
        </w:drawing>
      </w:r>
    </w:p>
    <w:p>
      <w:pPr>
        <w:spacing w:after="0" w:line="2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4989195" cy="1371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Vested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Weighted</w:t>
            </w:r>
          </w:p>
        </w:tc>
      </w:tr>
      <w:tr>
        <w:trPr>
          <w:trHeight w:val="216"/>
        </w:trPr>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5"/>
              </w:rPr>
              <w:t>Average</w:t>
            </w:r>
          </w:p>
        </w:tc>
      </w:tr>
      <w:tr>
        <w:trPr>
          <w:trHeight w:val="216"/>
        </w:trPr>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Number of</w:t>
            </w:r>
          </w:p>
        </w:tc>
        <w:tc>
          <w:tcPr>
            <w:tcW w:w="22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Grant Date</w:t>
            </w:r>
          </w:p>
        </w:tc>
      </w:tr>
      <w:tr>
        <w:trPr>
          <w:trHeight w:val="234"/>
        </w:trPr>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Class A Shares</w:t>
            </w:r>
          </w:p>
        </w:tc>
        <w:tc>
          <w:tcPr>
            <w:tcW w:w="220" w:type="dxa"/>
            <w:vAlign w:val="bottom"/>
          </w:tcPr>
          <w:p>
            <w:pPr>
              <w:spacing w:after="0"/>
              <w:rPr>
                <w:sz w:val="20"/>
                <w:szCs w:val="20"/>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6"/>
              </w:rPr>
              <w:t>Fair Value</w:t>
            </w:r>
          </w:p>
        </w:tc>
      </w:tr>
      <w:tr>
        <w:trPr>
          <w:trHeight w:val="237"/>
        </w:trPr>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240" w:type="dxa"/>
            <w:vAlign w:val="bottom"/>
          </w:tcPr>
          <w:p>
            <w:pPr>
              <w:spacing w:after="0"/>
              <w:rPr>
                <w:sz w:val="20"/>
                <w:szCs w:val="20"/>
                <w:color w:val="auto"/>
              </w:rPr>
            </w:pP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20" w:type="dxa"/>
            <w:vAlign w:val="bottom"/>
          </w:tcPr>
          <w:p>
            <w:pPr>
              <w:spacing w:after="0"/>
              <w:rPr>
                <w:sz w:val="20"/>
                <w:szCs w:val="20"/>
                <w:color w:val="auto"/>
              </w:rPr>
            </w:pP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4"/>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12,353</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6"/>
        </w:trPr>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(1,785)</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r>
    </w:tbl>
    <w:p>
      <w:pPr>
        <w:spacing w:after="0" w:line="1" w:lineRule="exact"/>
        <w:rPr>
          <w:sz w:val="20"/>
          <w:szCs w:val="20"/>
          <w:color w:val="auto"/>
        </w:rPr>
      </w:pPr>
    </w:p>
    <w:p>
      <w:pPr>
        <w:sectPr>
          <w:pgSz w:w="11900" w:h="16838" w:orient="portrait"/>
          <w:cols w:equalWidth="0" w:num="2">
            <w:col w:w="3860" w:space="720"/>
            <w:col w:w="6660"/>
          </w:cols>
          <w:pgMar w:left="320" w:top="688" w:right="339" w:bottom="1440" w:gutter="0" w:footer="0" w:header="0"/>
          <w:type w:val="continuous"/>
        </w:sectPr>
      </w:pPr>
    </w:p>
    <w:tbl>
      <w:tblPr>
        <w:tblLayout w:type="fixed"/>
        <w:tblInd w:w="0" w:type="dxa"/>
        <w:tblCellMar>
          <w:top w:w="0" w:type="dxa"/>
          <w:left w:w="0" w:type="dxa"/>
          <w:bottom w:w="0" w:type="dxa"/>
          <w:right w:w="0" w:type="dxa"/>
        </w:tblCellMar>
      </w:tblPr>
      <w:tr>
        <w:trPr>
          <w:trHeight w:val="211"/>
        </w:trPr>
        <w:tc>
          <w:tcPr>
            <w:tcW w:w="45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Non-vested at December 31, 2024</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12,813</w:t>
            </w:r>
          </w:p>
        </w:tc>
        <w:tc>
          <w:tcPr>
            <w:tcW w:w="6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0" w:type="dxa"/>
            <w:vAlign w:val="bottom"/>
          </w:tcPr>
          <w:p>
            <w:pPr>
              <w:spacing w:after="0"/>
              <w:rPr>
                <w:sz w:val="1"/>
                <w:szCs w:val="1"/>
                <w:color w:val="auto"/>
              </w:rPr>
            </w:pPr>
          </w:p>
        </w:tc>
      </w:tr>
      <w:tr>
        <w:trPr>
          <w:trHeight w:val="197"/>
        </w:trPr>
        <w:tc>
          <w:tcPr>
            <w:tcW w:w="4580" w:type="dxa"/>
            <w:vAlign w:val="bottom"/>
            <w:tcBorders>
              <w:top w:val="single" w:sz="8" w:color="CCEEFF"/>
            </w:tcBorders>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14,481</w:t>
            </w: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(9,726)</w:t>
            </w:r>
          </w:p>
        </w:tc>
        <w:tc>
          <w:tcPr>
            <w:tcW w:w="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5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Non-vested at December 31, 2025</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17,568</w:t>
            </w:r>
          </w:p>
        </w:tc>
        <w:tc>
          <w:tcPr>
            <w:tcW w:w="6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0" w:type="dxa"/>
            <w:vAlign w:val="bottom"/>
          </w:tcPr>
          <w:p>
            <w:pPr>
              <w:spacing w:after="0"/>
              <w:rPr>
                <w:sz w:val="1"/>
                <w:szCs w:val="1"/>
                <w:color w:val="auto"/>
              </w:rPr>
            </w:pPr>
          </w:p>
        </w:tc>
      </w:tr>
      <w:tr>
        <w:trPr>
          <w:trHeight w:val="197"/>
        </w:trPr>
        <w:tc>
          <w:tcPr>
            <w:tcW w:w="458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Available RSUs for future grant</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489,706</w:t>
            </w:r>
          </w:p>
        </w:tc>
        <w:tc>
          <w:tcPr>
            <w:tcW w:w="6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Retirement Plans</w:t>
            </w: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8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three 401(k) savings plans covering all eligible employees which include employer participation in accordance with the provisions of Section 401(k) of the Internal Revenue Code. The plans allow participants to make pretax contributions up to a maximum of $23,500 and $23,000 for the years 2025 and 2024, respectively or the statutory limits. The Company matched 100% of up to 3% of an employee’s total annual compensation and matched 50% of 4% to 5% of an employee’s annual compensation. The match was in Company stock. The Company’s contribution for 2025 and 2024 was $811,622 and $768,288, respectively under the plan.</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a Non-Qualified Deferred Compensation Plan. Under the terms of the Plan, the Company will provide deferred compensation for a select group of management or highly compensated employees, within the meaning of Sections 201(2), 301(a)(3) and 401(a)(1) of the Employee Retirement Income Security Act of 1974, as amended. The Board has appointed a Committee of the Company to be the Plan Administrator and to determine the employees who are eligible to participate in the plan. The employees who participate may elect to defer a portion of their compensation into the plan. The Company may contribute into the plan at the discretion of the Company’s Board of Directors. The Company’s contribution for 2025 and 2024 was $503,654 and nil, respectively under the plan.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7" w:lineRule="exact"/>
        <w:rPr>
          <w:sz w:val="20"/>
          <w:szCs w:val="20"/>
          <w:color w:val="auto"/>
        </w:rPr>
      </w:pPr>
    </w:p>
    <w:p>
      <w:pPr>
        <w:ind w:left="660" w:hanging="652"/>
        <w:spacing w:after="0"/>
        <w:tabs>
          <w:tab w:leader="none" w:pos="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Compensation Plans and Retirement Plans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June 2024, the Board members approved a motion to extend the Chief Executive Officer’s employment agreement, dated December 4, 2012, for an additional six-year term ending December 31, 2030. In the event of disability, the Chief Executive Officer’s salary would be continued for up to five years at 75% of its current level of compensation. In the event of a sale or merger of the Company and the Chief Executive Officer is not retained in his current position, the Company would be obligated to continue paying the Chief Executive Officer’s current compensation and benefits for seven years following the merger or sale. The agreement further provides that the Chief Executive Officer is entitled to receive annual retirement benefits beginning (i) one month from the date of his retirement (to commence no sooner than age 65), (ii) five years following complete disability, or (iii) upon termination of his employment without cause. These retirement benefits are to be paid for a period of twenty years in annual installments in the amount equal to 75% of his then current level of compensation. If the Chief Executive Officer dies prior to receiving all retirement benefits thereunder, the remaining benefits are to be paid to his heirs. The Company adjusted the accrual by $1,479,348 and $340,557 during 2025 and 2024, respectively, to cover the present value of anticipated retirement benefits under the employment agreement. The liability accrued was $8,695,154 and $7,215,806 as of December 31, 2025 and 2024, respectively.</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also has an employment agreement with its former Vice President of Mortgage Operations and President of SecurityNational Mortgage, who retired from the Company on December 31, 2015. Under the terms of the employment agreement, this individual is entitled to receive retirement benefits from the Company for a period of ten years in an amount equal to 50% of his rate of compensation at the time of his retirement, which was $267,685 for the year ended December 31, 2015. If this individual dies prior to receiving all his retirement benefits under his employment agreement, the remaining benefits will be made to his heirs. The company has paid monthly installments that equal an annual payment of $133,843 to this individual each year since 2016. The liability accrued was nil and $133,843 as of December 31, 2025 and 2024, respectively and is included in other liabilities and accrued expenses on the consolidated balance sheets.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7" w:lineRule="exact"/>
        <w:rPr>
          <w:sz w:val="20"/>
          <w:szCs w:val="20"/>
          <w:color w:val="auto"/>
        </w:rPr>
      </w:pPr>
    </w:p>
    <w:p>
      <w:pPr>
        <w:ind w:left="660" w:hanging="652"/>
        <w:spacing w:after="0"/>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Statutory Financial Information and Dividend Limitations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insurance subsidiaries are also required to prepare statutory-basis financial statements in conformity with accounting practices prescribed or permitted by the insurance department of the applicable state of domicile. The prescribed statutory accounting practices include the Accounting Practices and Procedures Manual of the NAIC, a variety of publications of the NAIC, as well as state laws, regulations, and general administrative rules. Statutory accounting practices differ from GAAP primarily since they require expensing policy acquisition and certain sales inducement costs as incurred, establishing life insurance reserves based on different actuarial assumptions, applying different valuing methods for certain investments and accounting for deferred taxes on a different basis.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statutory net income and capital and surplus of the Company’s insurance subsidiaries, determined in accordance with statutory accounting practices prescribed by insurance regulatory authorities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900" w:type="dxa"/>
            <w:vAlign w:val="bottom"/>
            <w:gridSpan w:val="6"/>
          </w:tcPr>
          <w:p>
            <w:pPr>
              <w:jc w:val="right"/>
              <w:ind w:right="980"/>
              <w:spacing w:after="0"/>
              <w:rPr>
                <w:sz w:val="20"/>
                <w:szCs w:val="20"/>
                <w:color w:val="auto"/>
              </w:rPr>
            </w:pPr>
            <w:r>
              <w:rPr>
                <w:rFonts w:ascii="Times New Roman" w:cs="Times New Roman" w:eastAsia="Times New Roman" w:hAnsi="Times New Roman"/>
                <w:sz w:val="18"/>
                <w:szCs w:val="18"/>
                <w:color w:val="auto"/>
              </w:rPr>
              <w:t>Statutory Net Income</w:t>
            </w:r>
          </w:p>
        </w:tc>
        <w:tc>
          <w:tcPr>
            <w:tcW w:w="200" w:type="dxa"/>
            <w:vAlign w:val="bottom"/>
          </w:tcPr>
          <w:p>
            <w:pPr>
              <w:spacing w:after="0"/>
              <w:rPr>
                <w:sz w:val="19"/>
                <w:szCs w:val="19"/>
                <w:color w:val="auto"/>
              </w:rPr>
            </w:pPr>
          </w:p>
        </w:tc>
        <w:tc>
          <w:tcPr>
            <w:tcW w:w="2680" w:type="dxa"/>
            <w:vAlign w:val="bottom"/>
            <w:gridSpan w:val="6"/>
          </w:tcPr>
          <w:p>
            <w:pPr>
              <w:jc w:val="center"/>
              <w:ind w:right="320"/>
              <w:spacing w:after="0"/>
              <w:rPr>
                <w:sz w:val="20"/>
                <w:szCs w:val="20"/>
                <w:color w:val="auto"/>
              </w:rPr>
            </w:pPr>
            <w:r>
              <w:rPr>
                <w:rFonts w:ascii="Times New Roman" w:cs="Times New Roman" w:eastAsia="Times New Roman" w:hAnsi="Times New Roman"/>
                <w:sz w:val="18"/>
                <w:szCs w:val="18"/>
                <w:color w:val="auto"/>
                <w:w w:val="99"/>
              </w:rPr>
              <w:t>Statutory Capital and Surplus</w:t>
            </w:r>
          </w:p>
        </w:tc>
      </w:tr>
      <w:tr>
        <w:trPr>
          <w:trHeight w:val="234"/>
        </w:trPr>
        <w:tc>
          <w:tcPr>
            <w:tcW w:w="5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00" w:type="dxa"/>
            <w:vAlign w:val="bottom"/>
            <w:gridSpan w:val="6"/>
          </w:tcPr>
          <w:p>
            <w:pPr>
              <w:jc w:val="right"/>
              <w:ind w:right="780"/>
              <w:spacing w:after="0"/>
              <w:rPr>
                <w:sz w:val="20"/>
                <w:szCs w:val="20"/>
                <w:color w:val="auto"/>
              </w:rPr>
            </w:pPr>
            <w:r>
              <w:rPr>
                <w:rFonts w:ascii="Times New Roman" w:cs="Times New Roman" w:eastAsia="Times New Roman" w:hAnsi="Times New Roman"/>
                <w:sz w:val="18"/>
                <w:szCs w:val="18"/>
                <w:color w:val="auto"/>
              </w:rPr>
              <w:t>Years Ended December 31,</w:t>
            </w:r>
          </w:p>
        </w:tc>
        <w:tc>
          <w:tcPr>
            <w:tcW w:w="200" w:type="dxa"/>
            <w:vAlign w:val="bottom"/>
          </w:tcPr>
          <w:p>
            <w:pPr>
              <w:spacing w:after="0"/>
              <w:rPr>
                <w:sz w:val="20"/>
                <w:szCs w:val="20"/>
                <w:color w:val="auto"/>
              </w:rPr>
            </w:pPr>
          </w:p>
        </w:tc>
        <w:tc>
          <w:tcPr>
            <w:tcW w:w="2680" w:type="dxa"/>
            <w:vAlign w:val="bottom"/>
            <w:gridSpan w:val="6"/>
          </w:tcPr>
          <w:p>
            <w:pPr>
              <w:jc w:val="center"/>
              <w:ind w:right="320"/>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23"/>
        </w:trPr>
        <w:tc>
          <w:tcPr>
            <w:tcW w:w="52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r>
      <w:tr>
        <w:trPr>
          <w:trHeight w:val="209"/>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by insurance subsidiary:</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Security National Life Insurance Company</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18,573,017</w:t>
            </w:r>
          </w:p>
        </w:tc>
        <w:tc>
          <w:tcPr>
            <w:tcW w:w="44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9,618,883</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104,233,477</w:t>
            </w:r>
          </w:p>
        </w:tc>
        <w:tc>
          <w:tcPr>
            <w:tcW w:w="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87,559,495</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Kilpatrick Life Insurance Company</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2,179,362</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2,749,370</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22,340,067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21,419,520</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First Guaranty Insurance Company</w:t>
            </w:r>
          </w:p>
        </w:tc>
        <w:tc>
          <w:tcPr>
            <w:tcW w:w="2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1,446,771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1,336,977</w:t>
            </w:r>
          </w:p>
        </w:tc>
        <w:tc>
          <w:tcPr>
            <w:tcW w:w="2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10,394,211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9,140,283</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Southern Security Life Insurance Company, Inc.</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165</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1,587,842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1,584,583</w:t>
            </w:r>
          </w:p>
        </w:tc>
      </w:tr>
      <w:tr>
        <w:trPr>
          <w:trHeight w:val="22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Trans-Western Life Insurance Company</w:t>
            </w: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512,615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512,612</w:t>
            </w:r>
          </w:p>
        </w:tc>
      </w:tr>
      <w:tr>
        <w:trPr>
          <w:trHeight w:val="223"/>
        </w:trPr>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6"/>
              </w:rPr>
              <w:t>22,199,319</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13,705,295</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139,068,212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120,216,493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State Insurance Departments impose minimum risk-based capital (“RBC”) requirements that were developed by the NAIC on insurance enterprises. The formulas for determining the RBC specify various factors that are applied to financial balances or various levels of activity based on the perceived degree of risk. Regulatory compliance is determined by a ratio (the Ratio) of the enterprise’s regulatory total adjusted capital, as defined by the NAIC, to its authorized control level, as defined by the NAIC. Enterprises below specific trigger points or ratios are classified within certain levels, each of which requires specified corrective action. The life insurance subsidiaries each have a ratio that is greater than the first level of regulatory action as of December 31, 2025. The Company does not have any guarantees to maintain the capital and surplus of any affiliates except for the Company’s agreement to provide additional capital to Security National Life Insurance Company in the event risk-based capital drops below 350% of the authorized control level.</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Generally, the net assets of the life insurance subsidiaries available for transfer to the Company are limited to the amounts of the life insurance subsidiaries net assets, as determined in accordance with statutory accounting practices, that exceed minimum statutory capital requirements. Additional requirements must be met depending on the state, and payments of such amounts as dividends are subject to approval by regulatory authorities.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7" w:lineRule="exact"/>
        <w:rPr>
          <w:sz w:val="20"/>
          <w:szCs w:val="20"/>
          <w:color w:val="auto"/>
        </w:rPr>
      </w:pPr>
    </w:p>
    <w:p>
      <w:pPr>
        <w:ind w:left="660" w:hanging="652"/>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Statutory Financial Information and Dividend Limitations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Utah Insurance Code, Security National Life Insurance Company is permitted to pay stockholder dividends, or otherwise make distributions, to the Company subject to certain limitations. Security National Life Insurance Company must ensure that its surplus held for policyholders is reasonable in relation to its outstanding liabilities and adequate to its financial needs after payment of any such dividend or distribution. Furthermore, where any dividend or distribution, together with all other dividends and distributions made within the preceding 12 months, exceeds the lesser of (i) 10% of its surplus held for policyholders as of the next preceding December 31; or (ii) its net gain from operations, not including realized capital gains, for the 12-month period ending the next preceding December 31, such dividend or distribution constitutes “extraordinary” under Utah law and Security National Life Insurance Company would be required to file notice of its intention to declare such a dividend or make such a distribution with the Utah Commissioner and the Utah Commissioner must either approve the distribution or dividend or not disapprove the dividend or distribution within 30 days’ of the notice filing. Based on Security National Life Insurance Company’s surplus held for policyholders and net gain from operations as of December 31, 2025, the maximum aggregate amount of dividends and distributions that it could pay or make in 2025 and which would not constitute an “extraordinary” dividend or distribution under Utah law and would therefore not require notice and approval or lack of disproval from the Utah Commissioner, would be approximately $8,500,000.</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Louisiana Insurance Code, First Guaranty Insurance Company and Kilpatrick Life Insurance Company are permitted to pay stockholder dividends, or otherwise make distributions, to the Company subject to certain limitations. First Guaranty Insurance Company and Kilpatrick Life Insurance Company must ensure that its surplus held for policyholders is reasonable in relation to its outstanding liabilities and adequate to its financial needs after payment of any such dividend or distribution. Furthermore, where any dividend or distribution, together with all other dividends and distributions made within the preceding 12 months, exceeds the lesser of (i) 10% of its surplus held for policyholders as of the next preceding December 31; or (ii) its net gain from operations, not including realized capital gains, for the 12-month period ending the next preceding December 31, such dividend or distribution constitutes “extraordinary” under Louisiana law and First Guaranty Insurance Company and Kilpatrick Life Insurance Company would be required to file notice of its intention to declare such a dividend or make such a distribution with the Louisiana Commissioner and the Louisiana Commissioner must either approve the distribution or dividend or not disapprove the dividend or distribution within 30 days’ of the notice filing. Based on First Guaranty Insurance Company’s and Kilpatrick Life Insurance Company’s surplus held for policyholders and net gain from operations as of December 31, 2025, the maximum aggregate amount of dividends and distributions that it could pay or make in 2025 and which would not constitute an “extraordinary” dividend or distribution under Louisiana law and would therefore not require notice and approval or lack of disproval from the Louisiana Commissioner, would be approximately $814,000 for First Guaranty Insurance Company and $2,062,000 for Kilpatrick Life Insurance Company.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7" w:lineRule="exact"/>
        <w:rPr>
          <w:sz w:val="20"/>
          <w:szCs w:val="20"/>
          <w:color w:val="auto"/>
        </w:rPr>
      </w:pPr>
    </w:p>
    <w:p>
      <w:pPr>
        <w:ind w:left="660" w:hanging="652"/>
        <w:spacing w:after="0"/>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Commitments and Contingencies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Loan Loss Settlements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Future loan losses can be extremely difficult to estimate. However, the Company believes that the Company’s reserve methodology and its current practice of property preservation allow it to estimate potential losses on loans sold. See Note 3 for additional information about the Company’s loan loss reserve.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Non-Cancelable Leases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leases office space and equipment under various non-cancelable agreements. See Note 15 regarding leases.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Contingencies and Commitments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regarding the Company’s commitments to fund existing construction and land development mortgage loans held for investment.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belongs to a captive insurance group (“the captive group”) for certain casualty insurance, worker compensation and general liability programs. The captive group maintains insurance reserves relative to these programs. The level of exposure from catastrophic events is limited by the purchase of stop-loss and aggregate liability reinsurance coverage. When estimating the insurance liabilities and related reserves, the captive group considers several factors, which include historical claims experience, demographic factors, severity factors and valuations provided by independent third-party actuaries. If actual claims or adverse development of loss reserves occurs and exceed these estimates, additional reserves may be required from the Company and its subsidiaries. The estimation process contains uncertainty since captive insurance management must use judgment to estimate the ultimate cost that will be incurred to settle reported claims and unreported claims for incidents incurred but not reported as of the balance sheet date.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a defendant in various legal actions arising from the normal conduct of business. The Company believes that none of the actions, if adversely determined, will have a material effect on the Company’s financial position or results of operations. Based on management’s assessment and legal counsel’s representations concerning the likelihood of unfavorable outcomes, no amounts have been accrued for the above claims in the consolidated financial statements. The Company is not a party to any other material legal proceedings outside the ordinary course of business or to any other legal proceedings, which, if adversely determined, would have a material adverse effect on its financial condition or results of operations.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maintains disclosure controls and procedures as defined in Rule 13a-15(e) and 15d-15(e) under the Exchange Act. The Company has designed these controls and procedures to ensure that information the Company is required to disclose in reports filed under the Exchange Act is recorded, processed, summarized and reported within the time periods specified in the SEC’s rules and forms, and is accumulated and communicated to Company management, including the Chief Executive Officer (“CEO”) and Chief Financial Officer (“CFO”) as appropriate, to allow timely decisions regarding required disclosure.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the Company’s management, including the CEO and CFO, the Company has evaluated the effectiveness of its disclosure controls and procedures as required by Exchange Act as of the end of the period covered by this Annual Report on Form 10-K. Based on that evaluation, the CEO and CFO have concluded that its disclosure controls and procedures were not effective as of December 31, 2025, because of the material weakness in the Company’s internal control over financial reporting as described below.</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Annual Report on Internal Control Over Financial Reporting</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 13a-15(f) and 15d-15(f) under the Exchange Act. The Company’s internal control over financial reporting is a process that is designed to provide reasonable, but not absolute, assurance regarding the reliability of financial reporting and the preparation of financial statements for external purposes in accordance with GAAP, and includes those policies and procedures that:</w:t>
      </w:r>
    </w:p>
    <w:p>
      <w:pPr>
        <w:spacing w:after="0" w:line="180" w:lineRule="exact"/>
        <w:rPr>
          <w:sz w:val="20"/>
          <w:szCs w:val="20"/>
          <w:color w:val="auto"/>
        </w:rPr>
      </w:pPr>
    </w:p>
    <w:p>
      <w:pPr>
        <w:ind w:left="660" w:hanging="328"/>
        <w:spacing w:after="0" w:line="282" w:lineRule="auto"/>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assets of the Company,</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GAAP, and that receipts and expenditures are being made only in accordance with authorizations of management and the Company’s Board of Directors, and provide reasonable assurance regarding prevention or timely detection of unauthorized acquisition, use, or disposition of the Company’s assets that could have a material effect on the financial statements.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and procedures may deteriorate.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Management performed an assessment of the effectiveness of the Company’s internal control over financial reporting as of December 31, 2025 based on the criteria in the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the Committee of Sponsoring Organizations of the Treadway Commission. The objective of this assessment was to determine whether the Company’s internal control over financial reporting was effective as of December 31, 2025. Based on that assessment management believes that as of December 31, 2025, the Company’s internal control over financial reporting was not effective.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identified a material weakness related to information technology general controls (“ITGCs”) because the Company did not design and maintain effective ITGCs for information systems that are relevant to the preparation of the financial statements. Specifically, deficiencies were identified related to user access controls and program change management controls for financial systems. These deficiencies resulted in related control deficiencies with respect to information generated from the impacted systems and used in the performance of controls relevant to the preparation of the financial statements. The material weakness related to the ITGCs did not result in adjustments to the financial statements for the year ended December 31, 2025.</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registered public accounting firm has issued its report on its audit of the effectiveness of internal control over financial reporting, which is included herein and set forth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taking actions to remediate the material weakness relating to its internal control over financial reporting. Other than the changes to the Company’s internal control over financial reporting described in “Remediation Plan and Status” below, there were no changes to the Company’s internal control over financial reporting as defined by Rule 13a-15(f) under the Exchange Act during the quarter ended December 31, 2025 that have materially affected, or are reasonably likely to materially affect, the Company’s internal control over financial reporting.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Remediation Plan and Status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committed to remediating its material weaknesses as promptly as possible. Management is in the process of implementing its remediation plan. Management will test the ongoing operating effectiveness of the new and existing controls in future periods. The material weaknesses cannot be considered completely remediated until the applicable controls have operated for a sufficient period of time and management has concluded, through testing, that these controls are operating effectively. Management cannot assure you that the measures taken to date, and are continuing to implement, will be sufficient to remediate the material weakness identified or avoid potential future material weaknesses.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906"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Security National Financial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Opinions on Internal Control over Financial Reporting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Security National Financial Corporation and subsidiaries (the “Company”) as of December 31, 2025, based on criteria established in Internal Control — Integrated Framework (2013) issued by the Committee of Sponsoring Organizations of the Treadway Commission (COSO). In our opinion, because of the effect of the material weakness identified below on the achievement of the objectives of the control criteria, the Company has not maintained effective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2025, of the Company and our report dated March 16, 2026, expressed an unqualified opinion on those financial statements and included an explanatory paragraph regarding the Company’s adoption of a new accounting standard.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Weakness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 has been identified and included in management’s assessment:</w:t>
      </w:r>
    </w:p>
    <w:p>
      <w:pPr>
        <w:spacing w:after="0" w:line="176" w:lineRule="exact"/>
        <w:rPr>
          <w:sz w:val="20"/>
          <w:szCs w:val="20"/>
          <w:color w:val="auto"/>
        </w:rPr>
      </w:pPr>
    </w:p>
    <w:p>
      <w:pPr>
        <w:jc w:val="both"/>
        <w:ind w:left="340" w:hanging="332"/>
        <w:spacing w:after="0" w:line="261" w:lineRule="auto"/>
        <w:tabs>
          <w:tab w:leader="none" w:pos="3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design and maintain effective information technology general controls (“ITGCs”) for information systems that are relevant to the preparation of the financial statements. Specifically, deficiencies were identified related to user access controls and program change management controls for financial systems. These deficiencies resulted in related control deficiencies with respect to information generated from the impacted systems and used in the performance of controls relevant to the preparation of the financial statements.</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material weakness was considered in determining the nature, timing, and extent of audit tests applied in our audit of the consolidated financial statements as of and for the year ended December 31, 2025, of the Company, and this report does not affect our report on such financial statements.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Deloitte &amp; Touche LLP</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Salt Lake City, UT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2026</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portion of the Company’s directors’ and officers’ compensation is in the form of equity awards and, from time to time, they may engage in open-market transactions with respect to their Company securities for diversification or other personal reasons. All such transactions in Company securities by directors and officers must comply with the Company’s Insider Trading Policy, which requires that transactions be in accordance with applicable U.S. federal securities laws that prohibit trading while in possession of material nonpublic information. Rule 10b5-1 under the Exchange Act provides an affirmative defense that enables directors and officers to prearrange transactions in the Company’s securities in a manner that avoids concerns about initiating transactions while in possession of material nonpublic information. During the three months ended December 31, 2025, no directors or officers adopted or terminated a “Rule 10b5-1 trading arrangement” or a “non-Rule 10b5-1 trading arrangement”, as each term is defined in Item 408(a) of Regulation 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PART III</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10, 11, 12, 13 and 14.</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by these items is incorporated by reference to the Company’s definitive proxy statement relating to its 2026 Annual Meeting of Shareholders. The Company currently anticipates that its definitive proxy statement will be filed with the SEC not later than 120 days after December 31, 2025, pursuant to Regulation 14A of the Securities and Exchange Act of 1934, as amended.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PART IV</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(a)(1)</w:t>
      </w:r>
      <w:r>
        <w:rPr>
          <w:sz w:val="20"/>
          <w:szCs w:val="20"/>
          <w:color w:val="auto"/>
        </w:rPr>
        <w:tab/>
      </w:r>
      <w:r>
        <w:rPr>
          <w:rFonts w:ascii="Times New Roman" w:cs="Times New Roman" w:eastAsia="Times New Roman" w:hAnsi="Times New Roman"/>
          <w:sz w:val="18"/>
          <w:szCs w:val="18"/>
          <w:u w:val="single" w:color="auto"/>
          <w:color w:val="auto"/>
        </w:rPr>
        <w:t>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“Index to Consolidated Financial Statements” under Item 8 above.</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(a)(2)</w:t>
      </w:r>
      <w:r>
        <w:rPr>
          <w:sz w:val="20"/>
          <w:szCs w:val="20"/>
          <w:color w:val="auto"/>
        </w:rPr>
        <w:tab/>
      </w:r>
      <w:r>
        <w:rPr>
          <w:rFonts w:ascii="Times New Roman" w:cs="Times New Roman" w:eastAsia="Times New Roman" w:hAnsi="Times New Roman"/>
          <w:sz w:val="18"/>
          <w:szCs w:val="18"/>
          <w:u w:val="single" w:color="auto"/>
          <w:color w:val="auto"/>
        </w:rPr>
        <w:t>Financial Statement Schedules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schedules to the consolidated financial statements required by Article 7 of Regulation S-X are not required under the related instructions or are inapplicable and therefore have been omitted.</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(a)(3)</w:t>
      </w:r>
      <w:r>
        <w:rPr>
          <w:sz w:val="20"/>
          <w:szCs w:val="20"/>
          <w:color w:val="auto"/>
        </w:rPr>
        <w:tab/>
      </w:r>
      <w:r>
        <w:rPr>
          <w:rFonts w:ascii="Times New Roman" w:cs="Times New Roman" w:eastAsia="Times New Roman" w:hAnsi="Times New Roman"/>
          <w:sz w:val="18"/>
          <w:szCs w:val="18"/>
          <w:u w:val="single" w:color="auto"/>
          <w:color w:val="auto"/>
        </w:rPr>
        <w:t>Exhibits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Exhibits are filed herewith pursuant to Rule 601 of Regulation S-K or are incorporated by reference to previous filings.</w:t>
      </w:r>
    </w:p>
    <w:p>
      <w:pPr>
        <w:spacing w:after="0" w:line="212"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6660" w:type="dxa"/>
            <w:vAlign w:val="bottom"/>
            <w:gridSpan w:val="9"/>
          </w:tcPr>
          <w:p>
            <w:pPr>
              <w:spacing w:after="0"/>
              <w:rPr>
                <w:rFonts w:ascii="Times New Roman" w:cs="Times New Roman" w:eastAsia="Times New Roman" w:hAnsi="Times New Roman"/>
                <w:sz w:val="18"/>
                <w:szCs w:val="18"/>
                <w:color w:val="0000EE"/>
              </w:rPr>
            </w:pPr>
            <w:hyperlink r:id="rId212">
              <w:r>
                <w:rPr>
                  <w:rFonts w:ascii="Times New Roman" w:cs="Times New Roman" w:eastAsia="Times New Roman" w:hAnsi="Times New Roman"/>
                  <w:sz w:val="18"/>
                  <w:szCs w:val="18"/>
                  <w:color w:val="0000EE"/>
                </w:rPr>
                <w:t>Amended and Restated Articles of Incorporation (3)</w:t>
              </w:r>
            </w:hyperlink>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252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213">
              <w:r>
                <w:rPr>
                  <w:rFonts w:ascii="Times New Roman" w:cs="Times New Roman" w:eastAsia="Times New Roman" w:hAnsi="Times New Roman"/>
                  <w:sz w:val="18"/>
                  <w:szCs w:val="18"/>
                  <w:color w:val="0000EE"/>
                  <w:w w:val="99"/>
                </w:rPr>
                <w:t>Amended and Restated Bylaws (5)</w:t>
              </w:r>
            </w:hyperlink>
          </w:p>
        </w:tc>
        <w:tc>
          <w:tcPr>
            <w:tcW w:w="1240" w:type="dxa"/>
            <w:vAlign w:val="bottom"/>
            <w:tcBorders>
              <w:top w:val="single" w:sz="8" w:color="0000EE"/>
            </w:tcBorders>
          </w:tcPr>
          <w:p>
            <w:pPr>
              <w:spacing w:after="0"/>
              <w:rPr>
                <w:sz w:val="17"/>
                <w:szCs w:val="17"/>
                <w:color w:val="auto"/>
              </w:rPr>
            </w:pPr>
          </w:p>
        </w:tc>
        <w:tc>
          <w:tcPr>
            <w:tcW w:w="2900" w:type="dxa"/>
            <w:vAlign w:val="bottom"/>
            <w:gridSpan w:val="4"/>
          </w:tcPr>
          <w:p>
            <w:pPr>
              <w:spacing w:after="0"/>
              <w:rPr>
                <w:sz w:val="17"/>
                <w:szCs w:val="17"/>
                <w:color w:val="auto"/>
              </w:rPr>
            </w:pPr>
          </w:p>
        </w:tc>
      </w:tr>
      <w:tr>
        <w:trPr>
          <w:trHeight w:val="21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66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Specimen Class A Stock Certificate (1)</w:t>
            </w: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66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Specimen Class C Stock Certificate (1)</w:t>
            </w: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66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Specimen Preferred Stock Certificate and Certificate of Designation of Preferred Stock (1)</w:t>
            </w:r>
          </w:p>
        </w:tc>
      </w:tr>
      <w:tr>
        <w:trPr>
          <w:trHeight w:val="194"/>
        </w:trPr>
        <w:tc>
          <w:tcPr>
            <w:tcW w:w="9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4.4</w:t>
            </w:r>
          </w:p>
        </w:tc>
        <w:tc>
          <w:tcPr>
            <w:tcW w:w="1800" w:type="dxa"/>
            <w:vAlign w:val="bottom"/>
            <w:tcBorders>
              <w:bottom w:val="single" w:sz="8" w:color="0000EE"/>
            </w:tcBorders>
          </w:tcPr>
          <w:p>
            <w:pPr>
              <w:spacing w:after="0" w:line="194" w:lineRule="exact"/>
              <w:rPr>
                <w:sz w:val="20"/>
                <w:szCs w:val="20"/>
                <w:color w:val="auto"/>
              </w:rPr>
            </w:pPr>
            <w:r>
              <w:rPr>
                <w:rFonts w:ascii="Times New Roman" w:cs="Times New Roman" w:eastAsia="Times New Roman" w:hAnsi="Times New Roman"/>
                <w:sz w:val="18"/>
                <w:szCs w:val="18"/>
                <w:color w:val="0000EE"/>
                <w:w w:val="99"/>
              </w:rPr>
              <w:t>Description of Securities</w:t>
            </w:r>
          </w:p>
        </w:tc>
        <w:tc>
          <w:tcPr>
            <w:tcW w:w="4860" w:type="dxa"/>
            <w:vAlign w:val="bottom"/>
            <w:gridSpan w:val="8"/>
          </w:tcPr>
          <w:p>
            <w:pPr>
              <w:spacing w:after="0"/>
              <w:rPr>
                <w:sz w:val="16"/>
                <w:szCs w:val="16"/>
                <w:color w:val="auto"/>
              </w:rPr>
            </w:pPr>
          </w:p>
        </w:tc>
      </w:tr>
      <w:tr>
        <w:trPr>
          <w:trHeight w:val="21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6660" w:type="dxa"/>
            <w:vAlign w:val="bottom"/>
            <w:gridSpan w:val="9"/>
          </w:tcPr>
          <w:p>
            <w:pPr>
              <w:spacing w:after="0"/>
              <w:rPr>
                <w:sz w:val="20"/>
                <w:szCs w:val="20"/>
                <w:color w:val="auto"/>
              </w:rPr>
            </w:pPr>
            <w:r>
              <w:rPr>
                <w:rFonts w:ascii="Times New Roman" w:cs="Times New Roman" w:eastAsia="Times New Roman" w:hAnsi="Times New Roman"/>
                <w:sz w:val="18"/>
                <w:szCs w:val="18"/>
                <w:color w:val="auto"/>
                <w:w w:val="99"/>
              </w:rPr>
              <w:t>Employee Stock Ownership Plan, as amended and restated (ESOP) and Trust Agreement (1)</w:t>
            </w:r>
          </w:p>
        </w:tc>
      </w:tr>
      <w:tr>
        <w:trPr>
          <w:trHeight w:val="194"/>
        </w:trPr>
        <w:tc>
          <w:tcPr>
            <w:tcW w:w="9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10.2</w:t>
            </w:r>
          </w:p>
        </w:tc>
        <w:tc>
          <w:tcPr>
            <w:tcW w:w="6660" w:type="dxa"/>
            <w:vAlign w:val="bottom"/>
            <w:gridSpan w:val="9"/>
          </w:tcPr>
          <w:p>
            <w:pPr>
              <w:spacing w:after="0" w:line="194" w:lineRule="exact"/>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color w:val="0000EE"/>
                </w:rPr>
                <w:t>Amended and Restated 2013 Stock Option and Other Equity Incentive Awards Plan (2)</w:t>
              </w:r>
            </w:hyperlink>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628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Amended and Restated 2014 Director Stock Option Plan (6)</w:t>
              </w:r>
            </w:hyperlink>
          </w:p>
        </w:tc>
        <w:tc>
          <w:tcPr>
            <w:tcW w:w="38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45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216">
              <w:r>
                <w:rPr>
                  <w:rFonts w:ascii="Times New Roman" w:cs="Times New Roman" w:eastAsia="Times New Roman" w:hAnsi="Times New Roman"/>
                  <w:sz w:val="18"/>
                  <w:szCs w:val="18"/>
                  <w:color w:val="0000EE"/>
                  <w:w w:val="99"/>
                </w:rPr>
                <w:t>Employment Agreement and Extension with Scott M. Quist (8)</w:t>
              </w:r>
            </w:hyperlink>
          </w:p>
        </w:tc>
        <w:tc>
          <w:tcPr>
            <w:tcW w:w="2080" w:type="dxa"/>
            <w:vAlign w:val="bottom"/>
            <w:gridSpan w:val="2"/>
          </w:tcPr>
          <w:p>
            <w:pPr>
              <w:spacing w:after="0"/>
              <w:rPr>
                <w:sz w:val="17"/>
                <w:szCs w:val="17"/>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6660" w:type="dxa"/>
            <w:vAlign w:val="bottom"/>
            <w:gridSpan w:val="9"/>
          </w:tcPr>
          <w:p>
            <w:pPr>
              <w:spacing w:after="0" w:line="196" w:lineRule="exact"/>
              <w:rPr>
                <w:rFonts w:ascii="Times New Roman" w:cs="Times New Roman" w:eastAsia="Times New Roman" w:hAnsi="Times New Roman"/>
                <w:sz w:val="18"/>
                <w:szCs w:val="18"/>
                <w:color w:val="0000EE"/>
              </w:rPr>
            </w:pPr>
            <w:hyperlink r:id="rId217">
              <w:r>
                <w:rPr>
                  <w:rFonts w:ascii="Times New Roman" w:cs="Times New Roman" w:eastAsia="Times New Roman" w:hAnsi="Times New Roman"/>
                  <w:sz w:val="18"/>
                  <w:szCs w:val="18"/>
                  <w:color w:val="0000EE"/>
                </w:rPr>
                <w:t>Stock Repurchase Plan (4)</w:t>
              </w:r>
            </w:hyperlink>
          </w:p>
        </w:tc>
      </w:tr>
      <w:tr>
        <w:trPr>
          <w:trHeight w:val="20"/>
        </w:trPr>
        <w:tc>
          <w:tcPr>
            <w:tcW w:w="960" w:type="dxa"/>
            <w:vAlign w:val="bottom"/>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40" w:type="dxa"/>
            <w:vAlign w:val="bottom"/>
            <w:gridSpan w:val="6"/>
          </w:tcPr>
          <w:p>
            <w:pPr>
              <w:spacing w:after="0" w:line="20" w:lineRule="exact"/>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6660" w:type="dxa"/>
            <w:vAlign w:val="bottom"/>
            <w:gridSpan w:val="9"/>
          </w:tcPr>
          <w:p>
            <w:pPr>
              <w:spacing w:after="0" w:line="196" w:lineRule="exact"/>
              <w:rPr>
                <w:rFonts w:ascii="Times New Roman" w:cs="Times New Roman" w:eastAsia="Times New Roman" w:hAnsi="Times New Roman"/>
                <w:sz w:val="18"/>
                <w:szCs w:val="18"/>
                <w:color w:val="0000EE"/>
              </w:rPr>
            </w:pPr>
            <w:hyperlink r:id="rId218">
              <w:r>
                <w:rPr>
                  <w:rFonts w:ascii="Times New Roman" w:cs="Times New Roman" w:eastAsia="Times New Roman" w:hAnsi="Times New Roman"/>
                  <w:sz w:val="18"/>
                  <w:szCs w:val="18"/>
                  <w:color w:val="0000EE"/>
                </w:rPr>
                <w:t>2022 Equity Incentive Plan (7)</w:t>
              </w:r>
            </w:hyperlink>
          </w:p>
        </w:tc>
      </w:tr>
      <w:tr>
        <w:trPr>
          <w:trHeight w:val="20"/>
        </w:trPr>
        <w:tc>
          <w:tcPr>
            <w:tcW w:w="96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9" w:lineRule="exact"/>
        <w:rPr>
          <w:sz w:val="20"/>
          <w:szCs w:val="20"/>
          <w:color w:val="auto"/>
        </w:rPr>
      </w:pPr>
    </w:p>
    <w:p>
      <w:pPr>
        <w:ind w:left="1620" w:hanging="964"/>
        <w:spacing w:after="0"/>
        <w:tabs>
          <w:tab w:leader="none" w:pos="1620" w:val="left"/>
        </w:tabs>
        <w:numPr>
          <w:ilvl w:val="0"/>
          <w:numId w:val="131"/>
        </w:numPr>
        <w:rPr>
          <w:rFonts w:ascii="Times New Roman" w:cs="Times New Roman" w:eastAsia="Times New Roman" w:hAnsi="Times New Roman"/>
          <w:sz w:val="18"/>
          <w:szCs w:val="18"/>
          <w:u w:val="single" w:color="auto"/>
          <w:color w:val="0000EE"/>
        </w:rPr>
      </w:pPr>
      <w:hyperlink r:id="rId219">
        <w:r>
          <w:rPr>
            <w:rFonts w:ascii="Times New Roman" w:cs="Times New Roman" w:eastAsia="Times New Roman" w:hAnsi="Times New Roman"/>
            <w:sz w:val="18"/>
            <w:szCs w:val="18"/>
            <w:u w:val="single" w:color="auto"/>
            <w:color w:val="0000EE"/>
          </w:rPr>
          <w:t>Code of Business Conduct and Ethics (5)</w:t>
        </w:r>
      </w:hyperlink>
    </w:p>
    <w:p>
      <w:pPr>
        <w:spacing w:after="0" w:line="27" w:lineRule="exact"/>
        <w:rPr>
          <w:sz w:val="20"/>
          <w:szCs w:val="20"/>
          <w:color w:val="auto"/>
        </w:rPr>
      </w:pPr>
    </w:p>
    <w:p>
      <w:pPr>
        <w:ind w:left="1620" w:hanging="964"/>
        <w:spacing w:after="0"/>
        <w:tabs>
          <w:tab w:leader="none" w:pos="1620" w:val="left"/>
        </w:tabs>
        <w:numPr>
          <w:ilvl w:val="0"/>
          <w:numId w:val="132"/>
        </w:numPr>
        <w:rPr>
          <w:rFonts w:ascii="Times New Roman" w:cs="Times New Roman" w:eastAsia="Times New Roman" w:hAnsi="Times New Roman"/>
          <w:sz w:val="18"/>
          <w:szCs w:val="18"/>
          <w:u w:val="single" w:color="auto"/>
          <w:color w:val="0000EE"/>
        </w:rPr>
      </w:pPr>
      <w:hyperlink r:id="rId220">
        <w:r>
          <w:rPr>
            <w:rFonts w:ascii="Times New Roman" w:cs="Times New Roman" w:eastAsia="Times New Roman" w:hAnsi="Times New Roman"/>
            <w:sz w:val="18"/>
            <w:szCs w:val="18"/>
            <w:u w:val="single" w:color="auto"/>
            <w:color w:val="0000EE"/>
          </w:rPr>
          <w:t>Insider Trading Policy (7)</w:t>
        </w:r>
      </w:hyperlink>
    </w:p>
    <w:p>
      <w:pPr>
        <w:spacing w:after="0" w:line="9" w:lineRule="exact"/>
        <w:rPr>
          <w:rFonts w:ascii="Times New Roman" w:cs="Times New Roman" w:eastAsia="Times New Roman" w:hAnsi="Times New Roman"/>
          <w:sz w:val="18"/>
          <w:szCs w:val="18"/>
          <w:u w:val="single" w:color="auto"/>
          <w:color w:val="0000EE"/>
        </w:rPr>
      </w:pPr>
    </w:p>
    <w:p>
      <w:pPr>
        <w:ind w:left="1620" w:hanging="964"/>
        <w:spacing w:after="0"/>
        <w:tabs>
          <w:tab w:leader="none" w:pos="1620" w:val="left"/>
        </w:tabs>
        <w:numPr>
          <w:ilvl w:val="0"/>
          <w:numId w:val="132"/>
        </w:numPr>
        <w:rPr>
          <w:rFonts w:ascii="Times New Roman" w:cs="Times New Roman" w:eastAsia="Times New Roman" w:hAnsi="Times New Roman"/>
          <w:sz w:val="18"/>
          <w:szCs w:val="18"/>
          <w:u w:val="single" w:color="auto"/>
          <w:color w:val="0000EE"/>
        </w:rPr>
      </w:pPr>
      <w:hyperlink r:id="rId221">
        <w:r>
          <w:rPr>
            <w:rFonts w:ascii="Times New Roman" w:cs="Times New Roman" w:eastAsia="Times New Roman" w:hAnsi="Times New Roman"/>
            <w:sz w:val="18"/>
            <w:szCs w:val="18"/>
            <w:u w:val="single" w:color="auto"/>
            <w:color w:val="0000EE"/>
          </w:rPr>
          <w:t>Clawback Policy (7)</w:t>
        </w:r>
      </w:hyperlink>
    </w:p>
    <w:p>
      <w:pPr>
        <w:spacing w:after="0" w:line="9" w:lineRule="exact"/>
        <w:rPr>
          <w:rFonts w:ascii="Times New Roman" w:cs="Times New Roman" w:eastAsia="Times New Roman" w:hAnsi="Times New Roman"/>
          <w:sz w:val="18"/>
          <w:szCs w:val="18"/>
          <w:u w:val="single" w:color="auto"/>
          <w:color w:val="0000EE"/>
        </w:rPr>
      </w:pPr>
    </w:p>
    <w:p>
      <w:pPr>
        <w:ind w:left="1620" w:hanging="964"/>
        <w:spacing w:after="0"/>
        <w:tabs>
          <w:tab w:leader="none" w:pos="16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Subsidiaries of the Registrant</w:t>
      </w:r>
    </w:p>
    <w:tbl>
      <w:tblPr>
        <w:tblLayout w:type="fixed"/>
        <w:tblInd w:w="660" w:type="dxa"/>
        <w:tblCellMar>
          <w:top w:w="0" w:type="dxa"/>
          <w:left w:w="0" w:type="dxa"/>
          <w:bottom w:w="0" w:type="dxa"/>
          <w:right w:w="0" w:type="dxa"/>
        </w:tblCellMar>
      </w:tblPr>
      <w:tr>
        <w:trPr>
          <w:trHeight w:val="185"/>
        </w:trPr>
        <w:tc>
          <w:tcPr>
            <w:tcW w:w="9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31.1</w:t>
            </w:r>
          </w:p>
        </w:tc>
        <w:tc>
          <w:tcPr>
            <w:tcW w:w="2020" w:type="dxa"/>
            <w:vAlign w:val="bottom"/>
          </w:tcPr>
          <w:p>
            <w:pPr>
              <w:spacing w:after="0" w:line="184" w:lineRule="exact"/>
              <w:rPr>
                <w:sz w:val="20"/>
                <w:szCs w:val="20"/>
                <w:color w:val="auto"/>
              </w:rPr>
            </w:pPr>
            <w:r>
              <w:rPr>
                <w:rFonts w:ascii="Times New Roman" w:cs="Times New Roman" w:eastAsia="Times New Roman" w:hAnsi="Times New Roman"/>
                <w:sz w:val="18"/>
                <w:szCs w:val="18"/>
                <w:color w:val="0000EE"/>
              </w:rPr>
              <w:t>Certification pursuant to 18</w:t>
            </w:r>
          </w:p>
        </w:tc>
        <w:tc>
          <w:tcPr>
            <w:tcW w:w="66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0000EE"/>
              </w:rPr>
              <w:t>U.S.C. Section 1350, as enacted by Section 302 of the Sarbanes-Oxley Act of 2002</w:t>
            </w:r>
          </w:p>
        </w:tc>
      </w:tr>
      <w:tr>
        <w:trPr>
          <w:trHeight w:val="20"/>
        </w:trPr>
        <w:tc>
          <w:tcPr>
            <w:tcW w:w="960" w:type="dxa"/>
            <w:vAlign w:val="bottom"/>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600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2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rPr>
              <w:t>Certification pursuant to 18</w:t>
            </w:r>
          </w:p>
        </w:tc>
        <w:tc>
          <w:tcPr>
            <w:tcW w:w="66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rPr>
              <w:t>U.S.C. Section 1350, as enacted by Section 302 of the Sarbanes-Oxley Act of 2002</w:t>
            </w:r>
          </w:p>
        </w:tc>
      </w:tr>
      <w:tr>
        <w:trPr>
          <w:trHeight w:val="20"/>
        </w:trPr>
        <w:tc>
          <w:tcPr>
            <w:tcW w:w="960" w:type="dxa"/>
            <w:vAlign w:val="bottom"/>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600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20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rPr>
              <w:t>Certification pursuant to 18</w:t>
            </w:r>
          </w:p>
        </w:tc>
        <w:tc>
          <w:tcPr>
            <w:tcW w:w="6660" w:type="dxa"/>
            <w:vAlign w:val="bottom"/>
            <w:tcBorders>
              <w:bottom w:val="single" w:sz="8" w:color="0000EE"/>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U.S.C. Section 1350, as adopted pursuant to Section 906 of the Sarbanes-Oxley Act of 2002</w:t>
            </w:r>
          </w:p>
        </w:tc>
      </w:tr>
      <w:tr>
        <w:trPr>
          <w:trHeight w:val="196"/>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20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rPr>
              <w:t>Certification pursuant to 18</w:t>
            </w:r>
          </w:p>
        </w:tc>
        <w:tc>
          <w:tcPr>
            <w:tcW w:w="6660" w:type="dxa"/>
            <w:vAlign w:val="bottom"/>
            <w:tcBorders>
              <w:bottom w:val="single" w:sz="8" w:color="0000EE"/>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U.S.C. Section 1350, as adopted pursuant to Section 906 of the Sarbanes-Oxley Act of 2002</w:t>
            </w:r>
          </w:p>
        </w:tc>
      </w:tr>
      <w:tr>
        <w:trPr>
          <w:trHeight w:val="21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Registration Statement on Form S-1, as filed on June 29, 1987</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Report on Form 10-Q, as filed on August 15, 2016</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Report on Form 10-K, as filed on March 31, 2017</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Report on Form 10-Q, as filed on November 13, 2018</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Report on Form 10-Q, as filed on May 15, 2019</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Report on Form 10-Q, as filed on August 14, 2020</w:t>
      </w:r>
    </w:p>
    <w:p>
      <w:pPr>
        <w:sectPr>
          <w:pgSz w:w="11900" w:h="16838" w:orient="portrait"/>
          <w:cols w:equalWidth="0" w:num="1">
            <w:col w:w="11240"/>
          </w:cols>
          <w:pgMar w:left="320" w:top="684" w:right="339" w:bottom="0" w:gutter="0" w:footer="0" w:header="0"/>
        </w:sectPr>
      </w:pPr>
    </w:p>
    <w:bookmarkStart w:id="138" w:name="page139"/>
    <w:bookmarkEnd w:id="138"/>
    <w:p>
      <w:pPr>
        <w:ind w:left="1300" w:hanging="644"/>
        <w:spacing w:after="0"/>
        <w:tabs>
          <w:tab w:leader="none" w:pos="13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Report on Form 10-K, as filed on March 29, 2024</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Report on Form 10-K, as filed on March 31,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39" w:name="page140"/>
    <w:bookmarkEnd w:id="139"/>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p>
        </w:tc>
        <w:tc>
          <w:tcPr>
            <w:tcW w:w="86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SECURITY NATIONAL FINANCIAL CORPORATION</w:t>
            </w:r>
          </w:p>
        </w:tc>
      </w:tr>
      <w:tr>
        <w:trPr>
          <w:trHeight w:val="432"/>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Dated: March 16, 2026</w:t>
            </w:r>
          </w:p>
        </w:tc>
        <w:tc>
          <w:tcPr>
            <w:tcW w:w="8620" w:type="dxa"/>
            <w:vAlign w:val="bottom"/>
            <w:gridSpan w:val="2"/>
          </w:tcPr>
          <w:p>
            <w:pPr>
              <w:ind w:left="30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Scott M. Quist</w:t>
            </w:r>
          </w:p>
        </w:tc>
      </w:tr>
      <w:tr>
        <w:trPr>
          <w:trHeight w:val="191"/>
        </w:trPr>
        <w:tc>
          <w:tcPr>
            <w:tcW w:w="26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Scott M. Quist</w:t>
            </w:r>
          </w:p>
        </w:tc>
      </w:tr>
      <w:tr>
        <w:trPr>
          <w:trHeight w:val="234"/>
        </w:trPr>
        <w:tc>
          <w:tcPr>
            <w:tcW w:w="26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President, and Chief Executive Officer</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2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8"/>
                <w:szCs w:val="18"/>
                <w:color w:val="auto"/>
              </w:rPr>
              <w:t>SIGNATURE</w:t>
            </w:r>
          </w:p>
        </w:tc>
        <w:tc>
          <w:tcPr>
            <w:tcW w:w="220" w:type="dxa"/>
            <w:vAlign w:val="bottom"/>
          </w:tcPr>
          <w:p>
            <w:pPr>
              <w:spacing w:after="0"/>
              <w:rPr>
                <w:sz w:val="20"/>
                <w:szCs w:val="20"/>
                <w:color w:val="auto"/>
              </w:rPr>
            </w:pPr>
          </w:p>
        </w:tc>
        <w:tc>
          <w:tcPr>
            <w:tcW w:w="4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w:t>
            </w:r>
          </w:p>
        </w:tc>
        <w:tc>
          <w:tcPr>
            <w:tcW w:w="22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DATE</w:t>
            </w:r>
          </w:p>
        </w:tc>
      </w:tr>
      <w:tr>
        <w:trPr>
          <w:trHeight w:val="432"/>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Scott M. Quist</w:t>
            </w:r>
          </w:p>
        </w:tc>
        <w:tc>
          <w:tcPr>
            <w:tcW w:w="220" w:type="dxa"/>
            <w:vAlign w:val="bottom"/>
          </w:tcPr>
          <w:p>
            <w:pPr>
              <w:spacing w:after="0"/>
              <w:rPr>
                <w:sz w:val="24"/>
                <w:szCs w:val="24"/>
                <w:color w:val="auto"/>
              </w:rPr>
            </w:pPr>
          </w:p>
        </w:tc>
        <w:tc>
          <w:tcPr>
            <w:tcW w:w="5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Chairman of the Board, President,</w:t>
            </w:r>
          </w:p>
        </w:tc>
        <w:tc>
          <w:tcPr>
            <w:tcW w:w="2240" w:type="dxa"/>
            <w:vAlign w:val="bottom"/>
          </w:tcPr>
          <w:p>
            <w:pPr>
              <w:spacing w:after="0"/>
              <w:rPr>
                <w:sz w:val="24"/>
                <w:szCs w:val="24"/>
                <w:color w:val="auto"/>
              </w:rPr>
            </w:pPr>
          </w:p>
        </w:tc>
      </w:tr>
      <w:tr>
        <w:trPr>
          <w:trHeight w:val="191"/>
        </w:trPr>
        <w:tc>
          <w:tcPr>
            <w:tcW w:w="3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Scott M. Quist</w:t>
            </w:r>
          </w:p>
        </w:tc>
        <w:tc>
          <w:tcPr>
            <w:tcW w:w="220" w:type="dxa"/>
            <w:vAlign w:val="bottom"/>
          </w:tcPr>
          <w:p>
            <w:pPr>
              <w:spacing w:after="0"/>
              <w:rPr>
                <w:sz w:val="16"/>
                <w:szCs w:val="16"/>
                <w:color w:val="auto"/>
              </w:rPr>
            </w:pPr>
          </w:p>
        </w:tc>
        <w:tc>
          <w:tcPr>
            <w:tcW w:w="5160" w:type="dxa"/>
            <w:vAlign w:val="bottom"/>
            <w:gridSpan w:val="2"/>
          </w:tcPr>
          <w:p>
            <w:pPr>
              <w:jc w:val="center"/>
              <w:ind w:right="220"/>
              <w:spacing w:after="0" w:line="191" w:lineRule="exact"/>
              <w:rPr>
                <w:sz w:val="20"/>
                <w:szCs w:val="20"/>
                <w:color w:val="auto"/>
              </w:rPr>
            </w:pPr>
            <w:r>
              <w:rPr>
                <w:rFonts w:ascii="Times New Roman" w:cs="Times New Roman" w:eastAsia="Times New Roman" w:hAnsi="Times New Roman"/>
                <w:sz w:val="18"/>
                <w:szCs w:val="18"/>
                <w:color w:val="auto"/>
                <w:w w:val="99"/>
              </w:rPr>
              <w:t>and Chief Executive Officer</w:t>
            </w:r>
          </w:p>
        </w:tc>
        <w:tc>
          <w:tcPr>
            <w:tcW w:w="2240" w:type="dxa"/>
            <w:vAlign w:val="bottom"/>
          </w:tcPr>
          <w:p>
            <w:pPr>
              <w:spacing w:after="0"/>
              <w:rPr>
                <w:sz w:val="16"/>
                <w:szCs w:val="16"/>
                <w:color w:val="auto"/>
              </w:rPr>
            </w:pPr>
          </w:p>
        </w:tc>
      </w:tr>
      <w:tr>
        <w:trPr>
          <w:trHeight w:val="234"/>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16, 2026</w:t>
            </w:r>
          </w:p>
        </w:tc>
      </w:tr>
      <w:tr>
        <w:trPr>
          <w:trHeight w:val="432"/>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Garrett S. Sill</w:t>
            </w:r>
          </w:p>
        </w:tc>
        <w:tc>
          <w:tcPr>
            <w:tcW w:w="220" w:type="dxa"/>
            <w:vAlign w:val="bottom"/>
          </w:tcPr>
          <w:p>
            <w:pPr>
              <w:spacing w:after="0"/>
              <w:rPr>
                <w:sz w:val="24"/>
                <w:szCs w:val="24"/>
                <w:color w:val="auto"/>
              </w:rPr>
            </w:pPr>
          </w:p>
        </w:tc>
        <w:tc>
          <w:tcPr>
            <w:tcW w:w="5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Chief Financial Officer and</w:t>
            </w:r>
          </w:p>
        </w:tc>
        <w:tc>
          <w:tcPr>
            <w:tcW w:w="2240" w:type="dxa"/>
            <w:vAlign w:val="bottom"/>
          </w:tcPr>
          <w:p>
            <w:pPr>
              <w:spacing w:after="0"/>
              <w:rPr>
                <w:sz w:val="24"/>
                <w:szCs w:val="24"/>
                <w:color w:val="auto"/>
              </w:rPr>
            </w:pPr>
          </w:p>
        </w:tc>
      </w:tr>
      <w:tr>
        <w:trPr>
          <w:trHeight w:val="191"/>
        </w:trPr>
        <w:tc>
          <w:tcPr>
            <w:tcW w:w="3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Garrett S. Sill</w:t>
            </w:r>
          </w:p>
        </w:tc>
        <w:tc>
          <w:tcPr>
            <w:tcW w:w="220" w:type="dxa"/>
            <w:vAlign w:val="bottom"/>
          </w:tcPr>
          <w:p>
            <w:pPr>
              <w:spacing w:after="0"/>
              <w:rPr>
                <w:sz w:val="16"/>
                <w:szCs w:val="16"/>
                <w:color w:val="auto"/>
              </w:rPr>
            </w:pPr>
          </w:p>
        </w:tc>
        <w:tc>
          <w:tcPr>
            <w:tcW w:w="5160" w:type="dxa"/>
            <w:vAlign w:val="bottom"/>
            <w:gridSpan w:val="2"/>
          </w:tcPr>
          <w:p>
            <w:pPr>
              <w:jc w:val="center"/>
              <w:ind w:right="220"/>
              <w:spacing w:after="0" w:line="191" w:lineRule="exact"/>
              <w:rPr>
                <w:sz w:val="20"/>
                <w:szCs w:val="20"/>
                <w:color w:val="auto"/>
              </w:rPr>
            </w:pPr>
            <w:r>
              <w:rPr>
                <w:rFonts w:ascii="Times New Roman" w:cs="Times New Roman" w:eastAsia="Times New Roman" w:hAnsi="Times New Roman"/>
                <w:sz w:val="18"/>
                <w:szCs w:val="18"/>
                <w:color w:val="auto"/>
                <w:w w:val="99"/>
              </w:rPr>
              <w:t>Treasurer (Principal Financial</w:t>
            </w:r>
          </w:p>
        </w:tc>
        <w:tc>
          <w:tcPr>
            <w:tcW w:w="2240" w:type="dxa"/>
            <w:vAlign w:val="bottom"/>
          </w:tcPr>
          <w:p>
            <w:pPr>
              <w:spacing w:after="0"/>
              <w:rPr>
                <w:sz w:val="16"/>
                <w:szCs w:val="16"/>
                <w:color w:val="auto"/>
              </w:rPr>
            </w:pPr>
          </w:p>
        </w:tc>
      </w:tr>
      <w:tr>
        <w:trPr>
          <w:trHeight w:val="234"/>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and Accounting Officer)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16, 2026</w:t>
            </w:r>
          </w:p>
        </w:tc>
      </w:tr>
      <w:tr>
        <w:trPr>
          <w:trHeight w:val="432"/>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Jason G. Overbaugh</w:t>
            </w:r>
          </w:p>
        </w:tc>
        <w:tc>
          <w:tcPr>
            <w:tcW w:w="220" w:type="dxa"/>
            <w:vAlign w:val="bottom"/>
          </w:tcPr>
          <w:p>
            <w:pPr>
              <w:spacing w:after="0"/>
              <w:rPr>
                <w:sz w:val="24"/>
                <w:szCs w:val="24"/>
                <w:color w:val="auto"/>
              </w:rPr>
            </w:pPr>
          </w:p>
        </w:tc>
        <w:tc>
          <w:tcPr>
            <w:tcW w:w="5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Vice President and 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16, 2026</w:t>
            </w:r>
          </w:p>
        </w:tc>
      </w:tr>
      <w:tr>
        <w:trPr>
          <w:trHeight w:val="22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Jason G. Overbaugh</w:t>
            </w:r>
          </w:p>
        </w:tc>
        <w:tc>
          <w:tcPr>
            <w:tcW w:w="2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4"/>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 Andrew Quist</w:t>
            </w:r>
          </w:p>
        </w:tc>
        <w:tc>
          <w:tcPr>
            <w:tcW w:w="220" w:type="dxa"/>
            <w:vAlign w:val="bottom"/>
          </w:tcPr>
          <w:p>
            <w:pPr>
              <w:spacing w:after="0"/>
              <w:rPr>
                <w:sz w:val="24"/>
                <w:szCs w:val="24"/>
                <w:color w:val="auto"/>
              </w:rPr>
            </w:pPr>
          </w:p>
        </w:tc>
        <w:tc>
          <w:tcPr>
            <w:tcW w:w="5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Vice President and 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16, 2026</w:t>
            </w:r>
          </w:p>
        </w:tc>
      </w:tr>
      <w:tr>
        <w:trPr>
          <w:trHeight w:val="22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S. Andrew Quist</w:t>
            </w:r>
          </w:p>
        </w:tc>
        <w:tc>
          <w:tcPr>
            <w:tcW w:w="2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4"/>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Adam G. Quist</w:t>
            </w:r>
          </w:p>
        </w:tc>
        <w:tc>
          <w:tcPr>
            <w:tcW w:w="220" w:type="dxa"/>
            <w:vAlign w:val="bottom"/>
          </w:tcPr>
          <w:p>
            <w:pPr>
              <w:spacing w:after="0"/>
              <w:rPr>
                <w:sz w:val="24"/>
                <w:szCs w:val="24"/>
                <w:color w:val="auto"/>
              </w:rPr>
            </w:pPr>
          </w:p>
        </w:tc>
        <w:tc>
          <w:tcPr>
            <w:tcW w:w="5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Vice President and 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16, 2026</w:t>
            </w:r>
          </w:p>
        </w:tc>
      </w:tr>
      <w:tr>
        <w:trPr>
          <w:trHeight w:val="22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Adam G. Quist</w:t>
            </w:r>
          </w:p>
        </w:tc>
        <w:tc>
          <w:tcPr>
            <w:tcW w:w="2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4"/>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John L. Cook</w:t>
            </w:r>
          </w:p>
        </w:tc>
        <w:tc>
          <w:tcPr>
            <w:tcW w:w="220" w:type="dxa"/>
            <w:vAlign w:val="bottom"/>
          </w:tcPr>
          <w:p>
            <w:pPr>
              <w:spacing w:after="0"/>
              <w:rPr>
                <w:sz w:val="24"/>
                <w:szCs w:val="24"/>
                <w:color w:val="auto"/>
              </w:rPr>
            </w:pPr>
          </w:p>
        </w:tc>
        <w:tc>
          <w:tcPr>
            <w:tcW w:w="5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16, 2026</w:t>
            </w:r>
          </w:p>
        </w:tc>
      </w:tr>
      <w:tr>
        <w:trPr>
          <w:trHeight w:val="22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John L. Cook</w:t>
            </w:r>
          </w:p>
        </w:tc>
        <w:tc>
          <w:tcPr>
            <w:tcW w:w="2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4"/>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Gilbert A. Fuller</w:t>
            </w:r>
          </w:p>
        </w:tc>
        <w:tc>
          <w:tcPr>
            <w:tcW w:w="220" w:type="dxa"/>
            <w:vAlign w:val="bottom"/>
          </w:tcPr>
          <w:p>
            <w:pPr>
              <w:spacing w:after="0"/>
              <w:rPr>
                <w:sz w:val="24"/>
                <w:szCs w:val="24"/>
                <w:color w:val="auto"/>
              </w:rPr>
            </w:pPr>
          </w:p>
        </w:tc>
        <w:tc>
          <w:tcPr>
            <w:tcW w:w="5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16, 2026</w:t>
            </w:r>
          </w:p>
        </w:tc>
      </w:tr>
      <w:tr>
        <w:trPr>
          <w:trHeight w:val="22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Gilbert A. Fuller</w:t>
            </w:r>
          </w:p>
        </w:tc>
        <w:tc>
          <w:tcPr>
            <w:tcW w:w="2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4"/>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Robert G. Hunter</w:t>
            </w:r>
          </w:p>
        </w:tc>
        <w:tc>
          <w:tcPr>
            <w:tcW w:w="220" w:type="dxa"/>
            <w:vAlign w:val="bottom"/>
          </w:tcPr>
          <w:p>
            <w:pPr>
              <w:spacing w:after="0"/>
              <w:rPr>
                <w:sz w:val="24"/>
                <w:szCs w:val="24"/>
                <w:color w:val="auto"/>
              </w:rPr>
            </w:pPr>
          </w:p>
        </w:tc>
        <w:tc>
          <w:tcPr>
            <w:tcW w:w="5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16, 2026</w:t>
            </w:r>
          </w:p>
        </w:tc>
      </w:tr>
      <w:tr>
        <w:trPr>
          <w:trHeight w:val="22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Robert G. Hunter</w:t>
            </w:r>
          </w:p>
        </w:tc>
        <w:tc>
          <w:tcPr>
            <w:tcW w:w="2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4"/>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Shital A. Mehta</w:t>
            </w:r>
          </w:p>
        </w:tc>
        <w:tc>
          <w:tcPr>
            <w:tcW w:w="220" w:type="dxa"/>
            <w:vAlign w:val="bottom"/>
          </w:tcPr>
          <w:p>
            <w:pPr>
              <w:spacing w:after="0"/>
              <w:rPr>
                <w:sz w:val="24"/>
                <w:szCs w:val="24"/>
                <w:color w:val="auto"/>
              </w:rPr>
            </w:pPr>
          </w:p>
        </w:tc>
        <w:tc>
          <w:tcPr>
            <w:tcW w:w="5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16, 2026</w:t>
            </w:r>
          </w:p>
        </w:tc>
      </w:tr>
      <w:tr>
        <w:trPr>
          <w:trHeight w:val="22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Shital A. Mehta</w:t>
            </w:r>
          </w:p>
        </w:tc>
        <w:tc>
          <w:tcPr>
            <w:tcW w:w="2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4"/>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H. Craig Moody</w:t>
            </w:r>
          </w:p>
        </w:tc>
        <w:tc>
          <w:tcPr>
            <w:tcW w:w="220" w:type="dxa"/>
            <w:vAlign w:val="bottom"/>
          </w:tcPr>
          <w:p>
            <w:pPr>
              <w:spacing w:after="0"/>
              <w:rPr>
                <w:sz w:val="24"/>
                <w:szCs w:val="24"/>
                <w:color w:val="auto"/>
              </w:rPr>
            </w:pPr>
          </w:p>
        </w:tc>
        <w:tc>
          <w:tcPr>
            <w:tcW w:w="5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16, 2026</w:t>
            </w:r>
          </w:p>
        </w:tc>
      </w:tr>
      <w:tr>
        <w:trPr>
          <w:trHeight w:val="22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H. Craig Moody</w:t>
            </w:r>
          </w:p>
        </w:tc>
        <w:tc>
          <w:tcPr>
            <w:tcW w:w="2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4"/>
        </w:trPr>
        <w:tc>
          <w:tcPr>
            <w:tcW w:w="362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gridSpan w:val="2"/>
          </w:tcPr>
          <w:p>
            <w:pPr>
              <w:jc w:val="right"/>
              <w:ind w:right="2930"/>
              <w:spacing w:after="0"/>
              <w:rPr>
                <w:sz w:val="20"/>
                <w:szCs w:val="20"/>
                <w:color w:val="auto"/>
              </w:rPr>
            </w:pPr>
            <w:r>
              <w:rPr>
                <w:rFonts w:ascii="Times New Roman" w:cs="Times New Roman" w:eastAsia="Times New Roman" w:hAnsi="Times New Roman"/>
                <w:sz w:val="18"/>
                <w:szCs w:val="18"/>
                <w:color w:val="auto"/>
              </w:rPr>
              <w:t>135</w:t>
            </w:r>
          </w:p>
        </w:tc>
        <w:tc>
          <w:tcPr>
            <w:tcW w:w="2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b w:val="1"/>
          <w:bCs w:val="1"/>
          <w:color w:val="auto"/>
        </w:rPr>
        <w:t>Exhibit 4.4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 REGISTERED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12 OF THE SECURITIES EXCHANGE ACT OF 1934</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Security National Financial Corporation (the “Company,” “we,” “us,” or “our”) has one class of securities, our Class A common stock, registered under Section 12 of the Securities Exchange Act of 1934, as amended.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general terms and provisions of our capital stock are summarized below. The below is a general summary, does not purport to be complete, and is subject to, and qualified in its entirety by, reference to our Articles of Amendment and Restatement to the Articles of Incorporation, referred to herein as our “Articles,” and our Amended Bylaws, referred to herein as our “Bylaws,” each of which have been filed as an exhibit to our most recent Annual Report on Form 10-K, of which this exhibit is a part, and the applicable provisions of the Utah Revised Business Corporation Act (the “Act”). We encourage you to review complete copies of our Articles and Bylaws and the applicable provisions of the Act for additional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authorized to issue 56,000,000 shares of capital stock, divided into the following classes:</w:t>
      </w:r>
    </w:p>
    <w:p>
      <w:pPr>
        <w:spacing w:after="0" w:line="225" w:lineRule="exact"/>
        <w:rPr>
          <w:sz w:val="20"/>
          <w:szCs w:val="20"/>
          <w:color w:val="auto"/>
        </w:rPr>
      </w:pPr>
    </w:p>
    <w:p>
      <w:pPr>
        <w:ind w:left="660" w:hanging="328"/>
        <w:spacing w:after="0"/>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40,000,000 shares of Class A common stock, $2.00 par value per share;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 shares of Class B common stock, $1.00 par value per share;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6,000,000 shares of Class C common stock, $2.00 par value per share;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 shares of Preferred Stock, $1.00 par value per share.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Voting Rights.</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Class A Common Stock</w:t>
      </w:r>
      <w:r>
        <w:rPr>
          <w:rFonts w:ascii="Times New Roman" w:cs="Times New Roman" w:eastAsia="Times New Roman" w:hAnsi="Times New Roman"/>
          <w:sz w:val="18"/>
          <w:szCs w:val="18"/>
          <w:color w:val="auto"/>
        </w:rPr>
        <w:t>. For the election of directors and for all other proper corporate matters, each share of Class A common stock is entitled to one vote.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holders of Class A common stock, voting separately as a class, are entitled to elect one-third of the directors of the Company at shareholder meetings called for the election of directors (or, if one-third is not a whole number, the next higher whole number of directors).</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Class C Common Stock</w:t>
      </w:r>
      <w:r>
        <w:rPr>
          <w:rFonts w:ascii="Times New Roman" w:cs="Times New Roman" w:eastAsia="Times New Roman" w:hAnsi="Times New Roman"/>
          <w:sz w:val="18"/>
          <w:szCs w:val="18"/>
          <w:color w:val="auto"/>
        </w:rPr>
        <w:t>. In the election of directors not reserved for Class A shareholders and for all other proper corporate matters, each share of Class 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is entitled to ten votes.</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Class B Common Stock</w:t>
      </w:r>
      <w:r>
        <w:rPr>
          <w:rFonts w:ascii="Times New Roman" w:cs="Times New Roman" w:eastAsia="Times New Roman" w:hAnsi="Times New Roman"/>
          <w:sz w:val="18"/>
          <w:szCs w:val="18"/>
          <w:color w:val="auto"/>
        </w:rPr>
        <w:t>. Class B common stock is non-voting stock save for certain matters affecting the rights, preferences and terms of Class B stock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outlined in the Act and the Articles.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Cumulative voting is not permitted in elections of directors or for any other purpose.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Dividend Rights.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outstanding shares of common stock share equally in dividends declared by the Board of Directors, subject to the following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i w:val="1"/>
          <w:iCs w:val="1"/>
          <w:color w:val="auto"/>
        </w:rPr>
        <w:t>Cash Dividends</w:t>
      </w:r>
      <w:r>
        <w:rPr>
          <w:rFonts w:ascii="Times New Roman" w:cs="Times New Roman" w:eastAsia="Times New Roman" w:hAnsi="Times New Roman"/>
          <w:sz w:val="18"/>
          <w:szCs w:val="18"/>
          <w:color w:val="auto"/>
        </w:rPr>
        <w:t>: Class C common shares are limited to receiving 90% of the per share cash dividends paid on the Class A and/or Class B common shares.</w:t>
      </w:r>
    </w:p>
    <w:p>
      <w:pPr>
        <w:spacing w:after="0" w:line="22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Liquidating Dividends and Distributions</w:t>
      </w:r>
      <w:r>
        <w:rPr>
          <w:rFonts w:ascii="Times New Roman" w:cs="Times New Roman" w:eastAsia="Times New Roman" w:hAnsi="Times New Roman"/>
          <w:sz w:val="18"/>
          <w:szCs w:val="18"/>
          <w:color w:val="auto"/>
        </w:rPr>
        <w:t>: Class C common shares are limited to receiving 90% of the per share liquidating distributions paid on the Class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and/or Class B common shares.</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All Other Distributions</w:t>
      </w:r>
      <w:r>
        <w:rPr>
          <w:rFonts w:ascii="Times New Roman" w:cs="Times New Roman" w:eastAsia="Times New Roman" w:hAnsi="Times New Roman"/>
          <w:sz w:val="18"/>
          <w:szCs w:val="18"/>
          <w:color w:val="auto"/>
        </w:rPr>
        <w:t>: With respect to all other distributions on common stock (excluding cash dividends and liquidating dividends and distributions),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C common shares are limited to receiving per share distributions of no more than the per share distributions paid on the Class A and/or Class B common shares.</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Stock Dividends</w:t>
      </w:r>
      <w:r>
        <w:rPr>
          <w:rFonts w:ascii="Times New Roman" w:cs="Times New Roman" w:eastAsia="Times New Roman" w:hAnsi="Times New Roman"/>
          <w:sz w:val="18"/>
          <w:szCs w:val="18"/>
          <w:color w:val="auto"/>
        </w:rPr>
        <w:t>. The classes of common stock share equally in stock dividends declared and payable in common stock, with each class of shareholders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being entitled to receive equivalent distributions to those declared on the other classes of common stock.</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Dividends are payable at the discretion of the Board of Directors at such times and in such amounts as it deems advisable, subject to the provisions of applicable law.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Transfer Restrictions on Class C Common Stock</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Shares of Class C common stock may only be transferred to a Permitted Transferee of the transferring holder. Permitted Transferees include, among others, spouses, trusts, charitable organizations and certain entities. Any purported transfer of Class C common stock to a person who is not a Permitted Transferee will automatically result in the conversion of the transferred shares into Class A common stock on a one-for-one basis.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the foregoing transfer restrictions, a Class C holder may pledge shares of Class C common stock as collateral security for indebtedness, provided that such shares shall not be transferred to or registered in the name of the pledgee. In the event of foreclosure or other similar action by the pledgee, the pledged shares may only be transferred to a Permitted Transferee of the pledgor or converted into shares of Class A common stock, at the pledgee’s election.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Conversion Rights</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i w:val="1"/>
          <w:iCs w:val="1"/>
          <w:color w:val="auto"/>
        </w:rPr>
        <w:t>Class C to Class 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share of Class C common stock may at any time be converted into one fully paid and non-assessable share of Class A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except that following a shareholder vote approving a plan of complete liquidation or dissolution of the Company, the conversion ratio shall be 1.111 shares of Class C common stock for one share of Class A common stock (provided that upon abandonment of a plan of liquidation or dissolution, the conversion ratio reverts to one-for-one).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Rights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holders of our common stock do not have preemptive or subscription rights, and there are no redemption or sinking fund provisions applicable thereto.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Class A common stock is listed on the Nasdaq Global Select Market under the symbol “SNFCA.”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color w:val="auto"/>
        </w:rPr>
        <w:t>Description of Preferred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authorized to issue 5,000,000 shares of preferred stock, $1.00 par value per share, in one or more series, from time to time, with such rights and preferences as determined by our Board of Directors with respect to such series.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Provisions of Utah Law and Our Charter Documents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Director Liability</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Articles limit the personal liability of our directors to the Company and our shareholders to the fullest extent permitted by the Act or any other applicable law. The inclusion of this provision in our Articles may reduce the likelihood of derivative litigation against our directors and may discourage or deter shareholders or management from bringing a lawsuit against our directors for breach of their duty of care.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Indemnification</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is required to indemnify all officers and directors against monetary damages for any action taken or any failure to take action to the fullest extent permitted by the Act.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Supermajority Voting Requirements for Certain Business Combinations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Requirements under our Articles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Articles require the affirmative vote of the holders of at least 75% of the voting power of the then-outstanding shares of capital stock entitled to vote generally in the election of directors (the “Voting Stock”), voting together as a single class, to approve certain Business Combinations involving an Interested Stockholder. Business Combinations subject to this requirement include:</w:t>
      </w:r>
    </w:p>
    <w:p>
      <w:pPr>
        <w:spacing w:after="0" w:line="176" w:lineRule="exact"/>
        <w:rPr>
          <w:sz w:val="20"/>
          <w:szCs w:val="20"/>
          <w:color w:val="auto"/>
        </w:rPr>
      </w:pPr>
    </w:p>
    <w:p>
      <w:pPr>
        <w:ind w:left="660" w:hanging="328"/>
        <w:spacing w:after="0" w:line="282" w:lineRule="auto"/>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of the Company or any subsidiary with (i) any Interested Stockholder or (ii) any other corporation that is, or after such merger or consolidation would be, an affiliate of an Interested Stockholder;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lease, exchange, mortgage, pledge, transfer, or other disposition of all or a “Substantial Part” (more than 25% of the fair market value of the total assets of the Company) of the Company’s property and assets to or with any Interested Stockholder or any affiliate of an Interested Stockholder;</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any plan or proposal for the liquidation or dissolution of the Company proposed by or on behalf of an Interested Stockholder or any affiliate of an Interested Stockholder;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reclassification of securities (including any reverse stock split), recapitalization, or other transaction that has the effect, directly or indirectly, of increasing the proportionate share of the outstanding shares of any class of equity or convertible securities of the Company or any subsidiary owned by any Interested Stockholder or any affiliate of an Interested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3" w:name="page144"/>
    <w:bookmarkEnd w:id="143"/>
    <w:p>
      <w:pPr>
        <w:jc w:val="both"/>
        <w:spacing w:after="0" w:line="256" w:lineRule="auto"/>
        <w:rPr>
          <w:sz w:val="20"/>
          <w:szCs w:val="20"/>
          <w:color w:val="auto"/>
        </w:rPr>
      </w:pPr>
      <w:r>
        <w:rPr>
          <w:rFonts w:ascii="Times New Roman" w:cs="Times New Roman" w:eastAsia="Times New Roman" w:hAnsi="Times New Roman"/>
          <w:sz w:val="18"/>
          <w:szCs w:val="18"/>
          <w:color w:val="auto"/>
        </w:rPr>
        <w:t>An “Interested Stockholder” for purposes of the Articles is generally defined as any person (other than the Company or any subsidiary) who: (i) is the beneficial owner, directly or indirectly, of more than 5% of the outstanding Voting Stock or more than 5% of the voting power of the outstanding Voting Stock; (ii) is an affiliate of the Company and at any time within the two-year period prior to the date in question was the beneficial owner of more than 5% of the outstanding Voting Stock; or (iii) is an assignee of or has otherwise succeeded to any shares of Voting Stock that were at any time within the two-year period prior to the date in question beneficially owned by any Interested Stockholder, if such assignment or succession occurred in a transaction not involving a public offering.</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supermajority voting requirement of the Articles does not apply to a Business Combination that has been approved by a majority of the “Nonpartisan Directors” (i.e., members of the Board of Directors who are unaffiliated with the Interested Stockholder and were members of the Board prior to the time the Interested Stockholder became an Interested Stockholder, and their qualifying successors).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amendment or repeal of, or adoption of any provision inconsistent with, the Business Combinations article of the Articles requires the affirmative vote of the holders of 75% or more of the voting power of the then-outstanding Voting Stock, voting together as a single class, unless such amendment has been approved by a majority of the Nonpartisan Directors.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Requirements under the Act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under Sections 16-10a-1801 to 16-10a-1804 of the Utah Code and certain amendments to Section 16-10a-840 of the Utah Code, we are prohibited from entering into a business combination, such as a merger, consolidation, recapitalization, asset sale, or disposition of stock, with any person that meets the definition of “interested shareholder” (discussed further below), including any entity that is, or after the business combination would be, an affiliate or associate of an interested shareholder, for a period of five years after the date such person became an interested shareholder, unless one of the of the following conditions is met:</w:t>
      </w:r>
    </w:p>
    <w:p>
      <w:pPr>
        <w:spacing w:after="0" w:line="183" w:lineRule="exact"/>
        <w:rPr>
          <w:sz w:val="20"/>
          <w:szCs w:val="20"/>
          <w:color w:val="auto"/>
        </w:rPr>
      </w:pPr>
    </w:p>
    <w:p>
      <w:pPr>
        <w:ind w:left="660" w:right="20" w:hanging="328"/>
        <w:spacing w:after="0" w:line="282" w:lineRule="auto"/>
        <w:tabs>
          <w:tab w:leader="none" w:pos="6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or the acquisition of stock that resulted in the person becoming an interested shareholder, was approved by our Board of Directors prior to the person becoming an interested shareholder;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is approved by a majority of our non-interested shareholders at a meeting called no earlier than five years after the date the person first became an interested shareholder;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and other consideration to be delivered to the holder of each share of our common stock meets certain minimum value criteria.</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purposes of the business combination provisions, an “interested shareholder” includes any person who owns (or, in the case of affiliates and associates, did own within the last five years) 20% or more of that corporation’s voting stock. These provisions may have an anti-takeover effect with respect to such business combinations.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Requirements under the Utah Control Shares Acquisitions Act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the Control Shares Acquisitions Act, or Control Shares Act, as set forth in Sections 61-6-1 to 61-6-12 of the Utah Code. The Control Shares Acquisition Act provides that any person or entity that acquires control shares of an issuing public corporation in a control share acquisition is denied voting rights with respect to the acquired shares, unless a majority of the disinterested shareholders of the issuing public corporation elects to restore such voting rights.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Bylaws provide that if a person proposes to make or has made a control share acquisition and no acquiring person statement has been delivered to the Company, or if the acquiring person has filed the acquiring person statement but the control shares have not been accorded full voting rights by the shareholders, the Company shall have the right to redeem, at fair market value, the control shares of the acquiring person within 60 days after the last acquisition of control shares by the acquiring person. In the event control shares acquired in a control share acquisition are accorded full voting rights and the acquiring person has acquired control shares with a majority or more of the voting power, the shareholders of the Company shall not have dissenter’s rights as provided in the Control Shares Act.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the Control Shares Acquisitions Act to have an anti-takeover effect with respect to transactions not approved in advance by our Board of Directors. The Control Shares Acquisition Act may also discourage takeover attempts that might result in a premium over the market price for the shares of Class A common stock held by our shareholders.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Forum for Adjudication of Disputes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Unless the Company consents in writing to the selection of an alternative forum, the sole and exclusive forum for (i) any derivative action or proceeding brought on behalf of the Company, (ii) any action asserting a claim of breach of a fiduciary duty owed by any director, officer, or other employee of the Company to the Company or the Company’s shareholders, (iii) any action asserting a claim arising pursuant to any provision of the Act, or (iv) any action asserting a claim governed by the internal affairs doctrine, shall be a state or federal court located within the State of Utah. Any person or entity purchasing or otherwise acquiring any interest in shares of capital stock of the Company shall be deemed to have notice of and consented to this forum selection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SUBSIDIARIES OF THE REGISTRANT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OF DECEMBER 31,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Life Insurance Segment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National Life Insurance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Reppond Holding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Guaranty Insurance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Kilpatrick Life Insurance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Southern Security Life Insurance Company,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Trans-Western Life Insurance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National Funding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Land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5300 Development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434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Ascension 433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Ascension 5204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 Farmington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 Venture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SNA-CM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SNA-MV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SNA-PE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SNA-RVP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SNA-RVP2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SNA-SW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SNA-TR2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SNA-WL2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SNA-MC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SNA-PG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SNA-HL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SNA-LR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SNCH Venture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SNH Investments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SNHH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SNMA Properties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SNMA-AR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SNMA-AR2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SNMA-PF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SNMA-SC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SNW-HAFB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SNHH-SH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SNHH-OW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SN-FSH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 Elkhorn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&amp; J Financial,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Beneficiary Advance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SNFC Subsidiary,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Funeral Financial,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Mortician’s Choice,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FFC Acquisition Co., LLC dba Funeral Funding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Canadian Funeral Financial,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Beta Capital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MFF Capital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Marketing Source Center, Inc. dba Security National Travel Services</w:t>
      </w:r>
    </w:p>
    <w:p>
      <w:pPr>
        <w:spacing w:after="0" w:line="9" w:lineRule="exact"/>
        <w:rPr>
          <w:sz w:val="20"/>
          <w:szCs w:val="20"/>
          <w:color w:val="auto"/>
        </w:rPr>
      </w:pPr>
    </w:p>
    <w:p>
      <w:pPr>
        <w:ind w:right="4980"/>
        <w:spacing w:after="0" w:line="260" w:lineRule="auto"/>
        <w:rPr>
          <w:sz w:val="20"/>
          <w:szCs w:val="20"/>
          <w:color w:val="auto"/>
        </w:rPr>
      </w:pPr>
      <w:r>
        <w:rPr>
          <w:rFonts w:ascii="Times New Roman" w:cs="Times New Roman" w:eastAsia="Times New Roman" w:hAnsi="Times New Roman"/>
          <w:sz w:val="18"/>
          <w:szCs w:val="18"/>
          <w:color w:val="auto"/>
        </w:rPr>
        <w:t>Security National Real Estate Services, Inc. dba Security National Commercial Capital SN Marketing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auto"/>
        </w:rPr>
        <w:t>Mortgage Segment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SecurityNational Mortgage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EverLEND Mortgage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 Sunset LLC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Cemetery/Mortuary Segment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Memorial Estates,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Memorial Estates Endowment Care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Memorial Estates Trusts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Memorial Mortuary,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 Probst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SN-Holbrook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SN-Rivera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SNR-SF Cemetery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SNR-SF Mortuary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SNR-Taos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SNR-Espanola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SNR-LA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Affordable Funerals and Cremations of America,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Cottonwood Mortuary,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Deseret Memorial,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Holladay Memorial Park,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Holladay Memorial Park Foundation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Holladay-Cottonwood Memorial Foundation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Holladay-Cottonwood Memorial Foundation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California Memorial Estates, Inc. dba Singing Hills Memorial Park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MEM-JK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 Oquirrh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 Towns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4" w:right="1440" w:bottom="1440" w:gutter="0" w:footer="0" w:header="0"/>
        </w:sectPr>
      </w:pPr>
    </w:p>
    <w:bookmarkStart w:id="146" w:name="page147"/>
    <w:bookmarkEnd w:id="146"/>
    <w:p>
      <w:pPr>
        <w:ind w:left="101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REQUIRED BY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M. Quist, certify that:</w:t>
      </w:r>
    </w:p>
    <w:p>
      <w:pPr>
        <w:spacing w:after="0" w:line="225" w:lineRule="exact"/>
        <w:rPr>
          <w:sz w:val="20"/>
          <w:szCs w:val="20"/>
          <w:color w:val="auto"/>
        </w:rPr>
      </w:pPr>
    </w:p>
    <w:p>
      <w:pPr>
        <w:ind w:left="180" w:hanging="172"/>
        <w:spacing w:after="0"/>
        <w:tabs>
          <w:tab w:leader="none" w:pos="1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of Security National Financial Corporation;</w:t>
      </w:r>
    </w:p>
    <w:p>
      <w:pPr>
        <w:spacing w:after="0" w:line="225" w:lineRule="exact"/>
        <w:rPr>
          <w:rFonts w:ascii="Times New Roman" w:cs="Times New Roman" w:eastAsia="Times New Roman" w:hAnsi="Times New Roman"/>
          <w:sz w:val="18"/>
          <w:szCs w:val="18"/>
          <w:color w:val="auto"/>
        </w:rPr>
      </w:pPr>
    </w:p>
    <w:p>
      <w:pPr>
        <w:jc w:val="both"/>
        <w:ind w:firstLine="8"/>
        <w:spacing w:after="0" w:line="266" w:lineRule="auto"/>
        <w:tabs>
          <w:tab w:leader="none" w:pos="182"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75" w:lineRule="exact"/>
        <w:rPr>
          <w:rFonts w:ascii="Times New Roman" w:cs="Times New Roman" w:eastAsia="Times New Roman" w:hAnsi="Times New Roman"/>
          <w:sz w:val="18"/>
          <w:szCs w:val="18"/>
          <w:color w:val="auto"/>
        </w:rPr>
      </w:pPr>
    </w:p>
    <w:p>
      <w:pPr>
        <w:ind w:right="20" w:firstLine="8"/>
        <w:spacing w:after="0" w:line="282" w:lineRule="auto"/>
        <w:tabs>
          <w:tab w:leader="none" w:pos="181"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61" w:lineRule="exact"/>
        <w:rPr>
          <w:rFonts w:ascii="Times New Roman" w:cs="Times New Roman" w:eastAsia="Times New Roman" w:hAnsi="Times New Roman"/>
          <w:sz w:val="18"/>
          <w:szCs w:val="18"/>
          <w:color w:val="auto"/>
        </w:rPr>
      </w:pPr>
    </w:p>
    <w:p>
      <w:pPr>
        <w:jc w:val="both"/>
        <w:ind w:right="20" w:firstLine="8"/>
        <w:spacing w:after="0" w:line="266" w:lineRule="auto"/>
        <w:tabs>
          <w:tab w:leader="none" w:pos="20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591"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covered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621"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332"/>
        <w:spacing w:after="0" w:line="282" w:lineRule="auto"/>
        <w:tabs>
          <w:tab w:leader="none" w:pos="619"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332"/>
        <w:spacing w:after="0" w:line="266" w:lineRule="auto"/>
        <w:tabs>
          <w:tab w:leader="none" w:pos="579"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89"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firstLine="413"/>
        <w:spacing w:after="0" w:line="282" w:lineRule="auto"/>
        <w:tabs>
          <w:tab w:leader="none" w:pos="663" w:val="left"/>
        </w:tabs>
        <w:numPr>
          <w:ilvl w:val="2"/>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413"/>
        <w:spacing w:after="0" w:line="282" w:lineRule="auto"/>
        <w:tabs>
          <w:tab w:leader="none" w:pos="660" w:val="left"/>
        </w:tabs>
        <w:numPr>
          <w:ilvl w:val="2"/>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Dated: March 16,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Scott M. Quist</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Scott M. Quist</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147" w:name="page148"/>
    <w:bookmarkEnd w:id="147"/>
    <w:p>
      <w:pPr>
        <w:ind w:left="101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REQUIRED BY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Garrett S. Sill, certify that:</w:t>
      </w:r>
    </w:p>
    <w:p>
      <w:pPr>
        <w:spacing w:after="0" w:line="225" w:lineRule="exact"/>
        <w:rPr>
          <w:sz w:val="20"/>
          <w:szCs w:val="20"/>
          <w:color w:val="auto"/>
        </w:rPr>
      </w:pPr>
    </w:p>
    <w:p>
      <w:pPr>
        <w:ind w:left="180" w:hanging="172"/>
        <w:spacing w:after="0"/>
        <w:tabs>
          <w:tab w:leader="none" w:pos="1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of Security National Financial Corporation;</w:t>
      </w:r>
    </w:p>
    <w:p>
      <w:pPr>
        <w:spacing w:after="0" w:line="225" w:lineRule="exact"/>
        <w:rPr>
          <w:rFonts w:ascii="Times New Roman" w:cs="Times New Roman" w:eastAsia="Times New Roman" w:hAnsi="Times New Roman"/>
          <w:sz w:val="18"/>
          <w:szCs w:val="18"/>
          <w:color w:val="auto"/>
        </w:rPr>
      </w:pPr>
    </w:p>
    <w:p>
      <w:pPr>
        <w:jc w:val="both"/>
        <w:ind w:firstLine="8"/>
        <w:spacing w:after="0" w:line="266" w:lineRule="auto"/>
        <w:tabs>
          <w:tab w:leader="none" w:pos="182"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75" w:lineRule="exact"/>
        <w:rPr>
          <w:rFonts w:ascii="Times New Roman" w:cs="Times New Roman" w:eastAsia="Times New Roman" w:hAnsi="Times New Roman"/>
          <w:sz w:val="18"/>
          <w:szCs w:val="18"/>
          <w:color w:val="auto"/>
        </w:rPr>
      </w:pPr>
    </w:p>
    <w:p>
      <w:pPr>
        <w:ind w:right="20" w:firstLine="8"/>
        <w:spacing w:after="0" w:line="282" w:lineRule="auto"/>
        <w:tabs>
          <w:tab w:leader="none" w:pos="181"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20" w:firstLine="8"/>
        <w:spacing w:after="0" w:line="266" w:lineRule="auto"/>
        <w:tabs>
          <w:tab w:leader="none" w:pos="206"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591"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covered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621"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332"/>
        <w:spacing w:after="0" w:line="282" w:lineRule="auto"/>
        <w:tabs>
          <w:tab w:leader="none" w:pos="619"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332"/>
        <w:spacing w:after="0" w:line="266" w:lineRule="auto"/>
        <w:tabs>
          <w:tab w:leader="none" w:pos="579"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89"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firstLine="413"/>
        <w:spacing w:after="0" w:line="282" w:lineRule="auto"/>
        <w:tabs>
          <w:tab w:leader="none" w:pos="663" w:val="left"/>
        </w:tabs>
        <w:numPr>
          <w:ilvl w:val="2"/>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413"/>
        <w:spacing w:after="0" w:line="282" w:lineRule="auto"/>
        <w:tabs>
          <w:tab w:leader="none" w:pos="660" w:val="left"/>
        </w:tabs>
        <w:numPr>
          <w:ilvl w:val="2"/>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Dated: March 16,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Garrett S. Sill</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Garrett S. Sill</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r>
        <w:trPr>
          <w:trHeight w:val="432"/>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0" w:right="339" w:bottom="1440" w:gutter="0" w:footer="0" w:header="0"/>
        </w:sectPr>
      </w:pPr>
    </w:p>
    <w:bookmarkStart w:id="148" w:name="page149"/>
    <w:bookmarkEnd w:id="148"/>
    <w:p>
      <w:pPr>
        <w:ind w:left="101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REQUIRED BY 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Security National Financial Corporation (the “Company”) on Form 10-K for the period ending December 31, 2025, as filed with the Securities and Exchange Commission on the date hereof (the “Report”), I, Scott M. Quist, Chairman of the Board, President and Chief Executive Officer of the Company, certify, pursuant to 18 U.S.C. Section §1350, as adopted pursuant to Section 906 of the Sarbanes-Oxley Act of 2002, that, to the best of my knowledge and belief:</w:t>
      </w:r>
    </w:p>
    <w:p>
      <w:pPr>
        <w:spacing w:after="0" w:line="180" w:lineRule="exact"/>
        <w:rPr>
          <w:sz w:val="20"/>
          <w:szCs w:val="20"/>
          <w:color w:val="auto"/>
        </w:rPr>
      </w:pPr>
    </w:p>
    <w:p>
      <w:pPr>
        <w:ind w:left="660" w:hanging="328"/>
        <w:spacing w:after="0"/>
        <w:tabs>
          <w:tab w:leader="none" w:pos="6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Dated: March 16,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Scott M. Quist</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Scott M. Quist</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0" w:right="339" w:bottom="1440" w:gutter="0" w:footer="0" w:header="0"/>
        </w:sectPr>
      </w:pPr>
    </w:p>
    <w:bookmarkStart w:id="149" w:name="page150"/>
    <w:bookmarkEnd w:id="149"/>
    <w:p>
      <w:pPr>
        <w:ind w:left="101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REQUIRED BY 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Security National Financial Corporation (the “Company”) on Form 10-K for the period ending December 31, 2025, as filed with the Securities and Exchange Commission on the date hereof (the “Report”), I, Garrett S. Sill, Chief Financial Officer and Treasurer of the Company, certify, pursuant to 18 U.S.C. Section §1350, as adopted pursuant to Section 906 of the Sarbanes-Oxley Act of 2002, that, to the best of my knowledge and belief:</w:t>
      </w:r>
    </w:p>
    <w:p>
      <w:pPr>
        <w:spacing w:after="0" w:line="180" w:lineRule="exact"/>
        <w:rPr>
          <w:sz w:val="20"/>
          <w:szCs w:val="20"/>
          <w:color w:val="auto"/>
        </w:rPr>
      </w:pPr>
    </w:p>
    <w:p>
      <w:pPr>
        <w:ind w:left="660" w:hanging="328"/>
        <w:spacing w:after="0"/>
        <w:tabs>
          <w:tab w:leader="none" w:pos="6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Dated: March 16,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Garrett S. Sill</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Garrett S. Sill</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r>
        <w:trPr>
          <w:trHeight w:val="432"/>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9D0247"/>
    <w:multiLevelType w:val="hybridMultilevel"/>
    <w:lvl w:ilvl="0">
      <w:lvlJc w:val="left"/>
      <w:lvlText w:val="☒"/>
      <w:numFmt w:val="bullet"/>
      <w:start w:val="1"/>
    </w:lvl>
  </w:abstractNum>
  <w:abstractNum w:abstractNumId="1">
    <w:nsid w:val="6B94764"/>
    <w:multiLevelType w:val="hybridMultilevel"/>
    <w:lvl w:ilvl="0">
      <w:lvlJc w:val="left"/>
      <w:lvlText w:val="☐"/>
      <w:numFmt w:val="bullet"/>
      <w:start w:val="1"/>
    </w:lvl>
  </w:abstractNum>
  <w:abstractNum w:abstractNumId="2">
    <w:nsid w:val="42C296BD"/>
    <w:multiLevelType w:val="hybridMultilevel"/>
    <w:lvl w:ilvl="0">
      <w:lvlJc w:val="left"/>
      <w:lvlText w:val="(%1)"/>
      <w:numFmt w:val="decimal"/>
      <w:start w:val="1"/>
    </w:lvl>
  </w:abstractNum>
  <w:abstractNum w:abstractNumId="3">
    <w:nsid w:val="168E121F"/>
    <w:multiLevelType w:val="hybridMultilevel"/>
    <w:lvl w:ilvl="0">
      <w:lvlJc w:val="left"/>
      <w:lvlText w:val="(%1)"/>
      <w:numFmt w:val="decimal"/>
      <w:start w:val="1"/>
    </w:lvl>
  </w:abstractNum>
  <w:abstractNum w:abstractNumId="4">
    <w:nsid w:val="1EBA5D23"/>
    <w:multiLevelType w:val="hybridMultilevel"/>
    <w:lvl w:ilvl="0">
      <w:lvlJc w:val="left"/>
      <w:lvlText w:val="(%1)"/>
      <w:numFmt w:val="decimal"/>
      <w:start w:val="1"/>
    </w:lvl>
  </w:abstractNum>
  <w:abstractNum w:abstractNumId="5">
    <w:nsid w:val="661E3F1E"/>
    <w:multiLevelType w:val="hybridMultilevel"/>
    <w:lvl w:ilvl="0">
      <w:lvlJc w:val="left"/>
      <w:lvlText w:val="(%1)"/>
      <w:numFmt w:val="lowerRoman"/>
      <w:start w:val="7"/>
    </w:lvl>
  </w:abstractNum>
  <w:abstractNum w:abstractNumId="6">
    <w:nsid w:val="5DC79EA8"/>
    <w:multiLevelType w:val="hybridMultilevel"/>
    <w:lvl w:ilvl="0">
      <w:lvlJc w:val="left"/>
      <w:lvlText w:val="●"/>
      <w:numFmt w:val="bullet"/>
      <w:start w:val="1"/>
    </w:lvl>
  </w:abstractNum>
  <w:abstractNum w:abstractNumId="7">
    <w:nsid w:val="540A471C"/>
    <w:multiLevelType w:val="hybridMultilevel"/>
    <w:lvl w:ilvl="0">
      <w:lvlJc w:val="left"/>
      <w:lvlText w:val="●"/>
      <w:numFmt w:val="bullet"/>
      <w:start w:val="1"/>
    </w:lvl>
    <w:lvl w:ilvl="1">
      <w:lvlJc w:val="left"/>
      <w:lvlText w:val="◌"/>
      <w:numFmt w:val="bullet"/>
      <w:start w:val="1"/>
    </w:lvl>
  </w:abstractNum>
  <w:abstractNum w:abstractNumId="8">
    <w:nsid w:val="7BD3EE7B"/>
    <w:multiLevelType w:val="hybridMultilevel"/>
    <w:lvl w:ilvl="0">
      <w:lvlJc w:val="left"/>
      <w:lvlText w:val="(%1)"/>
      <w:numFmt w:val="decimal"/>
      <w:start w:val="1"/>
    </w:lvl>
  </w:abstractNum>
  <w:abstractNum w:abstractNumId="9">
    <w:nsid w:val="51D9C564"/>
    <w:multiLevelType w:val="hybridMultilevel"/>
    <w:lvl w:ilvl="0">
      <w:lvlJc w:val="left"/>
      <w:lvlText w:val="(%1)"/>
      <w:numFmt w:val="decimal"/>
      <w:start w:val="1"/>
    </w:lvl>
  </w:abstractNum>
  <w:abstractNum w:abstractNumId="10">
    <w:nsid w:val="613EFDC5"/>
    <w:multiLevelType w:val="hybridMultilevel"/>
    <w:lvl w:ilvl="0">
      <w:lvlJc w:val="left"/>
      <w:lvlText w:val="%1)"/>
      <w:numFmt w:val="decimal"/>
      <w:start w:val="1"/>
    </w:lvl>
  </w:abstractNum>
  <w:abstractNum w:abstractNumId="11">
    <w:nsid w:val="BF72B14"/>
    <w:multiLevelType w:val="hybridMultilevel"/>
    <w:lvl w:ilvl="0">
      <w:lvlJc w:val="left"/>
      <w:lvlText w:val="%1)"/>
      <w:numFmt w:val="decimal"/>
      <w:start w:val="1"/>
    </w:lvl>
  </w:abstractNum>
  <w:abstractNum w:abstractNumId="12">
    <w:nsid w:val="11447B73"/>
    <w:multiLevelType w:val="hybridMultilevel"/>
    <w:lvl w:ilvl="0">
      <w:lvlJc w:val="left"/>
      <w:lvlText w:val="%1)"/>
      <w:numFmt w:val="decimal"/>
      <w:start w:val="1"/>
    </w:lvl>
  </w:abstractNum>
  <w:abstractNum w:abstractNumId="13">
    <w:nsid w:val="42963E5A"/>
    <w:multiLevelType w:val="hybridMultilevel"/>
    <w:lvl w:ilvl="0">
      <w:lvlJc w:val="left"/>
      <w:lvlText w:val="●"/>
      <w:numFmt w:val="bullet"/>
      <w:start w:val="1"/>
    </w:lvl>
  </w:abstractNum>
  <w:abstractNum w:abstractNumId="14">
    <w:nsid w:val="A0382C5"/>
    <w:multiLevelType w:val="hybridMultilevel"/>
    <w:lvl w:ilvl="0">
      <w:lvlJc w:val="left"/>
      <w:lvlText w:val="●"/>
      <w:numFmt w:val="bullet"/>
      <w:start w:val="1"/>
    </w:lvl>
  </w:abstractNum>
  <w:abstractNum w:abstractNumId="15">
    <w:nsid w:val="8F2B15E"/>
    <w:multiLevelType w:val="hybridMultilevel"/>
    <w:lvl w:ilvl="0">
      <w:lvlJc w:val="left"/>
      <w:lvlText w:val="●"/>
      <w:numFmt w:val="bullet"/>
      <w:start w:val="1"/>
    </w:lvl>
  </w:abstractNum>
  <w:abstractNum w:abstractNumId="16">
    <w:nsid w:val="1A32234B"/>
    <w:multiLevelType w:val="hybridMultilevel"/>
    <w:lvl w:ilvl="0">
      <w:lvlJc w:val="left"/>
      <w:lvlText w:val="%1)"/>
      <w:numFmt w:val="decimal"/>
      <w:start w:val="1"/>
    </w:lvl>
  </w:abstractNum>
  <w:abstractNum w:abstractNumId="17">
    <w:nsid w:val="3B0FD379"/>
    <w:multiLevelType w:val="hybridMultilevel"/>
    <w:lvl w:ilvl="0">
      <w:lvlJc w:val="left"/>
      <w:lvlText w:val="%1)"/>
      <w:numFmt w:val="decimal"/>
      <w:start w:val="1"/>
    </w:lvl>
  </w:abstractNum>
  <w:abstractNum w:abstractNumId="18">
    <w:nsid w:val="68EB2F63"/>
    <w:multiLevelType w:val="hybridMultilevel"/>
    <w:lvl w:ilvl="0">
      <w:lvlJc w:val="left"/>
      <w:lvlText w:val="%1)"/>
      <w:numFmt w:val="decimal"/>
      <w:start w:val="1"/>
    </w:lvl>
  </w:abstractNum>
  <w:abstractNum w:abstractNumId="19">
    <w:nsid w:val="4962813B"/>
    <w:multiLevelType w:val="hybridMultilevel"/>
    <w:lvl w:ilvl="0">
      <w:lvlJc w:val="left"/>
      <w:lvlText w:val="%1)"/>
      <w:numFmt w:val="decimal"/>
      <w:start w:val="1"/>
    </w:lvl>
  </w:abstractNum>
  <w:abstractNum w:abstractNumId="20">
    <w:nsid w:val="60B6DF70"/>
    <w:multiLevelType w:val="hybridMultilevel"/>
    <w:lvl w:ilvl="0">
      <w:lvlJc w:val="left"/>
      <w:lvlText w:val="%1)"/>
      <w:numFmt w:val="decimal"/>
      <w:start w:val="1"/>
    </w:lvl>
  </w:abstractNum>
  <w:abstractNum w:abstractNumId="21">
    <w:nsid w:val="6A5EE64"/>
    <w:multiLevelType w:val="hybridMultilevel"/>
    <w:lvl w:ilvl="0">
      <w:lvlJc w:val="left"/>
      <w:lvlText w:val="%1)"/>
      <w:numFmt w:val="decimal"/>
      <w:start w:val="1"/>
    </w:lvl>
  </w:abstractNum>
  <w:abstractNum w:abstractNumId="22">
    <w:nsid w:val="14330624"/>
    <w:multiLevelType w:val="hybridMultilevel"/>
    <w:lvl w:ilvl="0">
      <w:lvlJc w:val="left"/>
      <w:lvlText w:val="%1)"/>
      <w:numFmt w:val="decimal"/>
      <w:start w:val="1"/>
    </w:lvl>
  </w:abstractNum>
  <w:abstractNum w:abstractNumId="23">
    <w:nsid w:val="7FFFCA11"/>
    <w:multiLevelType w:val="hybridMultilevel"/>
    <w:lvl w:ilvl="0">
      <w:lvlJc w:val="left"/>
      <w:lvlText w:val="%1)"/>
      <w:numFmt w:val="decimal"/>
      <w:start w:val="1"/>
    </w:lvl>
  </w:abstractNum>
  <w:abstractNum w:abstractNumId="24">
    <w:nsid w:val="1A27709E"/>
    <w:multiLevelType w:val="hybridMultilevel"/>
    <w:lvl w:ilvl="0">
      <w:lvlJc w:val="left"/>
      <w:lvlText w:val="%1)"/>
      <w:numFmt w:val="decimal"/>
      <w:start w:val="1"/>
    </w:lvl>
  </w:abstractNum>
  <w:abstractNum w:abstractNumId="25">
    <w:nsid w:val="71EA1109"/>
    <w:multiLevelType w:val="hybridMultilevel"/>
    <w:lvl w:ilvl="0">
      <w:lvlJc w:val="left"/>
      <w:lvlText w:val="%1)"/>
      <w:numFmt w:val="decimal"/>
      <w:start w:val="1"/>
    </w:lvl>
  </w:abstractNum>
  <w:abstractNum w:abstractNumId="26">
    <w:nsid w:val="100F59DC"/>
    <w:multiLevelType w:val="hybridMultilevel"/>
    <w:lvl w:ilvl="0">
      <w:lvlJc w:val="left"/>
      <w:lvlText w:val="●"/>
      <w:numFmt w:val="bullet"/>
      <w:start w:val="1"/>
    </w:lvl>
  </w:abstractNum>
  <w:abstractNum w:abstractNumId="27">
    <w:nsid w:val="7FB7E0AA"/>
    <w:multiLevelType w:val="hybridMultilevel"/>
    <w:lvl w:ilvl="0">
      <w:lvlJc w:val="left"/>
      <w:lvlText w:val="%1)"/>
      <w:numFmt w:val="decimal"/>
      <w:start w:val="1"/>
    </w:lvl>
  </w:abstractNum>
  <w:abstractNum w:abstractNumId="28">
    <w:nsid w:val="6EB5BD4"/>
    <w:multiLevelType w:val="hybridMultilevel"/>
    <w:lvl w:ilvl="0">
      <w:lvlJc w:val="left"/>
      <w:lvlText w:val="%1)"/>
      <w:numFmt w:val="decimal"/>
      <w:start w:val="1"/>
    </w:lvl>
  </w:abstractNum>
  <w:abstractNum w:abstractNumId="29">
    <w:nsid w:val="6F6DD9AC"/>
    <w:multiLevelType w:val="hybridMultilevel"/>
    <w:lvl w:ilvl="0">
      <w:lvlJc w:val="left"/>
      <w:lvlText w:val="%1)"/>
      <w:numFmt w:val="decimal"/>
      <w:start w:val="2"/>
    </w:lvl>
  </w:abstractNum>
  <w:abstractNum w:abstractNumId="30">
    <w:nsid w:val="94211F2"/>
    <w:multiLevelType w:val="hybridMultilevel"/>
    <w:lvl w:ilvl="0">
      <w:lvlJc w:val="left"/>
      <w:lvlText w:val="(%1)"/>
      <w:numFmt w:val="decimal"/>
      <w:start w:val="1"/>
    </w:lvl>
  </w:abstractNum>
  <w:abstractNum w:abstractNumId="31">
    <w:nsid w:val="885E1B"/>
    <w:multiLevelType w:val="hybridMultilevel"/>
    <w:lvl w:ilvl="0">
      <w:lvlJc w:val="left"/>
      <w:lvlText w:val="%1)"/>
      <w:numFmt w:val="decimal"/>
      <w:start w:val="2"/>
    </w:lvl>
  </w:abstractNum>
  <w:abstractNum w:abstractNumId="32">
    <w:nsid w:val="76272110"/>
    <w:multiLevelType w:val="hybridMultilevel"/>
    <w:lvl w:ilvl="0">
      <w:lvlJc w:val="left"/>
      <w:lvlText w:val="(%1)"/>
      <w:numFmt w:val="decimal"/>
      <w:start w:val="1"/>
    </w:lvl>
  </w:abstractNum>
  <w:abstractNum w:abstractNumId="33">
    <w:nsid w:val="4C04A8AF"/>
    <w:multiLevelType w:val="hybridMultilevel"/>
    <w:lvl w:ilvl="0">
      <w:lvlJc w:val="left"/>
      <w:lvlText w:val="%1)"/>
      <w:numFmt w:val="decimal"/>
      <w:start w:val="2"/>
    </w:lvl>
  </w:abstractNum>
  <w:abstractNum w:abstractNumId="34">
    <w:nsid w:val="1716703B"/>
    <w:multiLevelType w:val="hybridMultilevel"/>
    <w:lvl w:ilvl="0">
      <w:lvlJc w:val="left"/>
      <w:lvlText w:val="%1)"/>
      <w:numFmt w:val="decimal"/>
      <w:start w:val="2"/>
    </w:lvl>
  </w:abstractNum>
  <w:abstractNum w:abstractNumId="35">
    <w:nsid w:val="14E17E33"/>
    <w:multiLevelType w:val="hybridMultilevel"/>
    <w:lvl w:ilvl="0">
      <w:lvlJc w:val="left"/>
      <w:lvlText w:val="%1)"/>
      <w:numFmt w:val="decimal"/>
      <w:start w:val="2"/>
    </w:lvl>
  </w:abstractNum>
  <w:abstractNum w:abstractNumId="36">
    <w:nsid w:val="3222E7CD"/>
    <w:multiLevelType w:val="hybridMultilevel"/>
    <w:lvl w:ilvl="0">
      <w:lvlJc w:val="left"/>
      <w:lvlText w:val="%1)"/>
      <w:numFmt w:val="decimal"/>
      <w:start w:val="2"/>
    </w:lvl>
  </w:abstractNum>
  <w:abstractNum w:abstractNumId="37">
    <w:nsid w:val="74DE0EE3"/>
    <w:multiLevelType w:val="hybridMultilevel"/>
    <w:lvl w:ilvl="0">
      <w:lvlJc w:val="left"/>
      <w:lvlText w:val="%1)"/>
      <w:numFmt w:val="decimal"/>
      <w:start w:val="2"/>
    </w:lvl>
  </w:abstractNum>
  <w:abstractNum w:abstractNumId="38">
    <w:nsid w:val="68EBC550"/>
    <w:multiLevelType w:val="hybridMultilevel"/>
    <w:lvl w:ilvl="0">
      <w:lvlJc w:val="left"/>
      <w:lvlText w:val="%1)"/>
      <w:numFmt w:val="decimal"/>
      <w:start w:val="2"/>
    </w:lvl>
  </w:abstractNum>
  <w:abstractNum w:abstractNumId="39">
    <w:nsid w:val="2DF6D648"/>
    <w:multiLevelType w:val="hybridMultilevel"/>
    <w:lvl w:ilvl="0">
      <w:lvlJc w:val="left"/>
      <w:lvlText w:val="(%1)"/>
      <w:numFmt w:val="decimal"/>
    </w:lvl>
    <w:lvl w:ilvl="1">
      <w:lvlJc w:val="left"/>
      <w:lvlText w:val="$"/>
      <w:numFmt w:val="bullet"/>
      <w:start w:val="1"/>
    </w:lvl>
  </w:abstractNum>
  <w:abstractNum w:abstractNumId="40">
    <w:nsid w:val="46B7D447"/>
    <w:multiLevelType w:val="hybridMultilevel"/>
    <w:lvl w:ilvl="0">
      <w:lvlJc w:val="left"/>
      <w:lvlText w:val="(%1)"/>
      <w:numFmt w:val="decimal"/>
      <w:start w:val="1"/>
    </w:lvl>
  </w:abstractNum>
  <w:abstractNum w:abstractNumId="41">
    <w:nsid w:val="4A2AC315"/>
    <w:multiLevelType w:val="hybridMultilevel"/>
    <w:lvl w:ilvl="0">
      <w:lvlJc w:val="left"/>
      <w:lvlText w:val="%1)"/>
      <w:numFmt w:val="decimal"/>
      <w:start w:val="2"/>
    </w:lvl>
  </w:abstractNum>
  <w:abstractNum w:abstractNumId="42">
    <w:nsid w:val="39EE015C"/>
    <w:multiLevelType w:val="hybridMultilevel"/>
    <w:lvl w:ilvl="0">
      <w:lvlJc w:val="left"/>
      <w:lvlText w:val="(%1)"/>
      <w:numFmt w:val="decimal"/>
    </w:lvl>
    <w:lvl w:ilvl="1">
      <w:lvlJc w:val="left"/>
      <w:lvlText w:val="$"/>
      <w:numFmt w:val="bullet"/>
      <w:start w:val="1"/>
    </w:lvl>
  </w:abstractNum>
  <w:abstractNum w:abstractNumId="43">
    <w:nsid w:val="57FC4FBB"/>
    <w:multiLevelType w:val="hybridMultilevel"/>
    <w:lvl w:ilvl="0">
      <w:lvlJc w:val="left"/>
      <w:lvlText w:val="%1)"/>
      <w:numFmt w:val="decimal"/>
      <w:start w:val="2"/>
    </w:lvl>
  </w:abstractNum>
  <w:abstractNum w:abstractNumId="44">
    <w:nsid w:val="CC1016F"/>
    <w:multiLevelType w:val="hybridMultilevel"/>
    <w:lvl w:ilvl="0">
      <w:lvlJc w:val="left"/>
      <w:lvlText w:val="%1)"/>
      <w:numFmt w:val="decimal"/>
      <w:start w:val="2"/>
    </w:lvl>
  </w:abstractNum>
  <w:abstractNum w:abstractNumId="45">
    <w:nsid w:val="43F18422"/>
    <w:multiLevelType w:val="hybridMultilevel"/>
    <w:lvl w:ilvl="0">
      <w:lvlJc w:val="left"/>
      <w:lvlText w:val="%1)"/>
      <w:numFmt w:val="decimal"/>
      <w:start w:val="2"/>
    </w:lvl>
  </w:abstractNum>
  <w:abstractNum w:abstractNumId="46">
    <w:nsid w:val="60EF0119"/>
    <w:multiLevelType w:val="hybridMultilevel"/>
    <w:lvl w:ilvl="0">
      <w:lvlJc w:val="left"/>
      <w:lvlText w:val="%1)"/>
      <w:numFmt w:val="decimal"/>
      <w:start w:val="2"/>
    </w:lvl>
  </w:abstractNum>
  <w:abstractNum w:abstractNumId="47">
    <w:nsid w:val="26F324BA"/>
    <w:multiLevelType w:val="hybridMultilevel"/>
    <w:lvl w:ilvl="0">
      <w:lvlJc w:val="left"/>
      <w:lvlText w:val="(%1)"/>
      <w:numFmt w:val="decimal"/>
      <w:start w:val="1"/>
    </w:lvl>
  </w:abstractNum>
  <w:abstractNum w:abstractNumId="48">
    <w:nsid w:val="7F01579B"/>
    <w:multiLevelType w:val="hybridMultilevel"/>
    <w:lvl w:ilvl="0">
      <w:lvlJc w:val="left"/>
      <w:lvlText w:val="%1)"/>
      <w:numFmt w:val="decimal"/>
      <w:start w:val="2"/>
    </w:lvl>
  </w:abstractNum>
  <w:abstractNum w:abstractNumId="49">
    <w:nsid w:val="49DA307D"/>
    <w:multiLevelType w:val="hybridMultilevel"/>
    <w:lvl w:ilvl="0">
      <w:lvlJc w:val="left"/>
      <w:lvlText w:val="%1)"/>
      <w:numFmt w:val="decimal"/>
      <w:start w:val="2"/>
    </w:lvl>
  </w:abstractNum>
  <w:abstractNum w:abstractNumId="50">
    <w:nsid w:val="7055A5F5"/>
    <w:multiLevelType w:val="hybridMultilevel"/>
    <w:lvl w:ilvl="0">
      <w:lvlJc w:val="left"/>
      <w:lvlText w:val="%1)"/>
      <w:numFmt w:val="decimal"/>
      <w:start w:val="2"/>
    </w:lvl>
  </w:abstractNum>
  <w:abstractNum w:abstractNumId="51">
    <w:nsid w:val="5FB8370B"/>
    <w:multiLevelType w:val="hybridMultilevel"/>
    <w:lvl w:ilvl="0">
      <w:lvlJc w:val="left"/>
      <w:lvlText w:val="%1)"/>
      <w:numFmt w:val="decimal"/>
      <w:start w:val="2"/>
    </w:lvl>
  </w:abstractNum>
  <w:abstractNum w:abstractNumId="52">
    <w:nsid w:val="50801EE1"/>
    <w:multiLevelType w:val="hybridMultilevel"/>
    <w:lvl w:ilvl="0">
      <w:lvlJc w:val="left"/>
      <w:lvlText w:val="%1)"/>
      <w:numFmt w:val="decimal"/>
      <w:start w:val="2"/>
    </w:lvl>
  </w:abstractNum>
  <w:abstractNum w:abstractNumId="53">
    <w:nsid w:val="488AC1A"/>
    <w:multiLevelType w:val="hybridMultilevel"/>
    <w:lvl w:ilvl="0">
      <w:lvlJc w:val="left"/>
      <w:lvlText w:val="%1)"/>
      <w:numFmt w:val="decimal"/>
      <w:start w:val="2"/>
    </w:lvl>
  </w:abstractNum>
  <w:abstractNum w:abstractNumId="54">
    <w:nsid w:val="5FB8011C"/>
    <w:multiLevelType w:val="hybridMultilevel"/>
    <w:lvl w:ilvl="0">
      <w:lvlJc w:val="left"/>
      <w:lvlText w:val="%1)"/>
      <w:numFmt w:val="decimal"/>
      <w:start w:val="3"/>
    </w:lvl>
  </w:abstractNum>
  <w:abstractNum w:abstractNumId="55">
    <w:nsid w:val="6AA78F7F"/>
    <w:multiLevelType w:val="hybridMultilevel"/>
    <w:lvl w:ilvl="0">
      <w:lvlJc w:val="left"/>
      <w:lvlText w:val="%1)"/>
      <w:numFmt w:val="decimal"/>
      <w:start w:val="3"/>
    </w:lvl>
  </w:abstractNum>
  <w:abstractNum w:abstractNumId="56">
    <w:nsid w:val="7672BD23"/>
    <w:multiLevelType w:val="hybridMultilevel"/>
    <w:lvl w:ilvl="0">
      <w:lvlJc w:val="left"/>
      <w:lvlText w:val="(%1)"/>
      <w:numFmt w:val="decimal"/>
      <w:start w:val="1"/>
    </w:lvl>
  </w:abstractNum>
  <w:abstractNum w:abstractNumId="57">
    <w:nsid w:val="6FC75AF8"/>
    <w:multiLevelType w:val="hybridMultilevel"/>
    <w:lvl w:ilvl="0">
      <w:lvlJc w:val="left"/>
      <w:lvlText w:val="%1)"/>
      <w:numFmt w:val="decimal"/>
      <w:start w:val="4"/>
    </w:lvl>
  </w:abstractNum>
  <w:abstractNum w:abstractNumId="58">
    <w:nsid w:val="6A5F7029"/>
    <w:multiLevelType w:val="hybridMultilevel"/>
    <w:lvl w:ilvl="0">
      <w:lvlJc w:val="left"/>
      <w:lvlText w:val="%1)"/>
      <w:numFmt w:val="decimal"/>
      <w:start w:val="4"/>
    </w:lvl>
  </w:abstractNum>
  <w:abstractNum w:abstractNumId="59">
    <w:nsid w:val="7D5E18F8"/>
    <w:multiLevelType w:val="hybridMultilevel"/>
    <w:lvl w:ilvl="0">
      <w:lvlJc w:val="left"/>
      <w:lvlText w:val="%1)"/>
      <w:numFmt w:val="decimal"/>
      <w:start w:val="4"/>
    </w:lvl>
  </w:abstractNum>
  <w:abstractNum w:abstractNumId="60">
    <w:nsid w:val="5F3534A4"/>
    <w:multiLevelType w:val="hybridMultilevel"/>
    <w:lvl w:ilvl="0">
      <w:lvlJc w:val="left"/>
      <w:lvlText w:val="%1)"/>
      <w:numFmt w:val="decimal"/>
      <w:start w:val="4"/>
    </w:lvl>
  </w:abstractNum>
  <w:abstractNum w:abstractNumId="61">
    <w:nsid w:val="73A1821B"/>
    <w:multiLevelType w:val="hybridMultilevel"/>
    <w:lvl w:ilvl="0">
      <w:lvlJc w:val="left"/>
      <w:lvlText w:val="%1)"/>
      <w:numFmt w:val="decimal"/>
      <w:start w:val="5"/>
    </w:lvl>
  </w:abstractNum>
  <w:abstractNum w:abstractNumId="62">
    <w:nsid w:val="7DE67713"/>
    <w:multiLevelType w:val="hybridMultilevel"/>
    <w:lvl w:ilvl="0">
      <w:lvlJc w:val="left"/>
      <w:lvlText w:val="(%1)"/>
      <w:numFmt w:val="decimal"/>
      <w:start w:val="1"/>
    </w:lvl>
  </w:abstractNum>
  <w:abstractNum w:abstractNumId="63">
    <w:nsid w:val="555C55B5"/>
    <w:multiLevelType w:val="hybridMultilevel"/>
    <w:lvl w:ilvl="0">
      <w:lvlJc w:val="left"/>
      <w:lvlText w:val="%1)"/>
      <w:numFmt w:val="decimal"/>
      <w:start w:val="5"/>
    </w:lvl>
  </w:abstractNum>
  <w:abstractNum w:abstractNumId="64">
    <w:nsid w:val="3FA62ACA"/>
    <w:multiLevelType w:val="hybridMultilevel"/>
    <w:lvl w:ilvl="0">
      <w:lvlJc w:val="left"/>
      <w:lvlText w:val="%1)"/>
      <w:numFmt w:val="decimal"/>
      <w:start w:val="5"/>
    </w:lvl>
  </w:abstractNum>
  <w:abstractNum w:abstractNumId="65">
    <w:nsid w:val="14FCE74E"/>
    <w:multiLevelType w:val="hybridMultilevel"/>
    <w:lvl w:ilvl="0">
      <w:lvlJc w:val="left"/>
      <w:lvlText w:val="%1)"/>
      <w:numFmt w:val="decimal"/>
      <w:start w:val="6"/>
    </w:lvl>
  </w:abstractNum>
  <w:abstractNum w:abstractNumId="66">
    <w:nsid w:val="6A3DD3E8"/>
    <w:multiLevelType w:val="hybridMultilevel"/>
    <w:lvl w:ilvl="0">
      <w:lvlJc w:val="left"/>
      <w:lvlText w:val="%1)"/>
      <w:numFmt w:val="decimal"/>
      <w:start w:val="6"/>
    </w:lvl>
  </w:abstractNum>
  <w:abstractNum w:abstractNumId="67">
    <w:nsid w:val="71C91298"/>
    <w:multiLevelType w:val="hybridMultilevel"/>
    <w:lvl w:ilvl="0">
      <w:lvlJc w:val="left"/>
      <w:lvlText w:val="%1)"/>
      <w:numFmt w:val="decimal"/>
      <w:start w:val="6"/>
    </w:lvl>
  </w:abstractNum>
  <w:abstractNum w:abstractNumId="68">
    <w:nsid w:val="9DAF632"/>
    <w:multiLevelType w:val="hybridMultilevel"/>
    <w:lvl w:ilvl="0">
      <w:lvlJc w:val="left"/>
      <w:lvlText w:val="%1)"/>
      <w:numFmt w:val="decimal"/>
      <w:start w:val="7"/>
    </w:lvl>
  </w:abstractNum>
  <w:abstractNum w:abstractNumId="69">
    <w:nsid w:val="53299938"/>
    <w:multiLevelType w:val="hybridMultilevel"/>
    <w:lvl w:ilvl="0">
      <w:lvlJc w:val="left"/>
      <w:lvlText w:val="%1)"/>
      <w:numFmt w:val="decimal"/>
      <w:start w:val="7"/>
    </w:lvl>
  </w:abstractNum>
  <w:abstractNum w:abstractNumId="70">
    <w:nsid w:val="1FBFE8E0"/>
    <w:multiLevelType w:val="hybridMultilevel"/>
    <w:lvl w:ilvl="0">
      <w:lvlJc w:val="left"/>
      <w:lvlText w:val="%1)"/>
      <w:numFmt w:val="decimal"/>
      <w:start w:val="9"/>
    </w:lvl>
  </w:abstractNum>
  <w:abstractNum w:abstractNumId="71">
    <w:nsid w:val="5092CA79"/>
    <w:multiLevelType w:val="hybridMultilevel"/>
    <w:lvl w:ilvl="0">
      <w:lvlJc w:val="left"/>
      <w:lvlText w:val="%1)"/>
      <w:numFmt w:val="decimal"/>
      <w:start w:val="9"/>
    </w:lvl>
  </w:abstractNum>
  <w:abstractNum w:abstractNumId="72">
    <w:nsid w:val="1D545C4D"/>
    <w:multiLevelType w:val="hybridMultilevel"/>
    <w:lvl w:ilvl="0">
      <w:lvlJc w:val="left"/>
      <w:lvlText w:val="%1)"/>
      <w:numFmt w:val="decimal"/>
      <w:start w:val="9"/>
    </w:lvl>
  </w:abstractNum>
  <w:abstractNum w:abstractNumId="73">
    <w:nsid w:val="59ADEA3D"/>
    <w:multiLevelType w:val="hybridMultilevel"/>
    <w:lvl w:ilvl="0">
      <w:lvlJc w:val="left"/>
      <w:lvlText w:val="$"/>
      <w:numFmt w:val="bullet"/>
      <w:start w:val="1"/>
    </w:lvl>
  </w:abstractNum>
  <w:abstractNum w:abstractNumId="74">
    <w:nsid w:val="288F1A34"/>
    <w:multiLevelType w:val="hybridMultilevel"/>
    <w:lvl w:ilvl="0">
      <w:lvlJc w:val="left"/>
      <w:lvlText w:val="$"/>
      <w:numFmt w:val="bullet"/>
      <w:start w:val="1"/>
    </w:lvl>
  </w:abstractNum>
  <w:abstractNum w:abstractNumId="75">
    <w:nsid w:val="2A155DBC"/>
    <w:multiLevelType w:val="hybridMultilevel"/>
    <w:lvl w:ilvl="0">
      <w:lvlJc w:val="left"/>
      <w:lvlText w:val="$"/>
      <w:numFmt w:val="bullet"/>
      <w:start w:val="1"/>
    </w:lvl>
  </w:abstractNum>
  <w:abstractNum w:abstractNumId="76">
    <w:nsid w:val="1D9F6E5F"/>
    <w:multiLevelType w:val="hybridMultilevel"/>
    <w:lvl w:ilvl="0">
      <w:lvlJc w:val="left"/>
      <w:lvlText w:val="$"/>
      <w:numFmt w:val="bullet"/>
      <w:start w:val="1"/>
    </w:lvl>
  </w:abstractNum>
  <w:abstractNum w:abstractNumId="77">
    <w:nsid w:val="97E1B4E"/>
    <w:multiLevelType w:val="hybridMultilevel"/>
    <w:lvl w:ilvl="0">
      <w:lvlJc w:val="left"/>
      <w:lvlText w:val="%1)"/>
      <w:numFmt w:val="decimal"/>
      <w:start w:val="10"/>
    </w:lvl>
  </w:abstractNum>
  <w:abstractNum w:abstractNumId="78">
    <w:nsid w:val="51088277"/>
    <w:multiLevelType w:val="hybridMultilevel"/>
    <w:lvl w:ilvl="0">
      <w:lvlJc w:val="left"/>
      <w:lvlText w:val="%1)"/>
      <w:numFmt w:val="decimal"/>
      <w:start w:val="10"/>
    </w:lvl>
  </w:abstractNum>
  <w:abstractNum w:abstractNumId="79">
    <w:nsid w:val="1CA0C5FA"/>
    <w:multiLevelType w:val="hybridMultilevel"/>
    <w:lvl w:ilvl="0">
      <w:lvlJc w:val="left"/>
      <w:lvlText w:val="%1)"/>
      <w:numFmt w:val="decimal"/>
      <w:start w:val="11"/>
    </w:lvl>
  </w:abstractNum>
  <w:abstractNum w:abstractNumId="80">
    <w:nsid w:val="53584BCB"/>
    <w:multiLevelType w:val="hybridMultilevel"/>
    <w:lvl w:ilvl="0">
      <w:lvlJc w:val="left"/>
      <w:lvlText w:val="%1)"/>
      <w:numFmt w:val="decimal"/>
      <w:start w:val="12"/>
    </w:lvl>
  </w:abstractNum>
  <w:abstractNum w:abstractNumId="81">
    <w:nsid w:val="415E286C"/>
    <w:multiLevelType w:val="hybridMultilevel"/>
    <w:lvl w:ilvl="0">
      <w:lvlJc w:val="left"/>
      <w:lvlText w:val="%1)"/>
      <w:numFmt w:val="decimal"/>
      <w:start w:val="12"/>
    </w:lvl>
  </w:abstractNum>
  <w:abstractNum w:abstractNumId="82">
    <w:nsid w:val="7C58FD05"/>
    <w:multiLevelType w:val="hybridMultilevel"/>
    <w:lvl w:ilvl="0">
      <w:lvlJc w:val="left"/>
      <w:lvlText w:val="(%1)"/>
      <w:numFmt w:val="decimal"/>
      <w:start w:val="1"/>
    </w:lvl>
  </w:abstractNum>
  <w:abstractNum w:abstractNumId="83">
    <w:nsid w:val="23D86AAC"/>
    <w:multiLevelType w:val="hybridMultilevel"/>
    <w:lvl w:ilvl="0">
      <w:lvlJc w:val="left"/>
      <w:lvlText w:val="%1)"/>
      <w:numFmt w:val="decimal"/>
      <w:start w:val="12"/>
    </w:lvl>
  </w:abstractNum>
  <w:abstractNum w:abstractNumId="84">
    <w:nsid w:val="45E6D486"/>
    <w:multiLevelType w:val="hybridMultilevel"/>
    <w:lvl w:ilvl="0">
      <w:lvlJc w:val="left"/>
      <w:lvlText w:val="%1)"/>
      <w:numFmt w:val="decimal"/>
      <w:start w:val="12"/>
    </w:lvl>
  </w:abstractNum>
  <w:abstractNum w:abstractNumId="85">
    <w:nsid w:val="5C10FE21"/>
    <w:multiLevelType w:val="hybridMultilevel"/>
    <w:lvl w:ilvl="0">
      <w:lvlJc w:val="left"/>
      <w:lvlText w:val="(%1)"/>
      <w:numFmt w:val="decimal"/>
      <w:start w:val="1"/>
    </w:lvl>
  </w:abstractNum>
  <w:abstractNum w:abstractNumId="86">
    <w:nsid w:val="E7FFA2B"/>
    <w:multiLevelType w:val="hybridMultilevel"/>
    <w:lvl w:ilvl="0">
      <w:lvlJc w:val="left"/>
      <w:lvlText w:val="(%1)"/>
      <w:numFmt w:val="decimal"/>
      <w:start w:val="1"/>
    </w:lvl>
  </w:abstractNum>
  <w:abstractNum w:abstractNumId="87">
    <w:nsid w:val="3C5991AA"/>
    <w:multiLevelType w:val="hybridMultilevel"/>
    <w:lvl w:ilvl="0">
      <w:lvlJc w:val="left"/>
      <w:lvlText w:val="%1)"/>
      <w:numFmt w:val="decimal"/>
      <w:start w:val="13"/>
    </w:lvl>
  </w:abstractNum>
  <w:abstractNum w:abstractNumId="88">
    <w:nsid w:val="4BD8591A"/>
    <w:multiLevelType w:val="hybridMultilevel"/>
    <w:lvl w:ilvl="0">
      <w:lvlJc w:val="left"/>
      <w:lvlText w:val="(%1)"/>
      <w:numFmt w:val="decimal"/>
      <w:start w:val="1"/>
    </w:lvl>
  </w:abstractNum>
  <w:abstractNum w:abstractNumId="89">
    <w:nsid w:val="78DF6A55"/>
    <w:multiLevelType w:val="hybridMultilevel"/>
    <w:lvl w:ilvl="0">
      <w:lvlJc w:val="left"/>
      <w:lvlText w:val="%1)"/>
      <w:numFmt w:val="decimal"/>
      <w:start w:val="13"/>
    </w:lvl>
  </w:abstractNum>
  <w:abstractNum w:abstractNumId="90">
    <w:nsid w:val="39B7AAA2"/>
    <w:multiLevelType w:val="hybridMultilevel"/>
    <w:lvl w:ilvl="0">
      <w:lvlJc w:val="left"/>
      <w:lvlText w:val="%1)"/>
      <w:numFmt w:val="decimal"/>
      <w:start w:val="13"/>
    </w:lvl>
  </w:abstractNum>
  <w:abstractNum w:abstractNumId="91">
    <w:nsid w:val="2B0D8DBE"/>
    <w:multiLevelType w:val="hybridMultilevel"/>
    <w:lvl w:ilvl="0">
      <w:lvlJc w:val="left"/>
      <w:lvlText w:val="%1)"/>
      <w:numFmt w:val="decimal"/>
      <w:start w:val="14"/>
    </w:lvl>
  </w:abstractNum>
  <w:abstractNum w:abstractNumId="92">
    <w:nsid w:val="6C80EC70"/>
    <w:multiLevelType w:val="hybridMultilevel"/>
    <w:lvl w:ilvl="0">
      <w:lvlJc w:val="left"/>
      <w:lvlText w:val="%1)"/>
      <w:numFmt w:val="decimal"/>
      <w:start w:val="15"/>
    </w:lvl>
  </w:abstractNum>
  <w:abstractNum w:abstractNumId="93">
    <w:nsid w:val="379E21B5"/>
    <w:multiLevelType w:val="hybridMultilevel"/>
    <w:lvl w:ilvl="0">
      <w:lvlJc w:val="left"/>
      <w:lvlText w:val="%1)"/>
      <w:numFmt w:val="decimal"/>
      <w:start w:val="15"/>
    </w:lvl>
  </w:abstractNum>
  <w:abstractNum w:abstractNumId="94">
    <w:nsid w:val="69E373"/>
    <w:multiLevelType w:val="hybridMultilevel"/>
    <w:lvl w:ilvl="0">
      <w:lvlJc w:val="left"/>
      <w:lvlText w:val="%1)"/>
      <w:numFmt w:val="decimal"/>
      <w:start w:val="16"/>
    </w:lvl>
  </w:abstractNum>
  <w:abstractNum w:abstractNumId="95">
    <w:nsid w:val="2C27173B"/>
    <w:multiLevelType w:val="hybridMultilevel"/>
    <w:lvl w:ilvl="0">
      <w:lvlJc w:val="left"/>
      <w:lvlText w:val="(%1)"/>
      <w:numFmt w:val="decimal"/>
      <w:start w:val="1"/>
    </w:lvl>
  </w:abstractNum>
  <w:abstractNum w:abstractNumId="96">
    <w:nsid w:val="4C9B0904"/>
    <w:multiLevelType w:val="hybridMultilevel"/>
    <w:lvl w:ilvl="0">
      <w:lvlJc w:val="left"/>
      <w:lvlText w:val="%1)"/>
      <w:numFmt w:val="decimal"/>
      <w:start w:val="16"/>
    </w:lvl>
  </w:abstractNum>
  <w:abstractNum w:abstractNumId="97">
    <w:nsid w:val="6AA7B75C"/>
    <w:multiLevelType w:val="hybridMultilevel"/>
    <w:lvl w:ilvl="0">
      <w:lvlJc w:val="left"/>
      <w:lvlText w:val="%1)"/>
      <w:numFmt w:val="decimal"/>
      <w:start w:val="17"/>
    </w:lvl>
  </w:abstractNum>
  <w:abstractNum w:abstractNumId="98">
    <w:nsid w:val="1DF029D3"/>
    <w:multiLevelType w:val="hybridMultilevel"/>
    <w:lvl w:ilvl="0">
      <w:lvlJc w:val="left"/>
      <w:lvlText w:val="%1)"/>
      <w:numFmt w:val="decimal"/>
      <w:start w:val="18"/>
    </w:lvl>
  </w:abstractNum>
  <w:abstractNum w:abstractNumId="99">
    <w:nsid w:val="5675FF36"/>
    <w:multiLevelType w:val="hybridMultilevel"/>
    <w:lvl w:ilvl="0">
      <w:lvlJc w:val="left"/>
      <w:lvlText w:val="%1)"/>
      <w:numFmt w:val="decimal"/>
      <w:start w:val="18"/>
    </w:lvl>
  </w:abstractNum>
  <w:abstractNum w:abstractNumId="100">
    <w:nsid w:val="3DD15094"/>
    <w:multiLevelType w:val="hybridMultilevel"/>
    <w:lvl w:ilvl="0">
      <w:lvlJc w:val="left"/>
      <w:lvlText w:val="%1)"/>
      <w:numFmt w:val="decimal"/>
      <w:start w:val="18"/>
    </w:lvl>
  </w:abstractNum>
  <w:abstractNum w:abstractNumId="101">
    <w:nsid w:val="3DB012B3"/>
    <w:multiLevelType w:val="hybridMultilevel"/>
    <w:lvl w:ilvl="0">
      <w:lvlJc w:val="left"/>
      <w:lvlText w:val="%1)"/>
      <w:numFmt w:val="decimal"/>
      <w:start w:val="20"/>
    </w:lvl>
  </w:abstractNum>
  <w:abstractNum w:abstractNumId="102">
    <w:nsid w:val="2708C9AF"/>
    <w:multiLevelType w:val="hybridMultilevel"/>
    <w:lvl w:ilvl="0">
      <w:lvlJc w:val="left"/>
      <w:lvlText w:val="(%1)"/>
      <w:numFmt w:val="decimal"/>
      <w:start w:val="1"/>
    </w:lvl>
  </w:abstractNum>
  <w:abstractNum w:abstractNumId="103">
    <w:nsid w:val="5B25ACE2"/>
    <w:multiLevelType w:val="hybridMultilevel"/>
    <w:lvl w:ilvl="0">
      <w:lvlJc w:val="left"/>
      <w:lvlText w:val="(%1)"/>
      <w:numFmt w:val="decimal"/>
      <w:start w:val="3"/>
    </w:lvl>
  </w:abstractNum>
  <w:abstractNum w:abstractNumId="104">
    <w:nsid w:val="175DFCF0"/>
    <w:multiLevelType w:val="hybridMultilevel"/>
    <w:lvl w:ilvl="0">
      <w:lvlJc w:val="left"/>
      <w:lvlText w:val="(%1)"/>
      <w:numFmt w:val="decimal"/>
      <w:start w:val="1"/>
    </w:lvl>
  </w:abstractNum>
  <w:abstractNum w:abstractNumId="105">
    <w:nsid w:val="4F97E3E4"/>
    <w:multiLevelType w:val="hybridMultilevel"/>
    <w:lvl w:ilvl="0">
      <w:lvlJc w:val="left"/>
      <w:lvlText w:val="(%1)"/>
      <w:numFmt w:val="decimal"/>
      <w:start w:val="3"/>
    </w:lvl>
  </w:abstractNum>
  <w:abstractNum w:abstractNumId="106">
    <w:nsid w:val="53B0A9E"/>
    <w:multiLevelType w:val="hybridMultilevel"/>
    <w:lvl w:ilvl="0">
      <w:lvlJc w:val="left"/>
      <w:lvlText w:val="%1)"/>
      <w:numFmt w:val="decimal"/>
      <w:start w:val="21"/>
    </w:lvl>
  </w:abstractNum>
  <w:abstractNum w:abstractNumId="107">
    <w:nsid w:val="34FD6B4F"/>
    <w:multiLevelType w:val="hybridMultilevel"/>
    <w:lvl w:ilvl="0">
      <w:lvlJc w:val="left"/>
      <w:lvlText w:val="%1)"/>
      <w:numFmt w:val="lowerLetter"/>
      <w:start w:val="1"/>
    </w:lvl>
  </w:abstractNum>
  <w:abstractNum w:abstractNumId="108">
    <w:nsid w:val="5915FF32"/>
    <w:multiLevelType w:val="hybridMultilevel"/>
    <w:lvl w:ilvl="0">
      <w:lvlJc w:val="left"/>
      <w:lvlText w:val="%1)"/>
      <w:numFmt w:val="decimal"/>
      <w:start w:val="21"/>
    </w:lvl>
  </w:abstractNum>
  <w:abstractNum w:abstractNumId="109">
    <w:nsid w:val="56438D15"/>
    <w:multiLevelType w:val="hybridMultilevel"/>
    <w:lvl w:ilvl="0">
      <w:lvlJc w:val="left"/>
      <w:lvlText w:val="%1)"/>
      <w:numFmt w:val="decimal"/>
      <w:start w:val="21"/>
    </w:lvl>
  </w:abstractNum>
  <w:abstractNum w:abstractNumId="110">
    <w:nsid w:val="519E3149"/>
    <w:multiLevelType w:val="hybridMultilevel"/>
    <w:lvl w:ilvl="0">
      <w:lvlJc w:val="left"/>
      <w:lvlText w:val="(%1)"/>
      <w:numFmt w:val="decimal"/>
      <w:start w:val="1"/>
    </w:lvl>
  </w:abstractNum>
  <w:abstractNum w:abstractNumId="111">
    <w:nsid w:val="2C6E4AFD"/>
    <w:multiLevelType w:val="hybridMultilevel"/>
    <w:lvl w:ilvl="0">
      <w:lvlJc w:val="left"/>
      <w:lvlText w:val="%1)"/>
      <w:numFmt w:val="decimal"/>
      <w:start w:val="21"/>
    </w:lvl>
  </w:abstractNum>
  <w:abstractNum w:abstractNumId="112">
    <w:nsid w:val="17A1B582"/>
    <w:multiLevelType w:val="hybridMultilevel"/>
    <w:lvl w:ilvl="0">
      <w:lvlJc w:val="left"/>
      <w:lvlText w:val="(%1)"/>
      <w:numFmt w:val="decimal"/>
      <w:start w:val="1"/>
    </w:lvl>
  </w:abstractNum>
  <w:abstractNum w:abstractNumId="113">
    <w:nsid w:val="4DF72E4E"/>
    <w:multiLevelType w:val="hybridMultilevel"/>
    <w:lvl w:ilvl="0">
      <w:lvlJc w:val="left"/>
      <w:lvlText w:val="%1)"/>
      <w:numFmt w:val="decimal"/>
      <w:start w:val="21"/>
    </w:lvl>
  </w:abstractNum>
  <w:abstractNum w:abstractNumId="114">
    <w:nsid w:val="5046B5A9"/>
    <w:multiLevelType w:val="hybridMultilevel"/>
    <w:lvl w:ilvl="0">
      <w:lvlJc w:val="left"/>
      <w:lvlText w:val="(%1)"/>
      <w:numFmt w:val="decimal"/>
      <w:start w:val="1"/>
    </w:lvl>
  </w:abstractNum>
  <w:abstractNum w:abstractNumId="115">
    <w:nsid w:val="5D888A08"/>
    <w:multiLevelType w:val="hybridMultilevel"/>
    <w:lvl w:ilvl="0">
      <w:lvlJc w:val="left"/>
      <w:lvlText w:val="(%1)"/>
      <w:numFmt w:val="decimal"/>
      <w:start w:val="1"/>
    </w:lvl>
  </w:abstractNum>
  <w:abstractNum w:abstractNumId="116">
    <w:nsid w:val="2A082C70"/>
    <w:multiLevelType w:val="hybridMultilevel"/>
    <w:lvl w:ilvl="0">
      <w:lvlJc w:val="left"/>
      <w:lvlText w:val="%1)"/>
      <w:numFmt w:val="decimal"/>
      <w:start w:val="21"/>
    </w:lvl>
  </w:abstractNum>
  <w:abstractNum w:abstractNumId="117">
    <w:nsid w:val="5EC6AFD4"/>
    <w:multiLevelType w:val="hybridMultilevel"/>
    <w:lvl w:ilvl="0">
      <w:lvlJc w:val="left"/>
      <w:lvlText w:val="(%1)"/>
      <w:numFmt w:val="decimal"/>
      <w:start w:val="1"/>
    </w:lvl>
  </w:abstractNum>
  <w:abstractNum w:abstractNumId="118">
    <w:nsid w:val="19E21BB2"/>
    <w:multiLevelType w:val="hybridMultilevel"/>
    <w:lvl w:ilvl="0">
      <w:lvlJc w:val="left"/>
      <w:lvlText w:val="%1)"/>
      <w:numFmt w:val="decimal"/>
      <w:start w:val="21"/>
    </w:lvl>
  </w:abstractNum>
  <w:abstractNum w:abstractNumId="119">
    <w:nsid w:val="75E0858A"/>
    <w:multiLevelType w:val="hybridMultilevel"/>
    <w:lvl w:ilvl="0">
      <w:lvlJc w:val="left"/>
      <w:lvlText w:val="(%1)"/>
      <w:numFmt w:val="decimal"/>
      <w:start w:val="1"/>
    </w:lvl>
  </w:abstractNum>
  <w:abstractNum w:abstractNumId="120">
    <w:nsid w:val="57A61A29"/>
    <w:multiLevelType w:val="hybridMultilevel"/>
    <w:lvl w:ilvl="0">
      <w:lvlJc w:val="left"/>
      <w:lvlText w:val="%1)"/>
      <w:numFmt w:val="decimal"/>
      <w:start w:val="22"/>
    </w:lvl>
  </w:abstractNum>
  <w:abstractNum w:abstractNumId="121">
    <w:nsid w:val="5399C654"/>
    <w:multiLevelType w:val="hybridMultilevel"/>
    <w:lvl w:ilvl="0">
      <w:lvlJc w:val="left"/>
      <w:lvlText w:val="%1)"/>
      <w:numFmt w:val="decimal"/>
      <w:start w:val="22"/>
    </w:lvl>
  </w:abstractNum>
  <w:abstractNum w:abstractNumId="122">
    <w:nsid w:val="20EE1348"/>
    <w:multiLevelType w:val="hybridMultilevel"/>
    <w:lvl w:ilvl="0">
      <w:lvlJc w:val="left"/>
      <w:lvlText w:val="(%1)"/>
      <w:numFmt w:val="decimal"/>
      <w:start w:val="1"/>
    </w:lvl>
  </w:abstractNum>
  <w:abstractNum w:abstractNumId="123">
    <w:nsid w:val="4427069A"/>
    <w:multiLevelType w:val="hybridMultilevel"/>
    <w:lvl w:ilvl="0">
      <w:lvlJc w:val="left"/>
      <w:lvlText w:val="%1)"/>
      <w:numFmt w:val="decimal"/>
      <w:start w:val="22"/>
    </w:lvl>
  </w:abstractNum>
  <w:abstractNum w:abstractNumId="124">
    <w:nsid w:val="B37E80A"/>
    <w:multiLevelType w:val="hybridMultilevel"/>
    <w:lvl w:ilvl="0">
      <w:lvlJc w:val="left"/>
      <w:lvlText w:val="%1)"/>
      <w:numFmt w:val="decimal"/>
      <w:start w:val="22"/>
    </w:lvl>
  </w:abstractNum>
  <w:abstractNum w:abstractNumId="125">
    <w:nsid w:val="2157F6BC"/>
    <w:multiLevelType w:val="hybridMultilevel"/>
    <w:lvl w:ilvl="0">
      <w:lvlJc w:val="left"/>
      <w:lvlText w:val="%1)"/>
      <w:numFmt w:val="decimal"/>
      <w:start w:val="23"/>
    </w:lvl>
  </w:abstractNum>
  <w:abstractNum w:abstractNumId="126">
    <w:nsid w:val="704E1DD5"/>
    <w:multiLevelType w:val="hybridMultilevel"/>
    <w:lvl w:ilvl="0">
      <w:lvlJc w:val="left"/>
      <w:lvlText w:val="%1)"/>
      <w:numFmt w:val="decimal"/>
      <w:start w:val="23"/>
    </w:lvl>
  </w:abstractNum>
  <w:abstractNum w:abstractNumId="127">
    <w:nsid w:val="57D2F10E"/>
    <w:multiLevelType w:val="hybridMultilevel"/>
    <w:lvl w:ilvl="0">
      <w:lvlJc w:val="left"/>
      <w:lvlText w:val="%1)"/>
      <w:numFmt w:val="decimal"/>
      <w:start w:val="24"/>
    </w:lvl>
  </w:abstractNum>
  <w:abstractNum w:abstractNumId="128">
    <w:nsid w:val="BFFAE18"/>
    <w:multiLevelType w:val="hybridMultilevel"/>
    <w:lvl w:ilvl="0">
      <w:lvlJc w:val="left"/>
      <w:lvlText w:val="●"/>
      <w:numFmt w:val="bullet"/>
      <w:start w:val="1"/>
    </w:lvl>
  </w:abstractNum>
  <w:abstractNum w:abstractNumId="129">
    <w:nsid w:val="E3E47A8"/>
    <w:multiLevelType w:val="hybridMultilevel"/>
    <w:lvl w:ilvl="0">
      <w:lvlJc w:val="left"/>
      <w:lvlText w:val="●"/>
      <w:numFmt w:val="bullet"/>
      <w:start w:val="1"/>
    </w:lvl>
  </w:abstractNum>
  <w:abstractNum w:abstractNumId="130">
    <w:nsid w:val="2E48F044"/>
    <w:multiLevelType w:val="hybridMultilevel"/>
    <w:lvl w:ilvl="0">
      <w:lvlJc w:val="left"/>
      <w:lvlText w:val="%1"/>
      <w:numFmt w:val="decimal"/>
      <w:start w:val="14"/>
    </w:lvl>
  </w:abstractNum>
  <w:abstractNum w:abstractNumId="131">
    <w:nsid w:val="49D0FEAC"/>
    <w:multiLevelType w:val="hybridMultilevel"/>
    <w:lvl w:ilvl="0">
      <w:lvlJc w:val="left"/>
      <w:lvlText w:val="%1"/>
      <w:numFmt w:val="decimal"/>
      <w:start w:val="19"/>
    </w:lvl>
  </w:abstractNum>
  <w:abstractNum w:abstractNumId="132">
    <w:nsid w:val="4BEE5A5B"/>
    <w:multiLevelType w:val="hybridMultilevel"/>
    <w:lvl w:ilvl="0">
      <w:lvlJc w:val="left"/>
      <w:lvlText w:val="(%1)"/>
      <w:numFmt w:val="decimal"/>
      <w:start w:val="1"/>
    </w:lvl>
  </w:abstractNum>
  <w:abstractNum w:abstractNumId="133">
    <w:nsid w:val="5551B9F3"/>
    <w:multiLevelType w:val="hybridMultilevel"/>
    <w:lvl w:ilvl="0">
      <w:lvlJc w:val="left"/>
      <w:lvlText w:val="(%1)"/>
      <w:numFmt w:val="decimal"/>
      <w:start w:val="7"/>
    </w:lvl>
  </w:abstractNum>
  <w:abstractNum w:abstractNumId="134">
    <w:nsid w:val="24F6AB8E"/>
    <w:multiLevelType w:val="hybridMultilevel"/>
    <w:lvl w:ilvl="0">
      <w:lvlJc w:val="left"/>
      <w:lvlText w:val="●"/>
      <w:numFmt w:val="bullet"/>
      <w:start w:val="1"/>
    </w:lvl>
  </w:abstractNum>
  <w:abstractNum w:abstractNumId="135">
    <w:nsid w:val="634C574C"/>
    <w:multiLevelType w:val="hybridMultilevel"/>
    <w:lvl w:ilvl="0">
      <w:lvlJc w:val="left"/>
      <w:lvlText w:val="●"/>
      <w:numFmt w:val="bullet"/>
      <w:start w:val="1"/>
    </w:lvl>
  </w:abstractNum>
  <w:abstractNum w:abstractNumId="136">
    <w:nsid w:val="24E99DD7"/>
    <w:multiLevelType w:val="hybridMultilevel"/>
    <w:lvl w:ilvl="0">
      <w:lvlJc w:val="left"/>
      <w:lvlText w:val="●"/>
      <w:numFmt w:val="bullet"/>
      <w:start w:val="1"/>
    </w:lvl>
  </w:abstractNum>
  <w:abstractNum w:abstractNumId="137">
    <w:nsid w:val="2A31B62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38">
    <w:nsid w:val="1849C29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39">
    <w:nsid w:val="7DFF9D09"/>
    <w:multiLevelType w:val="hybridMultilevel"/>
    <w:lvl w:ilvl="0">
      <w:lvlJc w:val="left"/>
      <w:lvlText w:val="(%1)"/>
      <w:numFmt w:val="decimal"/>
      <w:start w:val="1"/>
    </w:lvl>
  </w:abstractNum>
  <w:abstractNum w:abstractNumId="140">
    <w:nsid w:val="75434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22" Type="http://schemas.openxmlformats.org/officeDocument/2006/relationships/image" Target="media/image205.png"/><Relationship Id="rId223" Type="http://schemas.openxmlformats.org/officeDocument/2006/relationships/image" Target="media/image206.png"/><Relationship Id="rId224" Type="http://schemas.openxmlformats.org/officeDocument/2006/relationships/image" Target="media/image207.png"/><Relationship Id="rId225" Type="http://schemas.openxmlformats.org/officeDocument/2006/relationships/image" Target="media/image208.png"/><Relationship Id="rId226" Type="http://schemas.openxmlformats.org/officeDocument/2006/relationships/image" Target="media/image209.png"/><Relationship Id="rId227" Type="http://schemas.openxmlformats.org/officeDocument/2006/relationships/image" Target="media/image210.png"/><Relationship Id="rId228" Type="http://schemas.openxmlformats.org/officeDocument/2006/relationships/image" Target="media/image211.png"/><Relationship Id="rId229" Type="http://schemas.openxmlformats.org/officeDocument/2006/relationships/image" Target="media/image212.png"/><Relationship Id="rId212" Type="http://schemas.openxmlformats.org/officeDocument/2006/relationships/hyperlink" Target="https://www.sec.gov/Archives/edgar/data/318673/000109690617000214/exh3_1.pdf" TargetMode="External"/><Relationship Id="rId213" Type="http://schemas.openxmlformats.org/officeDocument/2006/relationships/hyperlink" Target="https://www.sec.gov/Archives/edgar/data/318673/000109690619000199/exh3_2.pdf" TargetMode="External"/><Relationship Id="rId214" Type="http://schemas.openxmlformats.org/officeDocument/2006/relationships/hyperlink" Target="https://www.sec.gov/Archives/edgar/data/318673/000109690616001835/exh10_4.htm" TargetMode="External"/><Relationship Id="rId215" Type="http://schemas.openxmlformats.org/officeDocument/2006/relationships/hyperlink" Target="https://www.sec.gov/Archives/edgar/data/318673/000144586620001192/snfca_ex10z3.htm" TargetMode="External"/><Relationship Id="rId216" Type="http://schemas.openxmlformats.org/officeDocument/2006/relationships/hyperlink" Target="https://www.sec.gov/Archives/edgar/data/318673/000164117225001508/ex10-4.htm" TargetMode="External"/><Relationship Id="rId217" Type="http://schemas.openxmlformats.org/officeDocument/2006/relationships/hyperlink" Target="https://www.sec.gov/Archives/edgar/data/318673/000109690618000639/exh10_9.htm" TargetMode="External"/><Relationship Id="rId218" Type="http://schemas.openxmlformats.org/officeDocument/2006/relationships/hyperlink" Target="https://www.sec.gov/Archives/edgar/data/318673/000149315224011903/ex10-6.htm" TargetMode="External"/><Relationship Id="rId219" Type="http://schemas.openxmlformats.org/officeDocument/2006/relationships/hyperlink" Target="https://www.sec.gov/Archives/edgar/data/318673/000109690619000199/exh14.htm" TargetMode="External"/><Relationship Id="rId220" Type="http://schemas.openxmlformats.org/officeDocument/2006/relationships/hyperlink" Target="https://www.sec.gov/Archives/edgar/data/318673/000149315224011903/ex-19.htm" TargetMode="External"/><Relationship Id="rId221" Type="http://schemas.openxmlformats.org/officeDocument/2006/relationships/hyperlink" Target="https://www.sec.gov/Archives/edgar/data/318673/000149315224011903/ex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2026-03-16T13:07:28Z</dcterms:created>
  <dcterms:modified xsi:type="dcterms:W3CDTF">2026-03-16T13:07:28Z</dcterms:modified>
</cp:coreProperties>
</file>