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Washington, D.C. 20549</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10-Q</w:t>
      </w:r>
    </w:p>
    <w:p>
      <w:pPr>
        <w:spacing w:after="0" w:line="140" w:lineRule="exact"/>
        <w:rPr>
          <w:sz w:val="24"/>
          <w:szCs w:val="24"/>
          <w:color w:val="auto"/>
        </w:rPr>
      </w:pPr>
    </w:p>
    <w:p>
      <w:pPr>
        <w:ind w:right="659"/>
        <w:spacing w:after="0" w:line="269" w:lineRule="auto"/>
        <w:tabs>
          <w:tab w:leader="none" w:pos="26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2021</w:t>
      </w:r>
    </w:p>
    <w:p>
      <w:pPr>
        <w:jc w:val="center"/>
        <w:ind w:right="79"/>
        <w:spacing w:after="0"/>
        <w:rPr>
          <w:sz w:val="20"/>
          <w:szCs w:val="20"/>
          <w:color w:val="auto"/>
        </w:rPr>
      </w:pPr>
      <w:r>
        <w:rPr>
          <w:rFonts w:ascii="Arial" w:cs="Arial" w:eastAsia="Arial" w:hAnsi="Arial"/>
          <w:sz w:val="20"/>
          <w:szCs w:val="20"/>
          <w:b w:val="1"/>
          <w:bCs w:val="1"/>
          <w:color w:val="auto"/>
        </w:rPr>
        <w:t>or</w:t>
      </w:r>
    </w:p>
    <w:p>
      <w:pPr>
        <w:spacing w:after="0" w:line="113" w:lineRule="exact"/>
        <w:rPr>
          <w:sz w:val="24"/>
          <w:szCs w:val="24"/>
          <w:color w:val="auto"/>
        </w:rPr>
      </w:pPr>
    </w:p>
    <w:p>
      <w:pPr>
        <w:ind w:right="719"/>
        <w:spacing w:after="0" w:line="298" w:lineRule="auto"/>
        <w:tabs>
          <w:tab w:leader="none" w:pos="9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TRANSITION REPORT PURSUANT TO SECTION 13 OR 15(d) OF THE SECURITIES EXCHANGE ACT OF 1934 For the transition period from _____ to ________</w:t>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Commission File Number: 000-09341</w:t>
      </w:r>
    </w:p>
    <w:p>
      <w:pPr>
        <w:spacing w:after="0" w:line="12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SECURITY NATIONAL FINANCIAL CORPORATION</w:t>
      </w:r>
    </w:p>
    <w:p>
      <w:pPr>
        <w:spacing w:after="0" w:line="37"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27" w:lineRule="exact"/>
        <w:rPr>
          <w:sz w:val="24"/>
          <w:szCs w:val="24"/>
          <w:color w:val="auto"/>
        </w:rPr>
      </w:pPr>
    </w:p>
    <w:tbl>
      <w:tblPr>
        <w:tblLayout w:type="fixed"/>
        <w:tblInd w:w="340" w:type="dxa"/>
        <w:tblCellMar>
          <w:top w:w="0" w:type="dxa"/>
          <w:left w:w="0" w:type="dxa"/>
          <w:bottom w:w="0" w:type="dxa"/>
          <w:right w:w="0" w:type="dxa"/>
        </w:tblCellMar>
      </w:tblPr>
      <w:tr>
        <w:trPr>
          <w:trHeight w:val="256"/>
        </w:trPr>
        <w:tc>
          <w:tcPr>
            <w:tcW w:w="4760" w:type="dxa"/>
            <w:vAlign w:val="bottom"/>
          </w:tcPr>
          <w:p>
            <w:pPr>
              <w:jc w:val="center"/>
              <w:ind w:right="590"/>
              <w:spacing w:after="0"/>
              <w:rPr>
                <w:sz w:val="20"/>
                <w:szCs w:val="20"/>
                <w:color w:val="auto"/>
              </w:rPr>
            </w:pPr>
            <w:r>
              <w:rPr>
                <w:rFonts w:ascii="Arial" w:cs="Arial" w:eastAsia="Arial" w:hAnsi="Arial"/>
                <w:sz w:val="20"/>
                <w:szCs w:val="20"/>
                <w:b w:val="1"/>
                <w:bCs w:val="1"/>
                <w:color w:val="auto"/>
              </w:rPr>
              <w:t>UTAH</w:t>
            </w:r>
          </w:p>
        </w:tc>
        <w:tc>
          <w:tcPr>
            <w:tcW w:w="2980" w:type="dxa"/>
            <w:vAlign w:val="bottom"/>
          </w:tcPr>
          <w:p>
            <w:pPr>
              <w:jc w:val="right"/>
              <w:ind w:right="590"/>
              <w:spacing w:after="0"/>
              <w:rPr>
                <w:sz w:val="20"/>
                <w:szCs w:val="20"/>
                <w:color w:val="auto"/>
              </w:rPr>
            </w:pPr>
            <w:r>
              <w:rPr>
                <w:rFonts w:ascii="Arial" w:cs="Arial" w:eastAsia="Arial" w:hAnsi="Arial"/>
                <w:sz w:val="20"/>
                <w:szCs w:val="20"/>
                <w:b w:val="1"/>
                <w:bCs w:val="1"/>
                <w:color w:val="auto"/>
              </w:rPr>
              <w:t>87-0345941</w:t>
            </w:r>
          </w:p>
        </w:tc>
      </w:tr>
      <w:tr>
        <w:trPr>
          <w:trHeight w:val="219"/>
        </w:trPr>
        <w:tc>
          <w:tcPr>
            <w:tcW w:w="4760" w:type="dxa"/>
            <w:vAlign w:val="bottom"/>
          </w:tcPr>
          <w:p>
            <w:pPr>
              <w:jc w:val="center"/>
              <w:ind w:right="570"/>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2980" w:type="dxa"/>
            <w:vAlign w:val="bottom"/>
          </w:tcPr>
          <w:p>
            <w:pPr>
              <w:jc w:val="center"/>
              <w:ind w:left="570"/>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415"/>
        </w:trPr>
        <w:tc>
          <w:tcPr>
            <w:tcW w:w="4760" w:type="dxa"/>
            <w:vAlign w:val="bottom"/>
          </w:tcPr>
          <w:p>
            <w:pPr>
              <w:jc w:val="center"/>
              <w:ind w:right="590"/>
              <w:spacing w:after="0"/>
              <w:rPr>
                <w:sz w:val="20"/>
                <w:szCs w:val="20"/>
                <w:color w:val="auto"/>
              </w:rPr>
            </w:pPr>
            <w:r>
              <w:rPr>
                <w:rFonts w:ascii="Arial" w:cs="Arial" w:eastAsia="Arial" w:hAnsi="Arial"/>
                <w:sz w:val="20"/>
                <w:szCs w:val="20"/>
                <w:b w:val="1"/>
                <w:bCs w:val="1"/>
                <w:color w:val="auto"/>
                <w:w w:val="89"/>
              </w:rPr>
              <w:t>121 West Election Road, Suite 100, Draper, Utah</w:t>
            </w:r>
          </w:p>
        </w:tc>
        <w:tc>
          <w:tcPr>
            <w:tcW w:w="2980" w:type="dxa"/>
            <w:vAlign w:val="bottom"/>
          </w:tcPr>
          <w:p>
            <w:pPr>
              <w:jc w:val="right"/>
              <w:ind w:right="830"/>
              <w:spacing w:after="0"/>
              <w:rPr>
                <w:sz w:val="20"/>
                <w:szCs w:val="20"/>
                <w:color w:val="auto"/>
              </w:rPr>
            </w:pPr>
            <w:r>
              <w:rPr>
                <w:rFonts w:ascii="Arial" w:cs="Arial" w:eastAsia="Arial" w:hAnsi="Arial"/>
                <w:sz w:val="20"/>
                <w:szCs w:val="20"/>
                <w:b w:val="1"/>
                <w:bCs w:val="1"/>
                <w:color w:val="auto"/>
              </w:rPr>
              <w:t>84020</w:t>
            </w:r>
          </w:p>
        </w:tc>
      </w:tr>
      <w:tr>
        <w:trPr>
          <w:trHeight w:val="220"/>
        </w:trPr>
        <w:tc>
          <w:tcPr>
            <w:tcW w:w="4760" w:type="dxa"/>
            <w:vAlign w:val="bottom"/>
          </w:tcPr>
          <w:p>
            <w:pPr>
              <w:jc w:val="center"/>
              <w:ind w:right="590"/>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2980" w:type="dxa"/>
            <w:vAlign w:val="bottom"/>
          </w:tcPr>
          <w:p>
            <w:pPr>
              <w:jc w:val="center"/>
              <w:ind w:left="570"/>
              <w:spacing w:after="0"/>
              <w:rPr>
                <w:sz w:val="20"/>
                <w:szCs w:val="20"/>
                <w:color w:val="auto"/>
              </w:rPr>
            </w:pPr>
            <w:r>
              <w:rPr>
                <w:rFonts w:ascii="Arial" w:cs="Arial" w:eastAsia="Arial" w:hAnsi="Arial"/>
                <w:sz w:val="16"/>
                <w:szCs w:val="16"/>
                <w:i w:val="1"/>
                <w:iCs w:val="1"/>
                <w:color w:val="auto"/>
                <w:w w:val="95"/>
              </w:rPr>
              <w:t>(Zip Code)</w:t>
            </w:r>
          </w:p>
        </w:tc>
      </w:tr>
    </w:tbl>
    <w:p>
      <w:pPr>
        <w:spacing w:after="0" w:line="15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(801) 264-1060</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Securities registered pursuant to Section 12(b) of the Act:</w:t>
      </w:r>
    </w:p>
    <w:p>
      <w:pPr>
        <w:sectPr>
          <w:pgSz w:w="11900" w:h="16838" w:orient="portrait"/>
          <w:cols w:equalWidth="0" w:num="1">
            <w:col w:w="9159"/>
          </w:cols>
          <w:pgMar w:left="1300" w:top="215" w:right="1440" w:bottom="1440" w:gutter="0" w:footer="0" w:header="0"/>
        </w:sectPr>
      </w:pPr>
    </w:p>
    <w:p>
      <w:pPr>
        <w:spacing w:after="0" w:line="200" w:lineRule="exact"/>
        <w:rPr>
          <w:sz w:val="24"/>
          <w:szCs w:val="24"/>
          <w:color w:val="auto"/>
        </w:rPr>
      </w:pPr>
    </w:p>
    <w:p>
      <w:pPr>
        <w:spacing w:after="0" w:line="272"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2" w:lineRule="exact"/>
        <w:rPr>
          <w:sz w:val="24"/>
          <w:szCs w:val="24"/>
          <w:color w:val="auto"/>
        </w:rPr>
      </w:pPr>
    </w:p>
    <w:p>
      <w:pPr>
        <w:jc w:val="center"/>
        <w:ind w:right="640"/>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jc w:val="center"/>
        <w:ind w:right="799"/>
        <w:spacing w:after="0"/>
        <w:rPr>
          <w:sz w:val="20"/>
          <w:szCs w:val="20"/>
          <w:color w:val="auto"/>
        </w:rPr>
      </w:pPr>
      <w:r>
        <w:rPr>
          <w:rFonts w:ascii="Arial" w:cs="Arial" w:eastAsia="Arial" w:hAnsi="Arial"/>
          <w:sz w:val="16"/>
          <w:szCs w:val="16"/>
          <w:b w:val="1"/>
          <w:bCs w:val="1"/>
          <w:color w:val="auto"/>
        </w:rPr>
        <w:t>Name of each exchange</w:t>
      </w:r>
    </w:p>
    <w:p>
      <w:pPr>
        <w:spacing w:after="0" w:line="68" w:lineRule="exact"/>
        <w:rPr>
          <w:sz w:val="24"/>
          <w:szCs w:val="24"/>
          <w:color w:val="auto"/>
        </w:rPr>
      </w:pPr>
    </w:p>
    <w:p>
      <w:pPr>
        <w:jc w:val="center"/>
        <w:ind w:right="799"/>
        <w:spacing w:after="0"/>
        <w:rPr>
          <w:sz w:val="20"/>
          <w:szCs w:val="20"/>
          <w:color w:val="auto"/>
        </w:rPr>
      </w:pPr>
      <w:r>
        <w:rPr>
          <w:rFonts w:ascii="Arial" w:cs="Arial" w:eastAsia="Arial" w:hAnsi="Arial"/>
          <w:sz w:val="20"/>
          <w:szCs w:val="20"/>
          <w:b w:val="1"/>
          <w:bCs w:val="1"/>
          <w:color w:val="auto"/>
        </w:rPr>
        <w:t>on which registered</w:t>
      </w:r>
    </w:p>
    <w:p>
      <w:pPr>
        <w:spacing w:after="0" w:line="18" w:lineRule="exact"/>
        <w:rPr>
          <w:sz w:val="24"/>
          <w:szCs w:val="24"/>
          <w:color w:val="auto"/>
        </w:rPr>
      </w:pPr>
    </w:p>
    <w:p>
      <w:pPr>
        <w:sectPr>
          <w:pgSz w:w="11900" w:h="16838" w:orient="portrait"/>
          <w:cols w:equalWidth="0" w:num="3">
            <w:col w:w="2960" w:space="720"/>
            <w:col w:w="1980" w:space="720"/>
            <w:col w:w="2779"/>
          </w:cols>
          <w:pgMar w:left="1300" w:top="215" w:right="1440" w:bottom="1440" w:gutter="0" w:footer="0" w:header="0"/>
          <w:type w:val="continuous"/>
        </w:sectPr>
      </w:pPr>
    </w:p>
    <w:p>
      <w:pPr>
        <w:ind w:left="740"/>
        <w:spacing w:after="0"/>
        <w:rPr>
          <w:sz w:val="20"/>
          <w:szCs w:val="20"/>
          <w:color w:val="auto"/>
        </w:rPr>
      </w:pPr>
      <w:r>
        <w:rPr>
          <w:rFonts w:ascii="Arial" w:cs="Arial" w:eastAsia="Arial" w:hAnsi="Arial"/>
          <w:sz w:val="14"/>
          <w:szCs w:val="14"/>
          <w:color w:val="auto"/>
        </w:rPr>
        <w:t>Class A Common Stock</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Arial" w:cs="Arial" w:eastAsia="Arial" w:hAnsi="Arial"/>
          <w:sz w:val="15"/>
          <w:szCs w:val="15"/>
          <w:color w:val="auto"/>
        </w:rPr>
        <w:t>SNFCA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Global Select Market</w:t>
      </w:r>
    </w:p>
    <w:p>
      <w:pPr>
        <w:spacing w:after="0" w:line="211" w:lineRule="exact"/>
        <w:rPr>
          <w:sz w:val="24"/>
          <w:szCs w:val="24"/>
          <w:color w:val="auto"/>
        </w:rPr>
      </w:pPr>
    </w:p>
    <w:p>
      <w:pPr>
        <w:sectPr>
          <w:pgSz w:w="11900" w:h="16838" w:orient="portrait"/>
          <w:cols w:equalWidth="0" w:num="3">
            <w:col w:w="3380" w:space="720"/>
            <w:col w:w="1440" w:space="720"/>
            <w:col w:w="2899"/>
          </w:cols>
          <w:pgMar w:left="1300" w:top="215" w:right="1440" w:bottom="1440" w:gutter="0" w:footer="0" w:header="0"/>
          <w:type w:val="continuous"/>
        </w:sectPr>
      </w:pPr>
    </w:p>
    <w:p>
      <w:pPr>
        <w:spacing w:after="0" w:line="73" w:lineRule="exact"/>
        <w:rPr>
          <w:sz w:val="24"/>
          <w:szCs w:val="24"/>
          <w:color w:val="auto"/>
        </w:rPr>
      </w:pPr>
    </w:p>
    <w:p>
      <w:pPr>
        <w:jc w:val="both"/>
        <w:ind w:right="99" w:firstLine="405"/>
        <w:spacing w:after="0" w:line="26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100"/>
        <w:spacing w:after="0"/>
        <w:rPr>
          <w:sz w:val="20"/>
          <w:szCs w:val="20"/>
          <w:color w:val="auto"/>
        </w:rPr>
      </w:pPr>
      <w:r>
        <w:rPr>
          <w:rFonts w:ascii="Arial" w:cs="Arial" w:eastAsia="Arial" w:hAnsi="Arial"/>
          <w:sz w:val="16"/>
          <w:szCs w:val="16"/>
          <w:color w:val="auto"/>
        </w:rPr>
        <w:t>Yes [X] No [ ]</w:t>
      </w:r>
    </w:p>
    <w:p>
      <w:pPr>
        <w:spacing w:after="0" w:line="217" w:lineRule="exact"/>
        <w:rPr>
          <w:sz w:val="24"/>
          <w:szCs w:val="24"/>
          <w:color w:val="auto"/>
        </w:rPr>
      </w:pPr>
    </w:p>
    <w:p>
      <w:pPr>
        <w:jc w:val="both"/>
        <w:ind w:right="79" w:firstLine="405"/>
        <w:spacing w:after="0" w:line="26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8100"/>
        <w:spacing w:after="0"/>
        <w:rPr>
          <w:sz w:val="20"/>
          <w:szCs w:val="20"/>
          <w:color w:val="auto"/>
        </w:rPr>
      </w:pPr>
      <w:r>
        <w:rPr>
          <w:rFonts w:ascii="Arial" w:cs="Arial" w:eastAsia="Arial" w:hAnsi="Arial"/>
          <w:sz w:val="16"/>
          <w:szCs w:val="16"/>
          <w:color w:val="auto"/>
        </w:rPr>
        <w:t>Yes [X] No [ ]</w:t>
      </w:r>
    </w:p>
    <w:p>
      <w:pPr>
        <w:spacing w:after="0" w:line="217" w:lineRule="exact"/>
        <w:rPr>
          <w:sz w:val="24"/>
          <w:szCs w:val="24"/>
          <w:color w:val="auto"/>
        </w:rPr>
      </w:pPr>
    </w:p>
    <w:p>
      <w:pPr>
        <w:jc w:val="both"/>
        <w:ind w:right="99" w:firstLine="405"/>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159"/>
          </w:cols>
          <w:pgMar w:left="1300" w:top="215" w:right="1440" w:bottom="1440" w:gutter="0" w:footer="0" w:header="0"/>
          <w:type w:val="continuous"/>
        </w:sectPr>
      </w:pPr>
    </w:p>
    <w:p>
      <w:pPr>
        <w:spacing w:after="0" w:line="184" w:lineRule="exact"/>
        <w:rPr>
          <w:sz w:val="24"/>
          <w:szCs w:val="24"/>
          <w:color w:val="auto"/>
        </w:rPr>
      </w:pPr>
    </w:p>
    <w:p>
      <w:pPr>
        <w:ind w:left="480"/>
        <w:spacing w:after="0"/>
        <w:rPr>
          <w:sz w:val="20"/>
          <w:szCs w:val="20"/>
          <w:color w:val="auto"/>
        </w:rPr>
      </w:pPr>
      <w:r>
        <w:rPr>
          <w:rFonts w:ascii="Arial" w:cs="Arial" w:eastAsia="Arial" w:hAnsi="Arial"/>
          <w:sz w:val="15"/>
          <w:szCs w:val="15"/>
          <w:color w:val="auto"/>
        </w:rPr>
        <w:t>Large 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 ]</w:t>
      </w:r>
    </w:p>
    <w:p>
      <w:pPr>
        <w:spacing w:after="0" w:line="57" w:lineRule="exact"/>
        <w:rPr>
          <w:sz w:val="24"/>
          <w:szCs w:val="24"/>
          <w:color w:val="auto"/>
        </w:rPr>
      </w:pPr>
    </w:p>
    <w:p>
      <w:pPr>
        <w:sectPr>
          <w:pgSz w:w="11900" w:h="16838" w:orient="portrait"/>
          <w:cols w:equalWidth="0" w:num="2">
            <w:col w:w="5520" w:space="720"/>
            <w:col w:w="2919"/>
          </w:cols>
          <w:pgMar w:left="1300" w:top="215" w:right="1440" w:bottom="1440" w:gutter="0" w:footer="0" w:header="0"/>
          <w:type w:val="continuous"/>
        </w:sectPr>
      </w:pPr>
    </w:p>
    <w:p>
      <w:pPr>
        <w:ind w:left="480"/>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Smaller reporting company [X]</w:t>
      </w:r>
    </w:p>
    <w:p>
      <w:pPr>
        <w:spacing w:after="0" w:line="57" w:lineRule="exact"/>
        <w:rPr>
          <w:sz w:val="24"/>
          <w:szCs w:val="24"/>
          <w:color w:val="auto"/>
        </w:rPr>
      </w:pPr>
    </w:p>
    <w:p>
      <w:pPr>
        <w:sectPr>
          <w:pgSz w:w="11900" w:h="16838" w:orient="portrait"/>
          <w:cols w:equalWidth="0" w:num="2">
            <w:col w:w="5520" w:space="720"/>
            <w:col w:w="2919"/>
          </w:cols>
          <w:pgMar w:left="1300" w:top="215" w:right="1440" w:bottom="1440" w:gutter="0" w:footer="0" w:header="0"/>
          <w:type w:val="continuous"/>
        </w:sectPr>
      </w:pPr>
    </w:p>
    <w:p>
      <w:pPr>
        <w:ind w:left="6240"/>
        <w:spacing w:after="0"/>
        <w:rPr>
          <w:sz w:val="20"/>
          <w:szCs w:val="20"/>
          <w:color w:val="auto"/>
        </w:rPr>
      </w:pPr>
      <w:r>
        <w:rPr>
          <w:rFonts w:ascii="Arial" w:cs="Arial" w:eastAsia="Arial" w:hAnsi="Arial"/>
          <w:sz w:val="15"/>
          <w:szCs w:val="15"/>
          <w:color w:val="auto"/>
        </w:rPr>
        <w:t>Emerging growth company [ ]</w:t>
      </w:r>
    </w:p>
    <w:p>
      <w:pPr>
        <w:sectPr>
          <w:pgSz w:w="11900" w:h="16838" w:orient="portrait"/>
          <w:cols w:equalWidth="0" w:num="1">
            <w:col w:w="9159"/>
          </w:cols>
          <w:pgMar w:left="1300" w:top="215" w:right="1440" w:bottom="1440" w:gutter="0" w:footer="0" w:header="0"/>
          <w:type w:val="continuous"/>
        </w:sectPr>
      </w:pPr>
    </w:p>
    <w:p>
      <w:pPr>
        <w:spacing w:after="0" w:line="246" w:lineRule="exact"/>
        <w:rPr>
          <w:sz w:val="24"/>
          <w:szCs w:val="24"/>
          <w:color w:val="auto"/>
        </w:rPr>
      </w:pPr>
    </w:p>
    <w:p>
      <w:pPr>
        <w:ind w:right="99" w:firstLine="405"/>
        <w:spacing w:after="0" w:line="328"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36" w:lineRule="exact"/>
        <w:rPr>
          <w:sz w:val="24"/>
          <w:szCs w:val="24"/>
          <w:color w:val="auto"/>
        </w:rPr>
      </w:pPr>
    </w:p>
    <w:p>
      <w:pPr>
        <w:ind w:left="4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2" w:lineRule="exact"/>
        <w:rPr>
          <w:sz w:val="24"/>
          <w:szCs w:val="24"/>
          <w:color w:val="auto"/>
        </w:rPr>
      </w:pPr>
    </w:p>
    <w:p>
      <w:pPr>
        <w:ind w:left="8140"/>
        <w:spacing w:after="0"/>
        <w:rPr>
          <w:sz w:val="20"/>
          <w:szCs w:val="20"/>
          <w:color w:val="auto"/>
        </w:rPr>
      </w:pPr>
      <w:r>
        <w:rPr>
          <w:rFonts w:ascii="Arial" w:cs="Arial" w:eastAsia="Arial" w:hAnsi="Arial"/>
          <w:sz w:val="16"/>
          <w:szCs w:val="16"/>
          <w:color w:val="auto"/>
        </w:rPr>
        <w:t>Yes [ ] No[X]</w:t>
      </w:r>
    </w:p>
    <w:p>
      <w:pPr>
        <w:spacing w:after="0" w:line="217" w:lineRule="exact"/>
        <w:rPr>
          <w:sz w:val="24"/>
          <w:szCs w:val="24"/>
          <w:color w:val="auto"/>
        </w:rPr>
      </w:pPr>
    </w:p>
    <w:p>
      <w:pPr>
        <w:ind w:right="79" w:firstLine="405"/>
        <w:spacing w:after="0" w:line="293" w:lineRule="auto"/>
        <w:rPr>
          <w:sz w:val="20"/>
          <w:szCs w:val="20"/>
          <w:color w:val="auto"/>
        </w:rPr>
      </w:pPr>
      <w:r>
        <w:rPr>
          <w:rFonts w:ascii="Arial" w:cs="Arial" w:eastAsia="Arial" w:hAnsi="Arial"/>
          <w:sz w:val="16"/>
          <w:szCs w:val="16"/>
          <w:color w:val="auto"/>
        </w:rPr>
        <w:t>As of May 12, 2021, the registrant had 16,701,916 shares of Class A Common Stock, $2.00 par value, outstanding and 2,631,076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57607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215" w:right="1440"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20"/>
          <w:szCs w:val="20"/>
          <w:b w:val="1"/>
          <w:bCs w:val="1"/>
          <w:color w:val="auto"/>
        </w:rPr>
        <w:t>SECURITY NATIONAL FINANCIAL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FORM 10-Q</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QUARTER ENDED MARCH 31, 2021</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Page No.</w:t>
            </w:r>
          </w:p>
        </w:tc>
      </w:tr>
      <w:tr>
        <w:trPr>
          <w:trHeight w:val="216"/>
        </w:trPr>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gridSpan w:val="11"/>
          </w:tcPr>
          <w:p>
            <w:pPr>
              <w:jc w:val="center"/>
              <w:ind w:right="2340"/>
              <w:spacing w:after="0"/>
              <w:rPr>
                <w:sz w:val="20"/>
                <w:szCs w:val="20"/>
                <w:color w:val="auto"/>
              </w:rPr>
            </w:pPr>
            <w:r>
              <w:rPr>
                <w:rFonts w:ascii="Arial" w:cs="Arial" w:eastAsia="Arial" w:hAnsi="Arial"/>
                <w:sz w:val="18"/>
                <w:szCs w:val="18"/>
                <w:b w:val="1"/>
                <w:bCs w:val="1"/>
                <w:color w:val="auto"/>
                <w:w w:val="94"/>
              </w:rPr>
              <w:t>Part I - Financial Information</w:t>
            </w:r>
          </w:p>
        </w:tc>
        <w:tc>
          <w:tcPr>
            <w:tcW w:w="900" w:type="dxa"/>
            <w:vAlign w:val="bottom"/>
          </w:tcPr>
          <w:p>
            <w:pPr>
              <w:spacing w:after="0"/>
              <w:rPr>
                <w:sz w:val="18"/>
                <w:szCs w:val="18"/>
                <w:color w:val="auto"/>
              </w:rPr>
            </w:pPr>
          </w:p>
        </w:tc>
      </w:tr>
      <w:tr>
        <w:trPr>
          <w:trHeight w:val="27"/>
        </w:trPr>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7320" w:type="dxa"/>
            <w:vAlign w:val="bottom"/>
            <w:gridSpan w:val="21"/>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00" w:type="dxa"/>
            <w:vAlign w:val="bottom"/>
            <w:shd w:val="clear" w:color="auto" w:fill="CCEEFF"/>
          </w:tcPr>
          <w:p>
            <w:pPr>
              <w:spacing w:after="0"/>
              <w:rPr>
                <w:sz w:val="18"/>
                <w:szCs w:val="18"/>
                <w:color w:val="auto"/>
              </w:rPr>
            </w:pPr>
          </w:p>
        </w:tc>
      </w:tr>
      <w:tr>
        <w:trPr>
          <w:trHeight w:val="27"/>
        </w:trPr>
        <w:tc>
          <w:tcPr>
            <w:tcW w:w="86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r>
        <w:trPr>
          <w:trHeight w:val="223"/>
        </w:trPr>
        <w:tc>
          <w:tcPr>
            <w:tcW w:w="860" w:type="dxa"/>
            <w:vAlign w:val="bottom"/>
          </w:tcPr>
          <w:p>
            <w:pPr>
              <w:spacing w:after="0"/>
              <w:rPr>
                <w:sz w:val="19"/>
                <w:szCs w:val="19"/>
                <w:color w:val="auto"/>
              </w:rPr>
            </w:pPr>
          </w:p>
        </w:tc>
        <w:tc>
          <w:tcPr>
            <w:tcW w:w="7320" w:type="dxa"/>
            <w:vAlign w:val="bottom"/>
            <w:gridSpan w:val="21"/>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Condensed Consolidated Balance Sheets as of March 31, 2021 (unaudited) and December 31, 2020</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2"/>
              </w:rPr>
              <w:t>3-4</w:t>
            </w:r>
          </w:p>
        </w:tc>
      </w:tr>
      <w:tr>
        <w:trPr>
          <w:trHeight w:val="216"/>
        </w:trPr>
        <w:tc>
          <w:tcPr>
            <w:tcW w:w="860" w:type="dxa"/>
            <w:vAlign w:val="bottom"/>
            <w:shd w:val="clear" w:color="auto" w:fill="CCEEFF"/>
          </w:tcPr>
          <w:p>
            <w:pPr>
              <w:spacing w:after="0"/>
              <w:rPr>
                <w:sz w:val="18"/>
                <w:szCs w:val="18"/>
                <w:color w:val="auto"/>
              </w:rPr>
            </w:pPr>
          </w:p>
        </w:tc>
        <w:tc>
          <w:tcPr>
            <w:tcW w:w="7140" w:type="dxa"/>
            <w:vAlign w:val="bottom"/>
            <w:tcBorders>
              <w:top w:val="single" w:sz="8" w:color="0000FF"/>
            </w:tcBorders>
            <w:gridSpan w:val="19"/>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Earnings for the three months</w:t>
              </w:r>
            </w:hyperlink>
          </w:p>
        </w:tc>
        <w:tc>
          <w:tcPr>
            <w:tcW w:w="1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5040" w:type="dxa"/>
            <w:vAlign w:val="bottom"/>
            <w:tcBorders>
              <w:top w:val="single" w:sz="8" w:color="0000FF"/>
            </w:tcBorders>
            <w:gridSpan w:val="15"/>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March 31, 2021 and 2020 (unaudited)</w:t>
              </w:r>
            </w:hyperlink>
          </w:p>
        </w:tc>
        <w:tc>
          <w:tcPr>
            <w:tcW w:w="1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r>
      <w:tr>
        <w:trPr>
          <w:trHeight w:val="27"/>
        </w:trPr>
        <w:tc>
          <w:tcPr>
            <w:tcW w:w="86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r>
        <w:trPr>
          <w:trHeight w:val="216"/>
        </w:trPr>
        <w:tc>
          <w:tcPr>
            <w:tcW w:w="860" w:type="dxa"/>
            <w:vAlign w:val="bottom"/>
          </w:tcPr>
          <w:p>
            <w:pPr>
              <w:spacing w:after="0"/>
              <w:rPr>
                <w:sz w:val="18"/>
                <w:szCs w:val="18"/>
                <w:color w:val="auto"/>
              </w:rPr>
            </w:pPr>
          </w:p>
        </w:tc>
        <w:tc>
          <w:tcPr>
            <w:tcW w:w="7320" w:type="dxa"/>
            <w:vAlign w:val="bottom"/>
            <w:gridSpan w:val="21"/>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Comprehensive Income for the three months ended March</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196"/>
        </w:trPr>
        <w:tc>
          <w:tcPr>
            <w:tcW w:w="860" w:type="dxa"/>
            <w:vAlign w:val="bottom"/>
          </w:tcPr>
          <w:p>
            <w:pPr>
              <w:spacing w:after="0"/>
              <w:rPr>
                <w:sz w:val="17"/>
                <w:szCs w:val="17"/>
                <w:color w:val="auto"/>
              </w:rPr>
            </w:pPr>
          </w:p>
        </w:tc>
        <w:tc>
          <w:tcPr>
            <w:tcW w:w="7060" w:type="dxa"/>
            <w:vAlign w:val="bottom"/>
            <w:tcBorders>
              <w:top w:val="single" w:sz="8" w:color="0000FF"/>
            </w:tcBorders>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31, 2021 and 2020 (unaudited)</w:t>
              </w:r>
            </w:hyperlink>
          </w:p>
        </w:tc>
        <w:tc>
          <w:tcPr>
            <w:tcW w:w="1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
        </w:trPr>
        <w:tc>
          <w:tcPr>
            <w:tcW w:w="8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860" w:type="dxa"/>
            <w:vAlign w:val="bottom"/>
            <w:shd w:val="clear" w:color="auto" w:fill="CCEEFF"/>
          </w:tcPr>
          <w:p>
            <w:pPr>
              <w:spacing w:after="0"/>
              <w:rPr>
                <w:sz w:val="18"/>
                <w:szCs w:val="18"/>
                <w:color w:val="auto"/>
              </w:rPr>
            </w:pPr>
          </w:p>
        </w:tc>
        <w:tc>
          <w:tcPr>
            <w:tcW w:w="7320" w:type="dxa"/>
            <w:vAlign w:val="bottom"/>
            <w:gridSpan w:val="21"/>
            <w:shd w:val="clear" w:color="auto" w:fill="CCEEFF"/>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Stockholders' Equity as of March 31, 2021 and March 31,</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702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2020 (unaudited)</w:t>
              </w:r>
            </w:hyperlink>
          </w:p>
        </w:tc>
        <w:tc>
          <w:tcPr>
            <w:tcW w:w="160" w:type="dxa"/>
            <w:vAlign w:val="bottom"/>
            <w:tcBorders>
              <w:top w:val="single" w:sz="8" w:color="CCEEFF"/>
            </w:tcBorders>
            <w:gridSpan w:val="3"/>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r>
      <w:tr>
        <w:trPr>
          <w:trHeight w:val="27"/>
        </w:trPr>
        <w:tc>
          <w:tcPr>
            <w:tcW w:w="86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r>
        <w:trPr>
          <w:trHeight w:val="216"/>
        </w:trPr>
        <w:tc>
          <w:tcPr>
            <w:tcW w:w="860" w:type="dxa"/>
            <w:vAlign w:val="bottom"/>
          </w:tcPr>
          <w:p>
            <w:pPr>
              <w:spacing w:after="0"/>
              <w:rPr>
                <w:sz w:val="18"/>
                <w:szCs w:val="18"/>
                <w:color w:val="auto"/>
              </w:rPr>
            </w:pPr>
          </w:p>
        </w:tc>
        <w:tc>
          <w:tcPr>
            <w:tcW w:w="7320" w:type="dxa"/>
            <w:vAlign w:val="bottom"/>
            <w:gridSpan w:val="21"/>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Condensed Consolidated Statements of Cash Flows for the three months ended March 31, 2021 and</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2"/>
              </w:rPr>
              <w:t>8-9</w:t>
            </w:r>
          </w:p>
        </w:tc>
      </w:tr>
      <w:tr>
        <w:trPr>
          <w:trHeight w:val="196"/>
        </w:trPr>
        <w:tc>
          <w:tcPr>
            <w:tcW w:w="860" w:type="dxa"/>
            <w:vAlign w:val="bottom"/>
          </w:tcPr>
          <w:p>
            <w:pPr>
              <w:spacing w:after="0"/>
              <w:rPr>
                <w:sz w:val="17"/>
                <w:szCs w:val="17"/>
                <w:color w:val="auto"/>
              </w:rPr>
            </w:pPr>
          </w:p>
        </w:tc>
        <w:tc>
          <w:tcPr>
            <w:tcW w:w="7180" w:type="dxa"/>
            <w:vAlign w:val="bottom"/>
            <w:tcBorders>
              <w:top w:val="single" w:sz="8" w:color="0000FF"/>
            </w:tcBorders>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2020 (unaudited)</w:t>
              </w:r>
            </w:hyperlink>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
        </w:trPr>
        <w:tc>
          <w:tcPr>
            <w:tcW w:w="8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860" w:type="dxa"/>
            <w:vAlign w:val="bottom"/>
            <w:tcBorders>
              <w:bottom w:val="single" w:sz="8" w:color="CCEEFF"/>
            </w:tcBorders>
            <w:shd w:val="clear" w:color="auto" w:fill="CCEEFF"/>
          </w:tcPr>
          <w:p>
            <w:pPr>
              <w:spacing w:after="0"/>
              <w:rPr>
                <w:sz w:val="19"/>
                <w:szCs w:val="19"/>
                <w:color w:val="auto"/>
              </w:rPr>
            </w:pPr>
          </w:p>
        </w:tc>
        <w:tc>
          <w:tcPr>
            <w:tcW w:w="4860" w:type="dxa"/>
            <w:vAlign w:val="bottom"/>
            <w:tcBorders>
              <w:bottom w:val="single" w:sz="8" w:color="0000FF"/>
            </w:tcBorders>
            <w:gridSpan w:val="14"/>
            <w:shd w:val="clear" w:color="auto" w:fill="CCEEFF"/>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Condensed Consolidated Financial Statements (unaudited)</w:t>
              </w:r>
            </w:hyperlink>
          </w:p>
        </w:tc>
        <w:tc>
          <w:tcPr>
            <w:tcW w:w="2460" w:type="dxa"/>
            <w:vAlign w:val="bottom"/>
            <w:tcBorders>
              <w:bottom w:val="single" w:sz="8" w:color="CCEEFF"/>
            </w:tcBorders>
            <w:gridSpan w:val="7"/>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23"/>
        </w:trPr>
        <w:tc>
          <w:tcPr>
            <w:tcW w:w="860" w:type="dxa"/>
            <w:vAlign w:val="bottom"/>
          </w:tcPr>
          <w:p>
            <w:pPr>
              <w:ind w:left="20"/>
              <w:spacing w:after="0"/>
              <w:rPr>
                <w:sz w:val="20"/>
                <w:szCs w:val="20"/>
                <w:color w:val="auto"/>
              </w:rPr>
            </w:pPr>
            <w:r>
              <w:rPr>
                <w:rFonts w:ascii="Arial" w:cs="Arial" w:eastAsia="Arial" w:hAnsi="Arial"/>
                <w:sz w:val="18"/>
                <w:szCs w:val="18"/>
                <w:color w:val="auto"/>
              </w:rPr>
              <w:t>Item 2.</w:t>
            </w:r>
          </w:p>
        </w:tc>
        <w:tc>
          <w:tcPr>
            <w:tcW w:w="7320" w:type="dxa"/>
            <w:vAlign w:val="bottom"/>
            <w:gridSpan w:val="2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23"/>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Item 3.</w:t>
            </w:r>
          </w:p>
        </w:tc>
        <w:tc>
          <w:tcPr>
            <w:tcW w:w="4300" w:type="dxa"/>
            <w:vAlign w:val="bottom"/>
            <w:tcBorders>
              <w:top w:val="single" w:sz="8" w:color="0000FF"/>
              <w:bottom w:val="single" w:sz="8" w:color="0000FF"/>
            </w:tcBorders>
            <w:gridSpan w:val="12"/>
            <w:shd w:val="clear" w:color="auto" w:fill="CCEEFF"/>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FF"/>
              <w:bottom w:val="single" w:sz="8" w:color="CCEEFF"/>
            </w:tcBorders>
            <w:gridSpan w:val="4"/>
            <w:shd w:val="clear" w:color="auto" w:fill="CCEEFF"/>
          </w:tcPr>
          <w:p>
            <w:pPr>
              <w:spacing w:after="0"/>
              <w:rPr>
                <w:sz w:val="19"/>
                <w:szCs w:val="19"/>
                <w:color w:val="auto"/>
              </w:rPr>
            </w:pPr>
          </w:p>
        </w:tc>
        <w:tc>
          <w:tcPr>
            <w:tcW w:w="880" w:type="dxa"/>
            <w:vAlign w:val="bottom"/>
            <w:tcBorders>
              <w:bottom w:val="single" w:sz="8" w:color="CCEEFF"/>
            </w:tcBorders>
            <w:gridSpan w:val="5"/>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23"/>
        </w:trPr>
        <w:tc>
          <w:tcPr>
            <w:tcW w:w="860" w:type="dxa"/>
            <w:vAlign w:val="bottom"/>
          </w:tcPr>
          <w:p>
            <w:pPr>
              <w:ind w:left="20"/>
              <w:spacing w:after="0"/>
              <w:rPr>
                <w:sz w:val="20"/>
                <w:szCs w:val="20"/>
                <w:color w:val="auto"/>
              </w:rPr>
            </w:pPr>
            <w:r>
              <w:rPr>
                <w:rFonts w:ascii="Arial" w:cs="Arial" w:eastAsia="Arial" w:hAnsi="Arial"/>
                <w:sz w:val="18"/>
                <w:szCs w:val="18"/>
                <w:color w:val="auto"/>
              </w:rPr>
              <w:t>Item 4.</w:t>
            </w:r>
          </w:p>
        </w:tc>
        <w:tc>
          <w:tcPr>
            <w:tcW w:w="7320" w:type="dxa"/>
            <w:vAlign w:val="bottom"/>
            <w:gridSpan w:val="2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43"/>
        </w:trPr>
        <w:tc>
          <w:tcPr>
            <w:tcW w:w="860" w:type="dxa"/>
            <w:vAlign w:val="bottom"/>
            <w:shd w:val="clear" w:color="auto" w:fill="CCEEFF"/>
          </w:tcPr>
          <w:p>
            <w:pPr>
              <w:spacing w:after="0"/>
              <w:rPr>
                <w:sz w:val="21"/>
                <w:szCs w:val="21"/>
                <w:color w:val="auto"/>
              </w:rPr>
            </w:pPr>
          </w:p>
        </w:tc>
        <w:tc>
          <w:tcPr>
            <w:tcW w:w="580" w:type="dxa"/>
            <w:vAlign w:val="bottom"/>
            <w:tcBorders>
              <w:top w:val="single" w:sz="8" w:color="0000FF"/>
            </w:tcBorders>
            <w:shd w:val="clear" w:color="auto" w:fill="CCEEFF"/>
          </w:tcPr>
          <w:p>
            <w:pPr>
              <w:spacing w:after="0"/>
              <w:rPr>
                <w:sz w:val="21"/>
                <w:szCs w:val="21"/>
                <w:color w:val="auto"/>
              </w:rPr>
            </w:pPr>
          </w:p>
        </w:tc>
        <w:tc>
          <w:tcPr>
            <w:tcW w:w="320" w:type="dxa"/>
            <w:vAlign w:val="bottom"/>
            <w:tcBorders>
              <w:top w:val="single" w:sz="8" w:color="0000FF"/>
            </w:tcBorders>
            <w:shd w:val="clear" w:color="auto" w:fill="CCEEFF"/>
          </w:tcPr>
          <w:p>
            <w:pPr>
              <w:spacing w:after="0"/>
              <w:rPr>
                <w:sz w:val="21"/>
                <w:szCs w:val="21"/>
                <w:color w:val="auto"/>
              </w:rPr>
            </w:pPr>
          </w:p>
        </w:tc>
        <w:tc>
          <w:tcPr>
            <w:tcW w:w="180" w:type="dxa"/>
            <w:vAlign w:val="bottom"/>
            <w:tcBorders>
              <w:top w:val="single" w:sz="8" w:color="0000FF"/>
            </w:tcBorders>
            <w:shd w:val="clear" w:color="auto" w:fill="CCEEFF"/>
          </w:tcPr>
          <w:p>
            <w:pPr>
              <w:spacing w:after="0"/>
              <w:rPr>
                <w:sz w:val="21"/>
                <w:szCs w:val="21"/>
                <w:color w:val="auto"/>
              </w:rPr>
            </w:pPr>
          </w:p>
        </w:tc>
        <w:tc>
          <w:tcPr>
            <w:tcW w:w="140" w:type="dxa"/>
            <w:vAlign w:val="bottom"/>
            <w:tcBorders>
              <w:top w:val="single" w:sz="8" w:color="0000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20" w:type="dxa"/>
            <w:vAlign w:val="bottom"/>
            <w:tcBorders>
              <w:top w:val="single" w:sz="8" w:color="0000FF"/>
            </w:tcBorders>
            <w:shd w:val="clear" w:color="auto" w:fill="CCEEFF"/>
          </w:tcPr>
          <w:p>
            <w:pPr>
              <w:spacing w:after="0"/>
              <w:rPr>
                <w:sz w:val="21"/>
                <w:szCs w:val="21"/>
                <w:color w:val="auto"/>
              </w:rPr>
            </w:pPr>
          </w:p>
        </w:tc>
        <w:tc>
          <w:tcPr>
            <w:tcW w:w="160" w:type="dxa"/>
            <w:vAlign w:val="bottom"/>
            <w:tcBorders>
              <w:top w:val="single" w:sz="8" w:color="0000FF"/>
            </w:tcBorders>
            <w:shd w:val="clear" w:color="auto" w:fill="CCEEFF"/>
          </w:tcPr>
          <w:p>
            <w:pPr>
              <w:spacing w:after="0"/>
              <w:rPr>
                <w:sz w:val="21"/>
                <w:szCs w:val="21"/>
                <w:color w:val="auto"/>
              </w:rPr>
            </w:pPr>
          </w:p>
        </w:tc>
        <w:tc>
          <w:tcPr>
            <w:tcW w:w="280" w:type="dxa"/>
            <w:vAlign w:val="bottom"/>
            <w:tcBorders>
              <w:top w:val="single" w:sz="8" w:color="0000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0" w:type="dxa"/>
            <w:vAlign w:val="bottom"/>
            <w:gridSpan w:val="11"/>
            <w:shd w:val="clear" w:color="auto" w:fill="CCEEFF"/>
          </w:tcPr>
          <w:p>
            <w:pPr>
              <w:jc w:val="center"/>
              <w:ind w:right="2360"/>
              <w:spacing w:after="0"/>
              <w:rPr>
                <w:sz w:val="20"/>
                <w:szCs w:val="20"/>
                <w:color w:val="auto"/>
              </w:rPr>
            </w:pPr>
            <w:r>
              <w:rPr>
                <w:rFonts w:ascii="Arial" w:cs="Arial" w:eastAsia="Arial" w:hAnsi="Arial"/>
                <w:sz w:val="18"/>
                <w:szCs w:val="18"/>
                <w:b w:val="1"/>
                <w:bCs w:val="1"/>
                <w:color w:val="auto"/>
                <w:w w:val="97"/>
              </w:rPr>
              <w:t>Part II - Other Information</w:t>
            </w:r>
          </w:p>
        </w:tc>
        <w:tc>
          <w:tcPr>
            <w:tcW w:w="900" w:type="dxa"/>
            <w:vAlign w:val="bottom"/>
            <w:shd w:val="clear" w:color="auto" w:fill="CCEEFF"/>
          </w:tcPr>
          <w:p>
            <w:pPr>
              <w:spacing w:after="0"/>
              <w:rPr>
                <w:sz w:val="21"/>
                <w:szCs w:val="21"/>
                <w:color w:val="auto"/>
              </w:rPr>
            </w:pPr>
          </w:p>
        </w:tc>
      </w:tr>
      <w:tr>
        <w:trPr>
          <w:trHeight w:val="223"/>
        </w:trPr>
        <w:tc>
          <w:tcPr>
            <w:tcW w:w="860" w:type="dxa"/>
            <w:vAlign w:val="bottom"/>
          </w:tcPr>
          <w:p>
            <w:pPr>
              <w:ind w:left="20"/>
              <w:spacing w:after="0"/>
              <w:rPr>
                <w:sz w:val="20"/>
                <w:szCs w:val="20"/>
                <w:color w:val="auto"/>
              </w:rPr>
            </w:pPr>
            <w:r>
              <w:rPr>
                <w:rFonts w:ascii="Arial" w:cs="Arial" w:eastAsia="Arial" w:hAnsi="Arial"/>
                <w:sz w:val="18"/>
                <w:szCs w:val="18"/>
                <w:color w:val="auto"/>
              </w:rPr>
              <w:t>Item 1.</w:t>
            </w:r>
          </w:p>
        </w:tc>
        <w:tc>
          <w:tcPr>
            <w:tcW w:w="7320" w:type="dxa"/>
            <w:vAlign w:val="bottom"/>
            <w:gridSpan w:val="2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23"/>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shd w:val="clear" w:color="auto" w:fill="CCEEFF"/>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Risk Factors</w:t>
              </w:r>
            </w:hyperlink>
          </w:p>
        </w:tc>
        <w:tc>
          <w:tcPr>
            <w:tcW w:w="420" w:type="dxa"/>
            <w:vAlign w:val="bottom"/>
            <w:tcBorders>
              <w:top w:val="single" w:sz="8" w:color="0000FF"/>
              <w:bottom w:val="single" w:sz="8" w:color="CCEEFF"/>
            </w:tcBorders>
            <w:gridSpan w:val="4"/>
            <w:shd w:val="clear" w:color="auto" w:fill="CCEEFF"/>
          </w:tcPr>
          <w:p>
            <w:pPr>
              <w:spacing w:after="0"/>
              <w:rPr>
                <w:sz w:val="19"/>
                <w:szCs w:val="19"/>
                <w:color w:val="auto"/>
              </w:rPr>
            </w:pPr>
          </w:p>
        </w:tc>
        <w:tc>
          <w:tcPr>
            <w:tcW w:w="6000" w:type="dxa"/>
            <w:vAlign w:val="bottom"/>
            <w:tcBorders>
              <w:bottom w:val="single" w:sz="8" w:color="CCEEFF"/>
            </w:tcBorders>
            <w:gridSpan w:val="15"/>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r>
      <w:tr>
        <w:trPr>
          <w:trHeight w:val="223"/>
        </w:trPr>
        <w:tc>
          <w:tcPr>
            <w:tcW w:w="860" w:type="dxa"/>
            <w:vAlign w:val="bottom"/>
          </w:tcPr>
          <w:p>
            <w:pPr>
              <w:ind w:left="20"/>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3"/>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Unregistered Sales of Equity Securities and Use of Proceeds</w:t>
              </w:r>
            </w:hyperlink>
          </w:p>
        </w:tc>
        <w:tc>
          <w:tcPr>
            <w:tcW w:w="2980" w:type="dxa"/>
            <w:vAlign w:val="bottom"/>
            <w:gridSpan w:val="8"/>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23"/>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FF"/>
            </w:tcBorders>
            <w:gridSpan w:val="10"/>
            <w:shd w:val="clear" w:color="auto" w:fill="CCEEFF"/>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Defaults Upon Senior Securities</w:t>
              </w:r>
            </w:hyperlink>
          </w:p>
        </w:tc>
        <w:tc>
          <w:tcPr>
            <w:tcW w:w="5000" w:type="dxa"/>
            <w:vAlign w:val="bottom"/>
            <w:tcBorders>
              <w:bottom w:val="single" w:sz="8" w:color="CCEEFF"/>
            </w:tcBorders>
            <w:gridSpan w:val="11"/>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r>
      <w:tr>
        <w:trPr>
          <w:trHeight w:val="223"/>
        </w:trPr>
        <w:tc>
          <w:tcPr>
            <w:tcW w:w="860" w:type="dxa"/>
            <w:vAlign w:val="bottom"/>
          </w:tcPr>
          <w:p>
            <w:pPr>
              <w:ind w:left="20"/>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8"/>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Mine Safety Disclosures</w:t>
              </w:r>
            </w:hyperlink>
          </w:p>
        </w:tc>
        <w:tc>
          <w:tcPr>
            <w:tcW w:w="5560" w:type="dxa"/>
            <w:vAlign w:val="bottom"/>
            <w:gridSpan w:val="13"/>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223"/>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5.</w:t>
            </w:r>
          </w:p>
        </w:tc>
        <w:tc>
          <w:tcPr>
            <w:tcW w:w="7320" w:type="dxa"/>
            <w:vAlign w:val="bottom"/>
            <w:gridSpan w:val="21"/>
            <w:shd w:val="clear" w:color="auto" w:fill="CCEEFF"/>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r>
      <w:tr>
        <w:trPr>
          <w:trHeight w:val="216"/>
        </w:trPr>
        <w:tc>
          <w:tcPr>
            <w:tcW w:w="8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6020" w:type="dxa"/>
            <w:vAlign w:val="bottom"/>
            <w:tcBorders>
              <w:top w:val="single" w:sz="8" w:color="CCEEFF"/>
            </w:tcBorders>
            <w:gridSpan w:val="16"/>
          </w:tcPr>
          <w:p>
            <w:pPr>
              <w:spacing w:after="0"/>
              <w:rPr>
                <w:sz w:val="18"/>
                <w:szCs w:val="18"/>
                <w:color w:val="auto"/>
              </w:rPr>
            </w:pPr>
          </w:p>
        </w:tc>
        <w:tc>
          <w:tcPr>
            <w:tcW w:w="9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57</w:t>
            </w:r>
          </w:p>
        </w:tc>
      </w:tr>
      <w:tr>
        <w:trPr>
          <w:trHeight w:val="27"/>
        </w:trPr>
        <w:tc>
          <w:tcPr>
            <w:tcW w:w="8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8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0000FF"/>
            </w:tcBorders>
            <w:gridSpan w:val="3"/>
            <w:shd w:val="clear" w:color="auto" w:fill="CCEEFF"/>
          </w:tcPr>
          <w:p>
            <w:pPr>
              <w:spacing w:after="0"/>
              <w:rPr>
                <w:rFonts w:ascii="Arial" w:cs="Arial" w:eastAsia="Arial" w:hAnsi="Arial"/>
                <w:sz w:val="18"/>
                <w:szCs w:val="18"/>
                <w:color w:val="0000EE"/>
                <w:w w:val="85"/>
              </w:rPr>
            </w:pPr>
            <w:hyperlink w:anchor="page59">
              <w:r>
                <w:rPr>
                  <w:rFonts w:ascii="Arial" w:cs="Arial" w:eastAsia="Arial" w:hAnsi="Arial"/>
                  <w:sz w:val="18"/>
                  <w:szCs w:val="18"/>
                  <w:color w:val="0000EE"/>
                  <w:w w:val="85"/>
                </w:rPr>
                <w:t>Signature Page</w:t>
              </w:r>
            </w:hyperlink>
          </w:p>
        </w:tc>
        <w:tc>
          <w:tcPr>
            <w:tcW w:w="6240" w:type="dxa"/>
            <w:vAlign w:val="bottom"/>
            <w:tcBorders>
              <w:bottom w:val="single" w:sz="8" w:color="CCEEFF"/>
            </w:tcBorders>
            <w:gridSpan w:val="18"/>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r>
    </w:tbl>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57607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118"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0"/>
          <w:szCs w:val="20"/>
          <w:color w:val="auto"/>
        </w:rPr>
        <w:t>SECURITY NATIONAL FINANCIAL CORPORATION</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AND SUBSIDIARIES</w:t>
      </w:r>
    </w:p>
    <w:p>
      <w:pPr>
        <w:jc w:val="center"/>
        <w:ind w:right="79"/>
        <w:spacing w:after="0"/>
        <w:rPr>
          <w:sz w:val="20"/>
          <w:szCs w:val="20"/>
          <w:color w:val="auto"/>
        </w:rPr>
      </w:pPr>
      <w:r>
        <w:rPr>
          <w:rFonts w:ascii="Arial" w:cs="Arial" w:eastAsia="Arial" w:hAnsi="Arial"/>
          <w:sz w:val="20"/>
          <w:szCs w:val="20"/>
          <w:color w:val="auto"/>
        </w:rPr>
        <w:t>CONDENSED CONSOLIDATED BALANCE SHEETS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40" w:type="dxa"/>
            <w:vAlign w:val="bottom"/>
          </w:tcPr>
          <w:p>
            <w:pPr>
              <w:spacing w:after="0"/>
              <w:rPr>
                <w:sz w:val="22"/>
                <w:szCs w:val="22"/>
                <w:color w:val="auto"/>
              </w:rPr>
            </w:pPr>
          </w:p>
        </w:tc>
        <w:tc>
          <w:tcPr>
            <w:tcW w:w="5020" w:type="dxa"/>
            <w:vAlign w:val="bottom"/>
          </w:tcPr>
          <w:p>
            <w:pPr>
              <w:ind w:left="2440"/>
              <w:spacing w:after="0"/>
              <w:rPr>
                <w:sz w:val="20"/>
                <w:szCs w:val="20"/>
                <w:color w:val="auto"/>
              </w:rPr>
            </w:pPr>
            <w:r>
              <w:rPr>
                <w:rFonts w:ascii="Arial" w:cs="Arial" w:eastAsia="Arial" w:hAnsi="Arial"/>
                <w:sz w:val="20"/>
                <w:szCs w:val="20"/>
                <w:b w:val="1"/>
                <w:bCs w:val="1"/>
                <w:color w:val="auto"/>
                <w:w w:val="95"/>
              </w:rPr>
              <w:t xml:space="preserve">Part I </w:t>
            </w:r>
            <w:r>
              <w:rPr>
                <w:rFonts w:ascii="Arial" w:cs="Arial" w:eastAsia="Arial" w:hAnsi="Arial"/>
                <w:sz w:val="14"/>
                <w:szCs w:val="14"/>
                <w:b w:val="1"/>
                <w:bCs w:val="1"/>
                <w:color w:val="auto"/>
                <w:w w:val="95"/>
              </w:rPr>
              <w:t>-</w:t>
            </w:r>
            <w:r>
              <w:rPr>
                <w:rFonts w:ascii="Arial" w:cs="Arial" w:eastAsia="Arial" w:hAnsi="Arial"/>
                <w:sz w:val="20"/>
                <w:szCs w:val="20"/>
                <w:b w:val="1"/>
                <w:bCs w:val="1"/>
                <w:color w:val="auto"/>
                <w:w w:val="95"/>
              </w:rPr>
              <w:t xml:space="preserve"> Financial Information</w:t>
            </w: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20"/>
                <w:szCs w:val="20"/>
                <w:b w:val="1"/>
                <w:bCs w:val="1"/>
                <w:color w:val="auto"/>
              </w:rPr>
              <w:t>Item 1.</w:t>
            </w:r>
          </w:p>
        </w:tc>
        <w:tc>
          <w:tcPr>
            <w:tcW w:w="5020" w:type="dxa"/>
            <w:vAlign w:val="bottom"/>
          </w:tcPr>
          <w:p>
            <w:pPr>
              <w:ind w:left="60"/>
              <w:spacing w:after="0"/>
              <w:rPr>
                <w:sz w:val="20"/>
                <w:szCs w:val="20"/>
                <w:color w:val="auto"/>
              </w:rPr>
            </w:pPr>
            <w:r>
              <w:rPr>
                <w:rFonts w:ascii="Arial" w:cs="Arial" w:eastAsia="Arial" w:hAnsi="Arial"/>
                <w:sz w:val="20"/>
                <w:szCs w:val="20"/>
                <w:b w:val="1"/>
                <w:bCs w:val="1"/>
                <w:color w:val="auto"/>
              </w:rPr>
              <w:t>Financial Statements.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20"/>
                <w:szCs w:val="20"/>
                <w:color w:val="auto"/>
                <w:w w:val="91"/>
              </w:rPr>
              <w:t>March 31</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4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Assets</w:t>
            </w:r>
          </w:p>
        </w:tc>
        <w:tc>
          <w:tcPr>
            <w:tcW w:w="5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center"/>
              <w:ind w:right="161"/>
              <w:spacing w:after="0"/>
              <w:rPr>
                <w:sz w:val="20"/>
                <w:szCs w:val="20"/>
                <w:color w:val="auto"/>
              </w:rPr>
            </w:pPr>
            <w:r>
              <w:rPr>
                <w:rFonts w:ascii="Arial" w:cs="Arial" w:eastAsia="Arial" w:hAnsi="Arial"/>
                <w:sz w:val="20"/>
                <w:szCs w:val="20"/>
                <w:color w:val="auto"/>
                <w:w w:val="89"/>
              </w:rPr>
              <w:t>2021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01"/>
              <w:spacing w:after="0"/>
              <w:rPr>
                <w:sz w:val="20"/>
                <w:szCs w:val="20"/>
                <w:color w:val="auto"/>
              </w:rPr>
            </w:pPr>
            <w:r>
              <w:rPr>
                <w:rFonts w:ascii="Arial" w:cs="Arial" w:eastAsia="Arial" w:hAnsi="Arial"/>
                <w:sz w:val="20"/>
                <w:szCs w:val="20"/>
                <w:color w:val="auto"/>
                <w:w w:val="89"/>
              </w:rPr>
              <w:t>December 31</w:t>
            </w:r>
          </w:p>
        </w:tc>
        <w:tc>
          <w:tcPr>
            <w:tcW w:w="0" w:type="dxa"/>
            <w:vAlign w:val="bottom"/>
          </w:tcPr>
          <w:p>
            <w:pPr>
              <w:spacing w:after="0"/>
              <w:rPr>
                <w:sz w:val="1"/>
                <w:szCs w:val="1"/>
                <w:color w:val="auto"/>
              </w:rPr>
            </w:pPr>
          </w:p>
        </w:tc>
      </w:tr>
      <w:tr>
        <w:trPr>
          <w:trHeight w:val="255"/>
        </w:trPr>
        <w:tc>
          <w:tcPr>
            <w:tcW w:w="840" w:type="dxa"/>
            <w:vAlign w:val="bottom"/>
            <w:vMerge w:val="continue"/>
          </w:tcPr>
          <w:p>
            <w:pPr>
              <w:spacing w:after="0"/>
              <w:rPr>
                <w:sz w:val="22"/>
                <w:szCs w:val="22"/>
                <w:color w:val="auto"/>
              </w:rPr>
            </w:pPr>
          </w:p>
        </w:tc>
        <w:tc>
          <w:tcPr>
            <w:tcW w:w="5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20"/>
                <w:szCs w:val="20"/>
                <w:color w:val="auto"/>
                <w:w w:val="91"/>
              </w:rPr>
              <w:t>(Unaudited)</w:t>
            </w:r>
          </w:p>
        </w:tc>
        <w:tc>
          <w:tcPr>
            <w:tcW w:w="140" w:type="dxa"/>
            <w:vAlign w:val="bottom"/>
          </w:tcPr>
          <w:p>
            <w:pPr>
              <w:spacing w:after="0"/>
              <w:rPr>
                <w:sz w:val="22"/>
                <w:szCs w:val="22"/>
                <w:color w:val="auto"/>
              </w:rPr>
            </w:pPr>
          </w:p>
        </w:tc>
        <w:tc>
          <w:tcPr>
            <w:tcW w:w="1300" w:type="dxa"/>
            <w:vAlign w:val="bottom"/>
          </w:tcPr>
          <w:p>
            <w:pPr>
              <w:jc w:val="right"/>
              <w:ind w:right="421"/>
              <w:spacing w:after="0"/>
              <w:rPr>
                <w:sz w:val="20"/>
                <w:szCs w:val="20"/>
                <w:color w:val="auto"/>
              </w:rPr>
            </w:pPr>
            <w:r>
              <w:rPr>
                <w:rFonts w:ascii="Arial" w:cs="Arial" w:eastAsia="Arial" w:hAnsi="Arial"/>
                <w:sz w:val="20"/>
                <w:szCs w:val="20"/>
                <w:color w:val="auto"/>
              </w:rPr>
              <w:t>2020</w:t>
            </w:r>
          </w:p>
        </w:tc>
        <w:tc>
          <w:tcPr>
            <w:tcW w:w="0" w:type="dxa"/>
            <w:vAlign w:val="bottom"/>
          </w:tcPr>
          <w:p>
            <w:pPr>
              <w:spacing w:after="0"/>
              <w:rPr>
                <w:sz w:val="1"/>
                <w:szCs w:val="1"/>
                <w:color w:val="auto"/>
              </w:rPr>
            </w:pPr>
          </w:p>
        </w:tc>
      </w:tr>
      <w:tr>
        <w:trPr>
          <w:trHeight w:val="255"/>
        </w:trPr>
        <w:tc>
          <w:tcPr>
            <w:tcW w:w="5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Investments:</w:t>
            </w:r>
          </w:p>
        </w:tc>
        <w:tc>
          <w:tcPr>
            <w:tcW w:w="26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5860" w:type="dxa"/>
            <w:vAlign w:val="bottom"/>
            <w:gridSpan w:val="2"/>
          </w:tcPr>
          <w:p>
            <w:pPr>
              <w:ind w:left="180"/>
              <w:spacing w:after="0" w:line="227" w:lineRule="exact"/>
              <w:rPr>
                <w:sz w:val="20"/>
                <w:szCs w:val="20"/>
                <w:color w:val="auto"/>
              </w:rPr>
            </w:pPr>
            <w:r>
              <w:rPr>
                <w:rFonts w:ascii="Arial" w:cs="Arial" w:eastAsia="Arial" w:hAnsi="Arial"/>
                <w:sz w:val="20"/>
                <w:szCs w:val="20"/>
                <w:color w:val="auto"/>
                <w:w w:val="96"/>
              </w:rPr>
              <w:t>Fixed maturity securities, available for sale, at estimated fair value</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320"/>
              <w:spacing w:after="0"/>
              <w:rPr>
                <w:sz w:val="20"/>
                <w:szCs w:val="20"/>
                <w:color w:val="auto"/>
              </w:rPr>
            </w:pPr>
            <w:r>
              <w:rPr>
                <w:rFonts w:ascii="Arial" w:cs="Arial" w:eastAsia="Arial" w:hAnsi="Arial"/>
                <w:sz w:val="20"/>
                <w:szCs w:val="20"/>
                <w:color w:val="auto"/>
                <w:w w:val="96"/>
              </w:rPr>
              <w:t>(amortized cost of $256,894,421 and $265,150,484 for 2021 and</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40" w:type="dxa"/>
            <w:vAlign w:val="bottom"/>
          </w:tcPr>
          <w:p>
            <w:pPr>
              <w:ind w:left="320"/>
              <w:spacing w:after="0"/>
              <w:rPr>
                <w:sz w:val="20"/>
                <w:szCs w:val="20"/>
                <w:color w:val="auto"/>
              </w:rPr>
            </w:pPr>
            <w:r>
              <w:rPr>
                <w:rFonts w:ascii="Arial" w:cs="Arial" w:eastAsia="Arial" w:hAnsi="Arial"/>
                <w:sz w:val="20"/>
                <w:szCs w:val="20"/>
                <w:color w:val="auto"/>
                <w:w w:val="97"/>
              </w:rPr>
              <w:t>2020)</w:t>
            </w:r>
          </w:p>
        </w:tc>
        <w:tc>
          <w:tcPr>
            <w:tcW w:w="50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279,550,528</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294,656,679</w:t>
            </w:r>
          </w:p>
        </w:tc>
        <w:tc>
          <w:tcPr>
            <w:tcW w:w="0" w:type="dxa"/>
            <w:vAlign w:val="bottom"/>
          </w:tcPr>
          <w:p>
            <w:pPr>
              <w:spacing w:after="0"/>
              <w:rPr>
                <w:sz w:val="1"/>
                <w:szCs w:val="1"/>
                <w:color w:val="auto"/>
              </w:rPr>
            </w:pPr>
          </w:p>
        </w:tc>
      </w:tr>
      <w:tr>
        <w:trPr>
          <w:trHeight w:val="231"/>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Equity securities at estimated fair value (cost of $8,913,275 and</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860" w:type="dxa"/>
            <w:vAlign w:val="bottom"/>
            <w:gridSpan w:val="2"/>
            <w:shd w:val="clear" w:color="auto" w:fill="CCEEFF"/>
          </w:tcPr>
          <w:p>
            <w:pPr>
              <w:ind w:left="320"/>
              <w:spacing w:after="0"/>
              <w:rPr>
                <w:sz w:val="20"/>
                <w:szCs w:val="20"/>
                <w:color w:val="auto"/>
              </w:rPr>
            </w:pPr>
            <w:r>
              <w:rPr>
                <w:rFonts w:ascii="Arial" w:cs="Arial" w:eastAsia="Arial" w:hAnsi="Arial"/>
                <w:sz w:val="20"/>
                <w:szCs w:val="20"/>
                <w:color w:val="auto"/>
              </w:rPr>
              <w:t>$9,698,490 for 2021 and 2020)</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11,154,495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11,324,239</w:t>
            </w:r>
          </w:p>
        </w:tc>
        <w:tc>
          <w:tcPr>
            <w:tcW w:w="0" w:type="dxa"/>
            <w:vAlign w:val="bottom"/>
          </w:tcPr>
          <w:p>
            <w:pPr>
              <w:spacing w:after="0"/>
              <w:rPr>
                <w:sz w:val="1"/>
                <w:szCs w:val="1"/>
                <w:color w:val="auto"/>
              </w:rPr>
            </w:pPr>
          </w:p>
        </w:tc>
      </w:tr>
      <w:tr>
        <w:trPr>
          <w:trHeight w:val="226"/>
        </w:trPr>
        <w:tc>
          <w:tcPr>
            <w:tcW w:w="5860" w:type="dxa"/>
            <w:vAlign w:val="bottom"/>
            <w:gridSpan w:val="2"/>
          </w:tcPr>
          <w:p>
            <w:pPr>
              <w:ind w:left="180"/>
              <w:spacing w:after="0" w:line="227" w:lineRule="exact"/>
              <w:rPr>
                <w:sz w:val="20"/>
                <w:szCs w:val="20"/>
                <w:color w:val="auto"/>
              </w:rPr>
            </w:pPr>
            <w:r>
              <w:rPr>
                <w:rFonts w:ascii="Arial" w:cs="Arial" w:eastAsia="Arial" w:hAnsi="Arial"/>
                <w:sz w:val="20"/>
                <w:szCs w:val="20"/>
                <w:color w:val="auto"/>
                <w:w w:val="92"/>
              </w:rPr>
              <w:t>Mortgage loans held for investment (net of allowances for loan losses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60" w:type="dxa"/>
            <w:vAlign w:val="bottom"/>
            <w:gridSpan w:val="2"/>
          </w:tcPr>
          <w:p>
            <w:pPr>
              <w:ind w:left="320"/>
              <w:spacing w:after="0"/>
              <w:rPr>
                <w:sz w:val="20"/>
                <w:szCs w:val="20"/>
                <w:color w:val="auto"/>
              </w:rPr>
            </w:pPr>
            <w:r>
              <w:rPr>
                <w:rFonts w:ascii="Arial" w:cs="Arial" w:eastAsia="Arial" w:hAnsi="Arial"/>
                <w:sz w:val="20"/>
                <w:szCs w:val="20"/>
                <w:color w:val="auto"/>
              </w:rPr>
              <w:t>of $1,897,155 and $2,005,127 for 2021 and 2020)</w:t>
            </w:r>
          </w:p>
        </w:tc>
        <w:tc>
          <w:tcPr>
            <w:tcW w:w="260" w:type="dxa"/>
            <w:vAlign w:val="bottom"/>
          </w:tcPr>
          <w:p>
            <w:pPr>
              <w:spacing w:after="0"/>
              <w:rPr>
                <w:sz w:val="22"/>
                <w:szCs w:val="22"/>
                <w:color w:val="auto"/>
              </w:rPr>
            </w:pP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244,951,952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249,343,936</w:t>
            </w:r>
          </w:p>
        </w:tc>
        <w:tc>
          <w:tcPr>
            <w:tcW w:w="0" w:type="dxa"/>
            <w:vAlign w:val="bottom"/>
          </w:tcPr>
          <w:p>
            <w:pPr>
              <w:spacing w:after="0"/>
              <w:rPr>
                <w:sz w:val="1"/>
                <w:szCs w:val="1"/>
                <w:color w:val="auto"/>
              </w:rPr>
            </w:pPr>
          </w:p>
        </w:tc>
      </w:tr>
      <w:tr>
        <w:trPr>
          <w:trHeight w:val="231"/>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95"/>
              </w:rPr>
              <w:t>Real estate held for investment (net of accumulated depreciation of</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860" w:type="dxa"/>
            <w:vAlign w:val="bottom"/>
            <w:gridSpan w:val="2"/>
            <w:shd w:val="clear" w:color="auto" w:fill="CCEEFF"/>
          </w:tcPr>
          <w:p>
            <w:pPr>
              <w:ind w:left="320"/>
              <w:spacing w:after="0"/>
              <w:rPr>
                <w:sz w:val="20"/>
                <w:szCs w:val="20"/>
                <w:color w:val="auto"/>
              </w:rPr>
            </w:pPr>
            <w:r>
              <w:rPr>
                <w:rFonts w:ascii="Arial" w:cs="Arial" w:eastAsia="Arial" w:hAnsi="Arial"/>
                <w:sz w:val="20"/>
                <w:szCs w:val="20"/>
                <w:color w:val="auto"/>
              </w:rPr>
              <w:t>$14,473,417 and $13,800,973 for 2021 and 2020)</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157,040,536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131,684,453</w:t>
            </w:r>
          </w:p>
        </w:tc>
        <w:tc>
          <w:tcPr>
            <w:tcW w:w="0" w:type="dxa"/>
            <w:vAlign w:val="bottom"/>
          </w:tcPr>
          <w:p>
            <w:pPr>
              <w:spacing w:after="0"/>
              <w:rPr>
                <w:sz w:val="1"/>
                <w:szCs w:val="1"/>
                <w:color w:val="auto"/>
              </w:rPr>
            </w:pPr>
          </w:p>
        </w:tc>
      </w:tr>
      <w:tr>
        <w:trPr>
          <w:trHeight w:val="253"/>
        </w:trPr>
        <w:tc>
          <w:tcPr>
            <w:tcW w:w="5860" w:type="dxa"/>
            <w:vAlign w:val="bottom"/>
            <w:gridSpan w:val="2"/>
          </w:tcPr>
          <w:p>
            <w:pPr>
              <w:ind w:left="180"/>
              <w:spacing w:after="0"/>
              <w:rPr>
                <w:sz w:val="20"/>
                <w:szCs w:val="20"/>
                <w:color w:val="auto"/>
              </w:rPr>
            </w:pPr>
            <w:r>
              <w:rPr>
                <w:rFonts w:ascii="Arial" w:cs="Arial" w:eastAsia="Arial" w:hAnsi="Arial"/>
                <w:sz w:val="20"/>
                <w:szCs w:val="20"/>
                <w:color w:val="auto"/>
              </w:rPr>
              <w:t>Real estate held for sale</w:t>
            </w:r>
          </w:p>
        </w:tc>
        <w:tc>
          <w:tcPr>
            <w:tcW w:w="260" w:type="dxa"/>
            <w:vAlign w:val="bottom"/>
          </w:tcPr>
          <w:p>
            <w:pPr>
              <w:spacing w:after="0"/>
              <w:rPr>
                <w:sz w:val="22"/>
                <w:szCs w:val="22"/>
                <w:color w:val="auto"/>
              </w:rPr>
            </w:pP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5,556,866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7,878,807</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96"/>
              </w:rPr>
              <w:t>Other investments and policy loans (net of allowances for doubtful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860" w:type="dxa"/>
            <w:vAlign w:val="bottom"/>
            <w:gridSpan w:val="2"/>
            <w:shd w:val="clear" w:color="auto" w:fill="CCEEFF"/>
          </w:tcPr>
          <w:p>
            <w:pPr>
              <w:ind w:left="320"/>
              <w:spacing w:after="0"/>
              <w:rPr>
                <w:sz w:val="20"/>
                <w:szCs w:val="20"/>
                <w:color w:val="auto"/>
              </w:rPr>
            </w:pPr>
            <w:r>
              <w:rPr>
                <w:rFonts w:ascii="Arial" w:cs="Arial" w:eastAsia="Arial" w:hAnsi="Arial"/>
                <w:sz w:val="20"/>
                <w:szCs w:val="20"/>
                <w:color w:val="auto"/>
              </w:rPr>
              <w:t>accounts of $1,662,394 and $1,645,475 for 2021 and 2020)</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74,690,150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73,696,661</w:t>
            </w:r>
          </w:p>
        </w:tc>
        <w:tc>
          <w:tcPr>
            <w:tcW w:w="0" w:type="dxa"/>
            <w:vAlign w:val="bottom"/>
          </w:tcPr>
          <w:p>
            <w:pPr>
              <w:spacing w:after="0"/>
              <w:rPr>
                <w:sz w:val="1"/>
                <w:szCs w:val="1"/>
                <w:color w:val="auto"/>
              </w:rPr>
            </w:pPr>
          </w:p>
        </w:tc>
      </w:tr>
      <w:tr>
        <w:trPr>
          <w:trHeight w:val="253"/>
        </w:trPr>
        <w:tc>
          <w:tcPr>
            <w:tcW w:w="5860" w:type="dxa"/>
            <w:vAlign w:val="bottom"/>
            <w:tcBorders>
              <w:bottom w:val="single" w:sz="8" w:color="CCEEFF"/>
            </w:tcBorders>
            <w:gridSpan w:val="2"/>
          </w:tcPr>
          <w:p>
            <w:pPr>
              <w:ind w:left="180"/>
              <w:spacing w:after="0"/>
              <w:rPr>
                <w:sz w:val="20"/>
                <w:szCs w:val="20"/>
                <w:color w:val="auto"/>
              </w:rPr>
            </w:pPr>
            <w:r>
              <w:rPr>
                <w:rFonts w:ascii="Arial" w:cs="Arial" w:eastAsia="Arial" w:hAnsi="Arial"/>
                <w:sz w:val="20"/>
                <w:szCs w:val="20"/>
                <w:color w:val="auto"/>
              </w:rPr>
              <w:t>Accrued investment income</w:t>
            </w: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6,266,403</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5,360,523</w:t>
            </w:r>
          </w:p>
        </w:tc>
        <w:tc>
          <w:tcPr>
            <w:tcW w:w="0" w:type="dxa"/>
            <w:vAlign w:val="bottom"/>
          </w:tcPr>
          <w:p>
            <w:pPr>
              <w:spacing w:after="0"/>
              <w:rPr>
                <w:sz w:val="1"/>
                <w:szCs w:val="1"/>
                <w:color w:val="auto"/>
              </w:rPr>
            </w:pPr>
          </w:p>
        </w:tc>
      </w:tr>
      <w:tr>
        <w:trPr>
          <w:trHeight w:val="25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Total investments</w:t>
            </w:r>
          </w:p>
        </w:tc>
        <w:tc>
          <w:tcPr>
            <w:tcW w:w="2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779,210,930</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773,945,298</w:t>
            </w:r>
          </w:p>
        </w:tc>
        <w:tc>
          <w:tcPr>
            <w:tcW w:w="0" w:type="dxa"/>
            <w:vAlign w:val="bottom"/>
          </w:tcPr>
          <w:p>
            <w:pPr>
              <w:spacing w:after="0"/>
              <w:rPr>
                <w:sz w:val="1"/>
                <w:szCs w:val="1"/>
                <w:color w:val="auto"/>
              </w:rPr>
            </w:pPr>
          </w:p>
        </w:tc>
      </w:tr>
      <w:tr>
        <w:trPr>
          <w:trHeight w:val="247"/>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Cash and cash equivalents</w:t>
            </w:r>
          </w:p>
        </w:tc>
        <w:tc>
          <w:tcPr>
            <w:tcW w:w="260" w:type="dxa"/>
            <w:vAlign w:val="bottom"/>
          </w:tcPr>
          <w:p>
            <w:pPr>
              <w:spacing w:after="0"/>
              <w:rPr>
                <w:sz w:val="21"/>
                <w:szCs w:val="21"/>
                <w:color w:val="auto"/>
              </w:rPr>
            </w:pP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144,159,566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106,219,429</w:t>
            </w:r>
          </w:p>
        </w:tc>
        <w:tc>
          <w:tcPr>
            <w:tcW w:w="0" w:type="dxa"/>
            <w:vAlign w:val="bottom"/>
          </w:tcPr>
          <w:p>
            <w:pPr>
              <w:spacing w:after="0"/>
              <w:rPr>
                <w:sz w:val="1"/>
                <w:szCs w:val="1"/>
                <w:color w:val="auto"/>
              </w:rPr>
            </w:pPr>
          </w:p>
        </w:tc>
      </w:tr>
      <w:tr>
        <w:trPr>
          <w:trHeight w:val="26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Loans held for sale at estimated fair value</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304,030,372</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422,772,418</w:t>
            </w:r>
          </w:p>
        </w:tc>
        <w:tc>
          <w:tcPr>
            <w:tcW w:w="0" w:type="dxa"/>
            <w:vAlign w:val="bottom"/>
          </w:tcPr>
          <w:p>
            <w:pPr>
              <w:spacing w:after="0"/>
              <w:rPr>
                <w:sz w:val="1"/>
                <w:szCs w:val="1"/>
                <w:color w:val="auto"/>
              </w:rPr>
            </w:pPr>
          </w:p>
        </w:tc>
      </w:tr>
      <w:tr>
        <w:trPr>
          <w:trHeight w:val="226"/>
        </w:trPr>
        <w:tc>
          <w:tcPr>
            <w:tcW w:w="5860" w:type="dxa"/>
            <w:vAlign w:val="bottom"/>
            <w:gridSpan w:val="2"/>
          </w:tcPr>
          <w:p>
            <w:pPr>
              <w:ind w:left="20"/>
              <w:spacing w:after="0" w:line="227" w:lineRule="exact"/>
              <w:rPr>
                <w:sz w:val="20"/>
                <w:szCs w:val="20"/>
                <w:color w:val="auto"/>
              </w:rPr>
            </w:pPr>
            <w:r>
              <w:rPr>
                <w:rFonts w:ascii="Arial" w:cs="Arial" w:eastAsia="Arial" w:hAnsi="Arial"/>
                <w:sz w:val="20"/>
                <w:szCs w:val="20"/>
                <w:color w:val="auto"/>
                <w:w w:val="97"/>
              </w:rPr>
              <w:t>Receivables (net of allowances for doubtful accounts of $1,698,691</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and $1,685,382 for 2021 and 2020)</w:t>
            </w:r>
          </w:p>
        </w:tc>
        <w:tc>
          <w:tcPr>
            <w:tcW w:w="260" w:type="dxa"/>
            <w:vAlign w:val="bottom"/>
          </w:tcPr>
          <w:p>
            <w:pPr>
              <w:spacing w:after="0"/>
              <w:rPr>
                <w:sz w:val="22"/>
                <w:szCs w:val="22"/>
                <w:color w:val="auto"/>
              </w:rPr>
            </w:pP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13,970,177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10,899,207</w:t>
            </w:r>
          </w:p>
        </w:tc>
        <w:tc>
          <w:tcPr>
            <w:tcW w:w="0" w:type="dxa"/>
            <w:vAlign w:val="bottom"/>
          </w:tcPr>
          <w:p>
            <w:pPr>
              <w:spacing w:after="0"/>
              <w:rPr>
                <w:sz w:val="1"/>
                <w:szCs w:val="1"/>
                <w:color w:val="auto"/>
              </w:rPr>
            </w:pPr>
          </w:p>
        </w:tc>
      </w:tr>
      <w:tr>
        <w:trPr>
          <w:trHeight w:val="231"/>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w w:val="95"/>
              </w:rPr>
              <w:t>Restricted assets (including $4,160,721 and $3,989,415 for 2021 and</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2020 at estimated fair value)</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16,494,477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16,150,036</w:t>
            </w:r>
          </w:p>
        </w:tc>
        <w:tc>
          <w:tcPr>
            <w:tcW w:w="0" w:type="dxa"/>
            <w:vAlign w:val="bottom"/>
          </w:tcPr>
          <w:p>
            <w:pPr>
              <w:spacing w:after="0"/>
              <w:rPr>
                <w:sz w:val="1"/>
                <w:szCs w:val="1"/>
                <w:color w:val="auto"/>
              </w:rPr>
            </w:pPr>
          </w:p>
        </w:tc>
      </w:tr>
      <w:tr>
        <w:trPr>
          <w:trHeight w:val="226"/>
        </w:trPr>
        <w:tc>
          <w:tcPr>
            <w:tcW w:w="5860" w:type="dxa"/>
            <w:vAlign w:val="bottom"/>
            <w:gridSpan w:val="2"/>
          </w:tcPr>
          <w:p>
            <w:pPr>
              <w:ind w:left="20"/>
              <w:spacing w:after="0" w:line="227" w:lineRule="exact"/>
              <w:rPr>
                <w:sz w:val="20"/>
                <w:szCs w:val="20"/>
                <w:color w:val="auto"/>
              </w:rPr>
            </w:pPr>
            <w:r>
              <w:rPr>
                <w:rFonts w:ascii="Arial" w:cs="Arial" w:eastAsia="Arial" w:hAnsi="Arial"/>
                <w:sz w:val="20"/>
                <w:szCs w:val="20"/>
                <w:color w:val="auto"/>
                <w:w w:val="95"/>
              </w:rPr>
              <w:t>Cemetery perpetual care trust investments (including $2,947,117 and</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$2,810,070 for 2021 and 2020 at estimated fair value)</w:t>
            </w:r>
          </w:p>
        </w:tc>
        <w:tc>
          <w:tcPr>
            <w:tcW w:w="260" w:type="dxa"/>
            <w:vAlign w:val="bottom"/>
          </w:tcPr>
          <w:p>
            <w:pPr>
              <w:spacing w:after="0"/>
              <w:rPr>
                <w:sz w:val="22"/>
                <w:szCs w:val="22"/>
                <w:color w:val="auto"/>
              </w:rPr>
            </w:pP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6,602,118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6,413,167</w:t>
            </w:r>
          </w:p>
        </w:tc>
        <w:tc>
          <w:tcPr>
            <w:tcW w:w="0" w:type="dxa"/>
            <w:vAlign w:val="bottom"/>
          </w:tcPr>
          <w:p>
            <w:pPr>
              <w:spacing w:after="0"/>
              <w:rPr>
                <w:sz w:val="1"/>
                <w:szCs w:val="1"/>
                <w:color w:val="auto"/>
              </w:rPr>
            </w:pPr>
          </w:p>
        </w:tc>
      </w:tr>
      <w:tr>
        <w:trPr>
          <w:trHeight w:val="261"/>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Receivable from reinsurers</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15,836,062</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15,569,156</w:t>
            </w:r>
          </w:p>
        </w:tc>
        <w:tc>
          <w:tcPr>
            <w:tcW w:w="0" w:type="dxa"/>
            <w:vAlign w:val="bottom"/>
          </w:tcPr>
          <w:p>
            <w:pPr>
              <w:spacing w:after="0"/>
              <w:rPr>
                <w:sz w:val="1"/>
                <w:szCs w:val="1"/>
                <w:color w:val="auto"/>
              </w:rPr>
            </w:pPr>
          </w:p>
        </w:tc>
      </w:tr>
      <w:tr>
        <w:trPr>
          <w:trHeight w:val="253"/>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Cemetery land and improvements</w:t>
            </w:r>
          </w:p>
        </w:tc>
        <w:tc>
          <w:tcPr>
            <w:tcW w:w="260" w:type="dxa"/>
            <w:vAlign w:val="bottom"/>
          </w:tcPr>
          <w:p>
            <w:pPr>
              <w:spacing w:after="0"/>
              <w:rPr>
                <w:sz w:val="22"/>
                <w:szCs w:val="22"/>
                <w:color w:val="auto"/>
              </w:rPr>
            </w:pP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8,524,629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8,761,436</w:t>
            </w:r>
          </w:p>
        </w:tc>
        <w:tc>
          <w:tcPr>
            <w:tcW w:w="0" w:type="dxa"/>
            <w:vAlign w:val="bottom"/>
          </w:tcPr>
          <w:p>
            <w:pPr>
              <w:spacing w:after="0"/>
              <w:rPr>
                <w:sz w:val="1"/>
                <w:szCs w:val="1"/>
                <w:color w:val="auto"/>
              </w:rPr>
            </w:pPr>
          </w:p>
        </w:tc>
      </w:tr>
      <w:tr>
        <w:trPr>
          <w:trHeight w:val="26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Deferred policy and pre-need contract acquisition costs</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101,695,734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100,075,276</w:t>
            </w:r>
          </w:p>
        </w:tc>
        <w:tc>
          <w:tcPr>
            <w:tcW w:w="0" w:type="dxa"/>
            <w:vAlign w:val="bottom"/>
          </w:tcPr>
          <w:p>
            <w:pPr>
              <w:spacing w:after="0"/>
              <w:rPr>
                <w:sz w:val="1"/>
                <w:szCs w:val="1"/>
                <w:color w:val="auto"/>
              </w:rPr>
            </w:pPr>
          </w:p>
        </w:tc>
      </w:tr>
      <w:tr>
        <w:trPr>
          <w:trHeight w:val="253"/>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Mortgage servicing rights, net</w:t>
            </w:r>
          </w:p>
        </w:tc>
        <w:tc>
          <w:tcPr>
            <w:tcW w:w="260" w:type="dxa"/>
            <w:vAlign w:val="bottom"/>
          </w:tcPr>
          <w:p>
            <w:pPr>
              <w:spacing w:after="0"/>
              <w:rPr>
                <w:sz w:val="22"/>
                <w:szCs w:val="22"/>
                <w:color w:val="auto"/>
              </w:rPr>
            </w:pP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42,779,361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35,210,516</w:t>
            </w:r>
          </w:p>
        </w:tc>
        <w:tc>
          <w:tcPr>
            <w:tcW w:w="0" w:type="dxa"/>
            <w:vAlign w:val="bottom"/>
          </w:tcPr>
          <w:p>
            <w:pPr>
              <w:spacing w:after="0"/>
              <w:rPr>
                <w:sz w:val="1"/>
                <w:szCs w:val="1"/>
                <w:color w:val="auto"/>
              </w:rPr>
            </w:pPr>
          </w:p>
        </w:tc>
      </w:tr>
      <w:tr>
        <w:trPr>
          <w:trHeight w:val="26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Property and equipment, net</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14,836,721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12,473,345</w:t>
            </w:r>
          </w:p>
        </w:tc>
        <w:tc>
          <w:tcPr>
            <w:tcW w:w="0" w:type="dxa"/>
            <w:vAlign w:val="bottom"/>
          </w:tcPr>
          <w:p>
            <w:pPr>
              <w:spacing w:after="0"/>
              <w:rPr>
                <w:sz w:val="1"/>
                <w:szCs w:val="1"/>
                <w:color w:val="auto"/>
              </w:rPr>
            </w:pPr>
          </w:p>
        </w:tc>
      </w:tr>
      <w:tr>
        <w:trPr>
          <w:trHeight w:val="253"/>
        </w:trPr>
        <w:tc>
          <w:tcPr>
            <w:tcW w:w="5860" w:type="dxa"/>
            <w:vAlign w:val="bottom"/>
            <w:gridSpan w:val="2"/>
          </w:tcPr>
          <w:p>
            <w:pPr>
              <w:ind w:left="20"/>
              <w:spacing w:after="0"/>
              <w:rPr>
                <w:sz w:val="20"/>
                <w:szCs w:val="20"/>
                <w:color w:val="auto"/>
              </w:rPr>
            </w:pPr>
            <w:r>
              <w:rPr>
                <w:rFonts w:ascii="Arial" w:cs="Arial" w:eastAsia="Arial" w:hAnsi="Arial"/>
                <w:sz w:val="20"/>
                <w:szCs w:val="20"/>
                <w:color w:val="auto"/>
              </w:rPr>
              <w:t>Value of business acquired</w:t>
            </w:r>
          </w:p>
        </w:tc>
        <w:tc>
          <w:tcPr>
            <w:tcW w:w="260" w:type="dxa"/>
            <w:vAlign w:val="bottom"/>
          </w:tcPr>
          <w:p>
            <w:pPr>
              <w:spacing w:after="0"/>
              <w:rPr>
                <w:sz w:val="22"/>
                <w:szCs w:val="22"/>
                <w:color w:val="auto"/>
              </w:rPr>
            </w:pP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8,748,055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8,955,249</w:t>
            </w:r>
          </w:p>
        </w:tc>
        <w:tc>
          <w:tcPr>
            <w:tcW w:w="0" w:type="dxa"/>
            <w:vAlign w:val="bottom"/>
          </w:tcPr>
          <w:p>
            <w:pPr>
              <w:spacing w:after="0"/>
              <w:rPr>
                <w:sz w:val="1"/>
                <w:szCs w:val="1"/>
                <w:color w:val="auto"/>
              </w:rPr>
            </w:pPr>
          </w:p>
        </w:tc>
      </w:tr>
      <w:tr>
        <w:trPr>
          <w:trHeight w:val="260"/>
        </w:trPr>
        <w:tc>
          <w:tcPr>
            <w:tcW w:w="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Goodwill</w:t>
            </w:r>
          </w:p>
        </w:tc>
        <w:tc>
          <w:tcPr>
            <w:tcW w:w="5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3,519,588</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3,519,588</w:t>
            </w: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20"/>
                <w:szCs w:val="20"/>
                <w:color w:val="auto"/>
              </w:rPr>
              <w:t>Other</w:t>
            </w:r>
          </w:p>
        </w:tc>
        <w:tc>
          <w:tcPr>
            <w:tcW w:w="5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27,819,736</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27,976,357</w:t>
            </w:r>
          </w:p>
        </w:tc>
        <w:tc>
          <w:tcPr>
            <w:tcW w:w="0" w:type="dxa"/>
            <w:vAlign w:val="bottom"/>
          </w:tcPr>
          <w:p>
            <w:pPr>
              <w:spacing w:after="0"/>
              <w:rPr>
                <w:sz w:val="1"/>
                <w:szCs w:val="1"/>
                <w:color w:val="auto"/>
              </w:rPr>
            </w:pPr>
          </w:p>
        </w:tc>
      </w:tr>
      <w:tr>
        <w:trPr>
          <w:trHeight w:val="256"/>
        </w:trPr>
        <w:tc>
          <w:tcPr>
            <w:tcW w:w="5860" w:type="dxa"/>
            <w:vAlign w:val="bottom"/>
            <w:gridSpan w:val="2"/>
          </w:tcPr>
          <w:p>
            <w:pPr>
              <w:ind w:left="20"/>
              <w:spacing w:after="0"/>
              <w:rPr>
                <w:sz w:val="20"/>
                <w:szCs w:val="20"/>
                <w:color w:val="auto"/>
              </w:rPr>
            </w:pPr>
            <w:r>
              <w:rPr>
                <w:rFonts w:ascii="Arial" w:cs="Arial" w:eastAsia="Arial" w:hAnsi="Arial"/>
                <w:sz w:val="20"/>
                <w:szCs w:val="20"/>
                <w:b w:val="1"/>
                <w:bCs w:val="1"/>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93"/>
              </w:rPr>
              <w:t>1,488,227,526</w:t>
            </w:r>
          </w:p>
        </w:tc>
        <w:tc>
          <w:tcPr>
            <w:tcW w:w="14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92"/>
              </w:rPr>
              <w:t>1,548,940,478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condensed consolidated financial statements (unaudited).</w:t>
      </w:r>
    </w:p>
    <w:p>
      <w:pPr>
        <w:spacing w:after="0" w:line="256"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57607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121" w:right="1440"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20"/>
          <w:szCs w:val="20"/>
          <w:color w:val="auto"/>
        </w:rPr>
        <w:t>SECURITY NATIONAL FINANCIAL CORPORATION</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AND SUBSIDIARIES</w:t>
      </w:r>
    </w:p>
    <w:p>
      <w:pPr>
        <w:jc w:val="center"/>
        <w:ind w:right="79"/>
        <w:spacing w:after="0"/>
        <w:rPr>
          <w:sz w:val="20"/>
          <w:szCs w:val="20"/>
          <w:color w:val="auto"/>
        </w:rPr>
      </w:pPr>
      <w:r>
        <w:rPr>
          <w:rFonts w:ascii="Arial" w:cs="Arial" w:eastAsia="Arial" w:hAnsi="Arial"/>
          <w:sz w:val="20"/>
          <w:szCs w:val="20"/>
          <w:color w:val="auto"/>
        </w:rPr>
        <w:t>CONDENSED CONSOLIDATED BALANCE SHEETS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March 31</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6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right="41"/>
              <w:spacing w:after="0"/>
              <w:rPr>
                <w:sz w:val="20"/>
                <w:szCs w:val="20"/>
                <w:color w:val="auto"/>
              </w:rPr>
            </w:pPr>
            <w:r>
              <w:rPr>
                <w:rFonts w:ascii="Arial" w:cs="Arial" w:eastAsia="Arial" w:hAnsi="Arial"/>
                <w:sz w:val="20"/>
                <w:szCs w:val="20"/>
                <w:color w:val="auto"/>
                <w:w w:val="89"/>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01"/>
              <w:spacing w:after="0"/>
              <w:rPr>
                <w:sz w:val="20"/>
                <w:szCs w:val="20"/>
                <w:color w:val="auto"/>
              </w:rPr>
            </w:pPr>
            <w:r>
              <w:rPr>
                <w:rFonts w:ascii="Arial" w:cs="Arial" w:eastAsia="Arial" w:hAnsi="Arial"/>
                <w:sz w:val="20"/>
                <w:szCs w:val="20"/>
                <w:color w:val="auto"/>
                <w:w w:val="89"/>
              </w:rPr>
              <w:t>December 31</w:t>
            </w:r>
          </w:p>
        </w:tc>
      </w:tr>
      <w:tr>
        <w:trPr>
          <w:trHeight w:val="255"/>
        </w:trPr>
        <w:tc>
          <w:tcPr>
            <w:tcW w:w="6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(Unaudited)</w:t>
            </w:r>
          </w:p>
        </w:tc>
        <w:tc>
          <w:tcPr>
            <w:tcW w:w="140" w:type="dxa"/>
            <w:vAlign w:val="bottom"/>
          </w:tcPr>
          <w:p>
            <w:pPr>
              <w:spacing w:after="0"/>
              <w:rPr>
                <w:sz w:val="22"/>
                <w:szCs w:val="22"/>
                <w:color w:val="auto"/>
              </w:rPr>
            </w:pPr>
          </w:p>
        </w:tc>
        <w:tc>
          <w:tcPr>
            <w:tcW w:w="1300" w:type="dxa"/>
            <w:vAlign w:val="bottom"/>
          </w:tcPr>
          <w:p>
            <w:pPr>
              <w:jc w:val="right"/>
              <w:ind w:right="421"/>
              <w:spacing w:after="0"/>
              <w:rPr>
                <w:sz w:val="20"/>
                <w:szCs w:val="20"/>
                <w:color w:val="auto"/>
              </w:rPr>
            </w:pPr>
            <w:r>
              <w:rPr>
                <w:rFonts w:ascii="Arial" w:cs="Arial" w:eastAsia="Arial" w:hAnsi="Arial"/>
                <w:sz w:val="20"/>
                <w:szCs w:val="20"/>
                <w:color w:val="auto"/>
              </w:rPr>
              <w:t>2020</w:t>
            </w:r>
          </w:p>
        </w:tc>
      </w:tr>
      <w:tr>
        <w:trPr>
          <w:trHeight w:val="255"/>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Liabilities and Stockholders' Equity</w:t>
            </w:r>
          </w:p>
        </w:tc>
        <w:tc>
          <w:tcPr>
            <w:tcW w:w="14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r>
      <w:tr>
        <w:trPr>
          <w:trHeight w:val="256"/>
        </w:trPr>
        <w:tc>
          <w:tcPr>
            <w:tcW w:w="6080" w:type="dxa"/>
            <w:vAlign w:val="bottom"/>
          </w:tcPr>
          <w:p>
            <w:pPr>
              <w:ind w:left="20"/>
              <w:spacing w:after="0"/>
              <w:rPr>
                <w:sz w:val="20"/>
                <w:szCs w:val="20"/>
                <w:color w:val="auto"/>
              </w:rPr>
            </w:pPr>
            <w:r>
              <w:rPr>
                <w:rFonts w:ascii="Arial" w:cs="Arial" w:eastAsia="Arial" w:hAnsi="Arial"/>
                <w:sz w:val="20"/>
                <w:szCs w:val="20"/>
                <w:b w:val="1"/>
                <w:bCs w:val="1"/>
                <w:color w:val="auto"/>
              </w:rPr>
              <w:t>Liabilities</w:t>
            </w: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7"/>
        </w:trPr>
        <w:tc>
          <w:tcPr>
            <w:tcW w:w="6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Future policy benefits and unpaid claims</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846,737,059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844,790,087</w:t>
            </w:r>
          </w:p>
        </w:tc>
      </w:tr>
      <w:tr>
        <w:trPr>
          <w:trHeight w:val="253"/>
        </w:trPr>
        <w:tc>
          <w:tcPr>
            <w:tcW w:w="6080" w:type="dxa"/>
            <w:vAlign w:val="bottom"/>
          </w:tcPr>
          <w:p>
            <w:pPr>
              <w:ind w:left="20"/>
              <w:spacing w:after="0"/>
              <w:rPr>
                <w:sz w:val="20"/>
                <w:szCs w:val="20"/>
                <w:color w:val="auto"/>
              </w:rPr>
            </w:pPr>
            <w:r>
              <w:rPr>
                <w:rFonts w:ascii="Arial" w:cs="Arial" w:eastAsia="Arial" w:hAnsi="Arial"/>
                <w:sz w:val="20"/>
                <w:szCs w:val="20"/>
                <w:color w:val="auto"/>
              </w:rPr>
              <w:t>Unearned premium reserve</w:t>
            </w:r>
          </w:p>
        </w:tc>
        <w:tc>
          <w:tcPr>
            <w:tcW w:w="14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3,265,505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3,328,623</w:t>
            </w:r>
          </w:p>
        </w:tc>
      </w:tr>
      <w:tr>
        <w:trPr>
          <w:trHeight w:val="260"/>
        </w:trPr>
        <w:tc>
          <w:tcPr>
            <w:tcW w:w="6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Bank and other loans payable</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245,973,378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297,824,368</w:t>
            </w:r>
          </w:p>
        </w:tc>
      </w:tr>
      <w:tr>
        <w:trPr>
          <w:trHeight w:val="253"/>
        </w:trPr>
        <w:tc>
          <w:tcPr>
            <w:tcW w:w="6080" w:type="dxa"/>
            <w:vAlign w:val="bottom"/>
          </w:tcPr>
          <w:p>
            <w:pPr>
              <w:ind w:left="20"/>
              <w:spacing w:after="0"/>
              <w:rPr>
                <w:sz w:val="20"/>
                <w:szCs w:val="20"/>
                <w:color w:val="auto"/>
              </w:rPr>
            </w:pPr>
            <w:r>
              <w:rPr>
                <w:rFonts w:ascii="Arial" w:cs="Arial" w:eastAsia="Arial" w:hAnsi="Arial"/>
                <w:sz w:val="20"/>
                <w:szCs w:val="20"/>
                <w:color w:val="auto"/>
              </w:rPr>
              <w:t>Deferred pre-need cemetery and mortuary contract revenues</w:t>
            </w:r>
          </w:p>
        </w:tc>
        <w:tc>
          <w:tcPr>
            <w:tcW w:w="14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13,514,055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13,080,179</w:t>
            </w:r>
          </w:p>
        </w:tc>
      </w:tr>
      <w:tr>
        <w:trPr>
          <w:trHeight w:val="260"/>
        </w:trPr>
        <w:tc>
          <w:tcPr>
            <w:tcW w:w="6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Cemetery perpetual care obligation</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4,130,579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4,087,704</w:t>
            </w:r>
          </w:p>
        </w:tc>
      </w:tr>
      <w:tr>
        <w:trPr>
          <w:trHeight w:val="253"/>
        </w:trPr>
        <w:tc>
          <w:tcPr>
            <w:tcW w:w="6080" w:type="dxa"/>
            <w:vAlign w:val="bottom"/>
          </w:tcPr>
          <w:p>
            <w:pPr>
              <w:ind w:left="20"/>
              <w:spacing w:after="0"/>
              <w:rPr>
                <w:sz w:val="20"/>
                <w:szCs w:val="20"/>
                <w:color w:val="auto"/>
              </w:rPr>
            </w:pPr>
            <w:r>
              <w:rPr>
                <w:rFonts w:ascii="Arial" w:cs="Arial" w:eastAsia="Arial" w:hAnsi="Arial"/>
                <w:sz w:val="20"/>
                <w:szCs w:val="20"/>
                <w:color w:val="auto"/>
              </w:rPr>
              <w:t>Accounts payable</w:t>
            </w:r>
          </w:p>
        </w:tc>
        <w:tc>
          <w:tcPr>
            <w:tcW w:w="14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10,404,210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8,932,683</w:t>
            </w:r>
          </w:p>
        </w:tc>
      </w:tr>
      <w:tr>
        <w:trPr>
          <w:trHeight w:val="260"/>
        </w:trPr>
        <w:tc>
          <w:tcPr>
            <w:tcW w:w="6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liabilities and accrued expenses</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64,282,931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87,650,981</w:t>
            </w:r>
          </w:p>
        </w:tc>
      </w:tr>
      <w:tr>
        <w:trPr>
          <w:trHeight w:val="253"/>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taxes</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28,051,968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25,258,800</w:t>
            </w:r>
          </w:p>
        </w:tc>
      </w:tr>
      <w:tr>
        <w:trPr>
          <w:trHeight w:val="250"/>
        </w:trPr>
        <w:tc>
          <w:tcPr>
            <w:tcW w:w="6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1,216,359,685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1,284,953,425</w:t>
            </w:r>
          </w:p>
        </w:tc>
      </w:tr>
      <w:tr>
        <w:trPr>
          <w:trHeight w:val="253"/>
        </w:trPr>
        <w:tc>
          <w:tcPr>
            <w:tcW w:w="6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7"/>
        </w:trPr>
        <w:tc>
          <w:tcPr>
            <w:tcW w:w="60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Stockholders' Equity</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26"/>
        </w:trPr>
        <w:tc>
          <w:tcPr>
            <w:tcW w:w="6080" w:type="dxa"/>
            <w:vAlign w:val="bottom"/>
          </w:tcPr>
          <w:p>
            <w:pPr>
              <w:ind w:left="20"/>
              <w:spacing w:after="0" w:line="227" w:lineRule="exact"/>
              <w:rPr>
                <w:sz w:val="20"/>
                <w:szCs w:val="20"/>
                <w:color w:val="auto"/>
              </w:rPr>
            </w:pPr>
            <w:r>
              <w:rPr>
                <w:rFonts w:ascii="Arial" w:cs="Arial" w:eastAsia="Arial" w:hAnsi="Arial"/>
                <w:sz w:val="20"/>
                <w:szCs w:val="20"/>
                <w:color w:val="auto"/>
                <w:w w:val="89"/>
              </w:rPr>
              <w:t>Preferred Stock - non-voting - $1.00 par value; 5,000,000 shares authorized;</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5"/>
        </w:trPr>
        <w:tc>
          <w:tcPr>
            <w:tcW w:w="6080" w:type="dxa"/>
            <w:vAlign w:val="bottom"/>
          </w:tcPr>
          <w:p>
            <w:pPr>
              <w:ind w:left="140"/>
              <w:spacing w:after="0"/>
              <w:rPr>
                <w:sz w:val="20"/>
                <w:szCs w:val="20"/>
                <w:color w:val="auto"/>
              </w:rPr>
            </w:pPr>
            <w:r>
              <w:rPr>
                <w:rFonts w:ascii="Arial" w:cs="Arial" w:eastAsia="Arial" w:hAnsi="Arial"/>
                <w:sz w:val="20"/>
                <w:szCs w:val="20"/>
                <w:color w:val="auto"/>
              </w:rPr>
              <w:t>none issued or outstanding</w:t>
            </w:r>
          </w:p>
        </w:tc>
        <w:tc>
          <w:tcPr>
            <w:tcW w:w="14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w:t>
            </w:r>
          </w:p>
        </w:tc>
      </w:tr>
      <w:tr>
        <w:trPr>
          <w:trHeight w:val="231"/>
        </w:trPr>
        <w:tc>
          <w:tcPr>
            <w:tcW w:w="6080" w:type="dxa"/>
            <w:vAlign w:val="bottom"/>
            <w:shd w:val="clear" w:color="auto" w:fill="CCEEFF"/>
          </w:tcPr>
          <w:p>
            <w:pPr>
              <w:ind w:left="20"/>
              <w:spacing w:after="0"/>
              <w:rPr>
                <w:sz w:val="20"/>
                <w:szCs w:val="20"/>
                <w:color w:val="auto"/>
              </w:rPr>
            </w:pPr>
            <w:r>
              <w:rPr>
                <w:rFonts w:ascii="Arial" w:cs="Arial" w:eastAsia="Arial" w:hAnsi="Arial"/>
                <w:sz w:val="20"/>
                <w:szCs w:val="20"/>
                <w:color w:val="auto"/>
                <w:w w:val="93"/>
              </w:rPr>
              <w:t>Class A: common stock - $2.00 par value; 20,000,000 shares authorized;</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60"/>
        </w:trPr>
        <w:tc>
          <w:tcPr>
            <w:tcW w:w="60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issued 16,672,236 shares in 2021 and 16,595,783 shares in 2020</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33,344,472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33,191,566</w:t>
            </w:r>
          </w:p>
        </w:tc>
      </w:tr>
      <w:tr>
        <w:trPr>
          <w:trHeight w:val="226"/>
        </w:trPr>
        <w:tc>
          <w:tcPr>
            <w:tcW w:w="6080" w:type="dxa"/>
            <w:vAlign w:val="bottom"/>
          </w:tcPr>
          <w:p>
            <w:pPr>
              <w:ind w:left="20"/>
              <w:spacing w:after="0" w:line="227" w:lineRule="exact"/>
              <w:rPr>
                <w:sz w:val="20"/>
                <w:szCs w:val="20"/>
                <w:color w:val="auto"/>
              </w:rPr>
            </w:pPr>
            <w:r>
              <w:rPr>
                <w:rFonts w:ascii="Arial" w:cs="Arial" w:eastAsia="Arial" w:hAnsi="Arial"/>
                <w:sz w:val="20"/>
                <w:szCs w:val="20"/>
                <w:color w:val="auto"/>
                <w:w w:val="95"/>
              </w:rPr>
              <w:t>Class B: non-voting common stock - $1.00 par value; 5,000,000 shares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5"/>
        </w:trPr>
        <w:tc>
          <w:tcPr>
            <w:tcW w:w="6080" w:type="dxa"/>
            <w:vAlign w:val="bottom"/>
          </w:tcPr>
          <w:p>
            <w:pPr>
              <w:ind w:left="140"/>
              <w:spacing w:after="0"/>
              <w:rPr>
                <w:sz w:val="20"/>
                <w:szCs w:val="20"/>
                <w:color w:val="auto"/>
              </w:rPr>
            </w:pPr>
            <w:r>
              <w:rPr>
                <w:rFonts w:ascii="Arial" w:cs="Arial" w:eastAsia="Arial" w:hAnsi="Arial"/>
                <w:sz w:val="20"/>
                <w:szCs w:val="20"/>
                <w:color w:val="auto"/>
              </w:rPr>
              <w:t>authorized; none issued or outstanding</w:t>
            </w:r>
          </w:p>
        </w:tc>
        <w:tc>
          <w:tcPr>
            <w:tcW w:w="14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w:t>
            </w:r>
          </w:p>
        </w:tc>
      </w:tr>
      <w:tr>
        <w:trPr>
          <w:trHeight w:val="231"/>
        </w:trPr>
        <w:tc>
          <w:tcPr>
            <w:tcW w:w="6080" w:type="dxa"/>
            <w:vAlign w:val="bottom"/>
            <w:shd w:val="clear" w:color="auto" w:fill="CCEEFF"/>
          </w:tcPr>
          <w:p>
            <w:pPr>
              <w:ind w:left="20"/>
              <w:spacing w:after="0"/>
              <w:rPr>
                <w:sz w:val="20"/>
                <w:szCs w:val="20"/>
                <w:color w:val="auto"/>
              </w:rPr>
            </w:pPr>
            <w:r>
              <w:rPr>
                <w:rFonts w:ascii="Arial" w:cs="Arial" w:eastAsia="Arial" w:hAnsi="Arial"/>
                <w:sz w:val="20"/>
                <w:szCs w:val="20"/>
                <w:color w:val="auto"/>
                <w:w w:val="95"/>
              </w:rPr>
              <w:t>Class C: convertible common stock - $2.00 par value; 3,000,000 shares</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60"/>
        </w:trPr>
        <w:tc>
          <w:tcPr>
            <w:tcW w:w="6080" w:type="dxa"/>
            <w:vAlign w:val="bottom"/>
            <w:shd w:val="clear" w:color="auto" w:fill="CCEEFF"/>
          </w:tcPr>
          <w:p>
            <w:pPr>
              <w:ind w:left="140"/>
              <w:spacing w:after="0"/>
              <w:rPr>
                <w:sz w:val="20"/>
                <w:szCs w:val="20"/>
                <w:color w:val="auto"/>
              </w:rPr>
            </w:pPr>
            <w:r>
              <w:rPr>
                <w:rFonts w:ascii="Arial" w:cs="Arial" w:eastAsia="Arial" w:hAnsi="Arial"/>
                <w:sz w:val="20"/>
                <w:szCs w:val="20"/>
                <w:color w:val="auto"/>
                <w:w w:val="89"/>
              </w:rPr>
              <w:t>authorized; issued 2,631,076 shares in 2021 and 2,679,603 shares in 2020</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5,262,152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5,359,206</w:t>
            </w:r>
          </w:p>
        </w:tc>
      </w:tr>
      <w:tr>
        <w:trPr>
          <w:trHeight w:val="253"/>
        </w:trPr>
        <w:tc>
          <w:tcPr>
            <w:tcW w:w="6080" w:type="dxa"/>
            <w:vAlign w:val="bottom"/>
          </w:tcPr>
          <w:p>
            <w:pPr>
              <w:ind w:left="20"/>
              <w:spacing w:after="0"/>
              <w:rPr>
                <w:sz w:val="20"/>
                <w:szCs w:val="20"/>
                <w:color w:val="auto"/>
              </w:rPr>
            </w:pPr>
            <w:r>
              <w:rPr>
                <w:rFonts w:ascii="Arial" w:cs="Arial" w:eastAsia="Arial" w:hAnsi="Arial"/>
                <w:sz w:val="20"/>
                <w:szCs w:val="20"/>
                <w:color w:val="auto"/>
              </w:rPr>
              <w:t>Additional paid-in capital</w:t>
            </w:r>
          </w:p>
        </w:tc>
        <w:tc>
          <w:tcPr>
            <w:tcW w:w="14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50,650,188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50,287,253</w:t>
            </w:r>
          </w:p>
        </w:tc>
      </w:tr>
      <w:tr>
        <w:trPr>
          <w:trHeight w:val="260"/>
        </w:trPr>
        <w:tc>
          <w:tcPr>
            <w:tcW w:w="6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Accumulated other comprehensive income, net of taxes</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17,854,611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23,243,133</w:t>
            </w:r>
          </w:p>
        </w:tc>
      </w:tr>
      <w:tr>
        <w:trPr>
          <w:trHeight w:val="253"/>
        </w:trPr>
        <w:tc>
          <w:tcPr>
            <w:tcW w:w="6080" w:type="dxa"/>
            <w:vAlign w:val="bottom"/>
          </w:tcPr>
          <w:p>
            <w:pPr>
              <w:ind w:left="20"/>
              <w:spacing w:after="0"/>
              <w:rPr>
                <w:sz w:val="20"/>
                <w:szCs w:val="20"/>
                <w:color w:val="auto"/>
              </w:rPr>
            </w:pPr>
            <w:r>
              <w:rPr>
                <w:rFonts w:ascii="Arial" w:cs="Arial" w:eastAsia="Arial" w:hAnsi="Arial"/>
                <w:sz w:val="20"/>
                <w:szCs w:val="20"/>
                <w:color w:val="auto"/>
              </w:rPr>
              <w:t>Retained earnings</w:t>
            </w:r>
          </w:p>
        </w:tc>
        <w:tc>
          <w:tcPr>
            <w:tcW w:w="14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165,867,882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153,739,167</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20"/>
                <w:szCs w:val="20"/>
                <w:color w:val="auto"/>
                <w:w w:val="88"/>
              </w:rPr>
              <w:t>Treasury stock at cost - 77,825 Class A shares and 56,276 Class C shares in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0"/>
        </w:trPr>
        <w:tc>
          <w:tcPr>
            <w:tcW w:w="6080" w:type="dxa"/>
            <w:vAlign w:val="bottom"/>
            <w:shd w:val="clear" w:color="auto" w:fill="CCEEFF"/>
          </w:tcPr>
          <w:p>
            <w:pPr>
              <w:ind w:left="140"/>
              <w:spacing w:after="0"/>
              <w:rPr>
                <w:sz w:val="20"/>
                <w:szCs w:val="20"/>
                <w:color w:val="auto"/>
              </w:rPr>
            </w:pPr>
            <w:r>
              <w:rPr>
                <w:rFonts w:ascii="Arial" w:cs="Arial" w:eastAsia="Arial" w:hAnsi="Arial"/>
                <w:sz w:val="20"/>
                <w:szCs w:val="20"/>
                <w:color w:val="auto"/>
                <w:w w:val="94"/>
              </w:rPr>
              <w:t>2021; and 227,852 Class A shares and 10,985 Class C shares in 2020</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(1,111,464)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(1,833,272)</w:t>
            </w:r>
          </w:p>
        </w:tc>
      </w:tr>
      <w:tr>
        <w:trPr>
          <w:trHeight w:val="257"/>
        </w:trPr>
        <w:tc>
          <w:tcPr>
            <w:tcW w:w="60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r>
        <w:trPr>
          <w:trHeight w:val="250"/>
        </w:trPr>
        <w:tc>
          <w:tcPr>
            <w:tcW w:w="6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stockholders' equity</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271,867,841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263,987,053</w:t>
            </w:r>
          </w:p>
        </w:tc>
      </w:tr>
      <w:tr>
        <w:trPr>
          <w:trHeight w:val="250"/>
        </w:trPr>
        <w:tc>
          <w:tcPr>
            <w:tcW w:w="6080" w:type="dxa"/>
            <w:vAlign w:val="bottom"/>
          </w:tcPr>
          <w:p>
            <w:pPr>
              <w:ind w:left="20"/>
              <w:spacing w:after="0"/>
              <w:rPr>
                <w:sz w:val="20"/>
                <w:szCs w:val="20"/>
                <w:color w:val="auto"/>
              </w:rPr>
            </w:pPr>
            <w:r>
              <w:rPr>
                <w:rFonts w:ascii="Arial" w:cs="Arial" w:eastAsia="Arial" w:hAnsi="Arial"/>
                <w:sz w:val="20"/>
                <w:szCs w:val="20"/>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1,488,227,526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1,548,940,478</w:t>
            </w: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condensed consolidated financial statements (unaudited).</w:t>
      </w:r>
    </w:p>
    <w:p>
      <w:pPr>
        <w:spacing w:after="0" w:line="256"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57607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122" w:right="1440"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20"/>
          <w:szCs w:val="20"/>
          <w:color w:val="auto"/>
        </w:rPr>
        <w:t>SECURITY NATIONAL FINANCIAL CORPORATION</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AND SUBSIDIARIES</w:t>
      </w:r>
    </w:p>
    <w:p>
      <w:pPr>
        <w:jc w:val="center"/>
        <w:ind w:right="79"/>
        <w:spacing w:after="0"/>
        <w:rPr>
          <w:sz w:val="20"/>
          <w:szCs w:val="20"/>
          <w:color w:val="auto"/>
        </w:rPr>
      </w:pPr>
      <w:r>
        <w:rPr>
          <w:rFonts w:ascii="Arial" w:cs="Arial" w:eastAsia="Arial" w:hAnsi="Arial"/>
          <w:sz w:val="20"/>
          <w:szCs w:val="20"/>
          <w:color w:val="auto"/>
        </w:rPr>
        <w:t>CONDENSED CONSOLIDATED STATEMENTS OF EARNINGS</w:t>
      </w:r>
    </w:p>
    <w:p>
      <w:pPr>
        <w:jc w:val="center"/>
        <w:ind w:right="79"/>
        <w:spacing w:after="0"/>
        <w:rPr>
          <w:sz w:val="20"/>
          <w:szCs w:val="20"/>
          <w:color w:val="auto"/>
        </w:rPr>
      </w:pPr>
      <w:r>
        <w:rPr>
          <w:rFonts w:ascii="Arial" w:cs="Arial" w:eastAsia="Arial" w:hAnsi="Arial"/>
          <w:sz w:val="20"/>
          <w:szCs w:val="20"/>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20"/>
                <w:szCs w:val="20"/>
                <w:color w:val="auto"/>
                <w:w w:val="94"/>
              </w:rPr>
              <w:t>Three Months Ended March 31</w:t>
            </w:r>
          </w:p>
        </w:tc>
        <w:tc>
          <w:tcPr>
            <w:tcW w:w="0" w:type="dxa"/>
            <w:vAlign w:val="bottom"/>
          </w:tcPr>
          <w:p>
            <w:pPr>
              <w:spacing w:after="0"/>
              <w:rPr>
                <w:sz w:val="1"/>
                <w:szCs w:val="1"/>
                <w:color w:val="auto"/>
              </w:rPr>
            </w:pPr>
          </w:p>
        </w:tc>
      </w:tr>
      <w:tr>
        <w:trPr>
          <w:trHeight w:val="252"/>
        </w:trPr>
        <w:tc>
          <w:tcPr>
            <w:tcW w:w="55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2021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2020</w:t>
            </w:r>
          </w:p>
        </w:tc>
        <w:tc>
          <w:tcPr>
            <w:tcW w:w="0" w:type="dxa"/>
            <w:vAlign w:val="bottom"/>
          </w:tcPr>
          <w:p>
            <w:pPr>
              <w:spacing w:after="0"/>
              <w:rPr>
                <w:sz w:val="1"/>
                <w:szCs w:val="1"/>
                <w:color w:val="auto"/>
              </w:rPr>
            </w:pPr>
          </w:p>
        </w:tc>
      </w:tr>
      <w:tr>
        <w:trPr>
          <w:trHeight w:val="253"/>
        </w:trPr>
        <w:tc>
          <w:tcPr>
            <w:tcW w:w="55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Revenues:</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580" w:type="dxa"/>
            <w:vAlign w:val="bottom"/>
          </w:tcPr>
          <w:p>
            <w:pPr>
              <w:ind w:left="20"/>
              <w:spacing w:after="0"/>
              <w:rPr>
                <w:sz w:val="20"/>
                <w:szCs w:val="20"/>
                <w:color w:val="auto"/>
              </w:rPr>
            </w:pPr>
            <w:r>
              <w:rPr>
                <w:rFonts w:ascii="Arial" w:cs="Arial" w:eastAsia="Arial" w:hAnsi="Arial"/>
                <w:sz w:val="20"/>
                <w:szCs w:val="20"/>
                <w:color w:val="auto"/>
              </w:rPr>
              <w:t>Mortgage fee income</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72,998,612</w:t>
            </w:r>
          </w:p>
        </w:tc>
        <w:tc>
          <w:tcPr>
            <w:tcW w:w="100" w:type="dxa"/>
            <w:vAlign w:val="bottom"/>
          </w:tcPr>
          <w:p>
            <w:pPr>
              <w:spacing w:after="0"/>
              <w:rPr>
                <w:sz w:val="22"/>
                <w:szCs w:val="22"/>
                <w:color w:val="auto"/>
              </w:rPr>
            </w:pPr>
          </w:p>
        </w:tc>
        <w:tc>
          <w:tcPr>
            <w:tcW w:w="4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40,281,761</w:t>
            </w:r>
          </w:p>
        </w:tc>
        <w:tc>
          <w:tcPr>
            <w:tcW w:w="0" w:type="dxa"/>
            <w:vAlign w:val="bottom"/>
          </w:tcPr>
          <w:p>
            <w:pPr>
              <w:spacing w:after="0"/>
              <w:rPr>
                <w:sz w:val="1"/>
                <w:szCs w:val="1"/>
                <w:color w:val="auto"/>
              </w:rPr>
            </w:pPr>
          </w:p>
        </w:tc>
      </w:tr>
      <w:tr>
        <w:trPr>
          <w:trHeight w:val="260"/>
        </w:trPr>
        <w:tc>
          <w:tcPr>
            <w:tcW w:w="5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Insurance premiums and other considerations</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23,350,210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22,291,276</w:t>
            </w:r>
          </w:p>
        </w:tc>
        <w:tc>
          <w:tcPr>
            <w:tcW w:w="0" w:type="dxa"/>
            <w:vAlign w:val="bottom"/>
          </w:tcPr>
          <w:p>
            <w:pPr>
              <w:spacing w:after="0"/>
              <w:rPr>
                <w:sz w:val="1"/>
                <w:szCs w:val="1"/>
                <w:color w:val="auto"/>
              </w:rPr>
            </w:pPr>
          </w:p>
        </w:tc>
      </w:tr>
      <w:tr>
        <w:trPr>
          <w:trHeight w:val="253"/>
        </w:trPr>
        <w:tc>
          <w:tcPr>
            <w:tcW w:w="5580" w:type="dxa"/>
            <w:vAlign w:val="bottom"/>
          </w:tcPr>
          <w:p>
            <w:pPr>
              <w:ind w:left="20"/>
              <w:spacing w:after="0"/>
              <w:rPr>
                <w:sz w:val="20"/>
                <w:szCs w:val="20"/>
                <w:color w:val="auto"/>
              </w:rPr>
            </w:pPr>
            <w:r>
              <w:rPr>
                <w:rFonts w:ascii="Arial" w:cs="Arial" w:eastAsia="Arial" w:hAnsi="Arial"/>
                <w:sz w:val="20"/>
                <w:szCs w:val="20"/>
                <w:color w:val="auto"/>
              </w:rPr>
              <w:t>Net investment income</w:t>
            </w:r>
          </w:p>
        </w:tc>
        <w:tc>
          <w:tcPr>
            <w:tcW w:w="38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14,293,887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13,400,499</w:t>
            </w:r>
          </w:p>
        </w:tc>
        <w:tc>
          <w:tcPr>
            <w:tcW w:w="0" w:type="dxa"/>
            <w:vAlign w:val="bottom"/>
          </w:tcPr>
          <w:p>
            <w:pPr>
              <w:spacing w:after="0"/>
              <w:rPr>
                <w:sz w:val="1"/>
                <w:szCs w:val="1"/>
                <w:color w:val="auto"/>
              </w:rPr>
            </w:pPr>
          </w:p>
        </w:tc>
      </w:tr>
      <w:tr>
        <w:trPr>
          <w:trHeight w:val="260"/>
        </w:trPr>
        <w:tc>
          <w:tcPr>
            <w:tcW w:w="5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mortuary and cemetery sales</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5,942,126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4,458,091</w:t>
            </w:r>
          </w:p>
        </w:tc>
        <w:tc>
          <w:tcPr>
            <w:tcW w:w="0" w:type="dxa"/>
            <w:vAlign w:val="bottom"/>
          </w:tcPr>
          <w:p>
            <w:pPr>
              <w:spacing w:after="0"/>
              <w:rPr>
                <w:sz w:val="1"/>
                <w:szCs w:val="1"/>
                <w:color w:val="auto"/>
              </w:rPr>
            </w:pPr>
          </w:p>
        </w:tc>
      </w:tr>
      <w:tr>
        <w:trPr>
          <w:trHeight w:val="253"/>
        </w:trPr>
        <w:tc>
          <w:tcPr>
            <w:tcW w:w="5580" w:type="dxa"/>
            <w:vAlign w:val="bottom"/>
          </w:tcPr>
          <w:p>
            <w:pPr>
              <w:ind w:left="20"/>
              <w:spacing w:after="0"/>
              <w:rPr>
                <w:sz w:val="20"/>
                <w:szCs w:val="20"/>
                <w:color w:val="auto"/>
              </w:rPr>
            </w:pPr>
            <w:r>
              <w:rPr>
                <w:rFonts w:ascii="Arial" w:cs="Arial" w:eastAsia="Arial" w:hAnsi="Arial"/>
                <w:sz w:val="20"/>
                <w:szCs w:val="20"/>
                <w:color w:val="auto"/>
              </w:rPr>
              <w:t>Gains (losses) on investments and other assets</w:t>
            </w:r>
          </w:p>
        </w:tc>
        <w:tc>
          <w:tcPr>
            <w:tcW w:w="38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1,960,113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(3,212,247)</w:t>
            </w:r>
          </w:p>
        </w:tc>
        <w:tc>
          <w:tcPr>
            <w:tcW w:w="0" w:type="dxa"/>
            <w:vAlign w:val="bottom"/>
          </w:tcPr>
          <w:p>
            <w:pPr>
              <w:spacing w:after="0"/>
              <w:rPr>
                <w:sz w:val="1"/>
                <w:szCs w:val="1"/>
                <w:color w:val="auto"/>
              </w:rPr>
            </w:pPr>
          </w:p>
        </w:tc>
      </w:tr>
      <w:tr>
        <w:trPr>
          <w:trHeight w:val="260"/>
        </w:trPr>
        <w:tc>
          <w:tcPr>
            <w:tcW w:w="5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w:t>
            </w: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4,113,658</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2,389,569</w:t>
            </w:r>
          </w:p>
        </w:tc>
        <w:tc>
          <w:tcPr>
            <w:tcW w:w="0" w:type="dxa"/>
            <w:vAlign w:val="bottom"/>
          </w:tcPr>
          <w:p>
            <w:pPr>
              <w:spacing w:after="0"/>
              <w:rPr>
                <w:sz w:val="1"/>
                <w:szCs w:val="1"/>
                <w:color w:val="auto"/>
              </w:rPr>
            </w:pPr>
          </w:p>
        </w:tc>
      </w:tr>
      <w:tr>
        <w:trPr>
          <w:trHeight w:val="24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revenues</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122,658,606</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79,608,949</w:t>
            </w:r>
          </w:p>
        </w:tc>
        <w:tc>
          <w:tcPr>
            <w:tcW w:w="0" w:type="dxa"/>
            <w:vAlign w:val="bottom"/>
          </w:tcPr>
          <w:p>
            <w:pPr>
              <w:spacing w:after="0"/>
              <w:rPr>
                <w:sz w:val="1"/>
                <w:szCs w:val="1"/>
                <w:color w:val="auto"/>
              </w:rPr>
            </w:pPr>
          </w:p>
        </w:tc>
      </w:tr>
      <w:tr>
        <w:trPr>
          <w:trHeight w:val="240"/>
        </w:trPr>
        <w:tc>
          <w:tcPr>
            <w:tcW w:w="5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20"/>
                <w:szCs w:val="20"/>
                <w:b w:val="1"/>
                <w:bCs w:val="1"/>
                <w:color w:val="auto"/>
              </w:rPr>
              <w:t>Benefits and expenses: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Death benefits</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18,312,006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13,407,627</w:t>
            </w:r>
          </w:p>
        </w:tc>
        <w:tc>
          <w:tcPr>
            <w:tcW w:w="0" w:type="dxa"/>
            <w:vAlign w:val="bottom"/>
          </w:tcPr>
          <w:p>
            <w:pPr>
              <w:spacing w:after="0"/>
              <w:rPr>
                <w:sz w:val="1"/>
                <w:szCs w:val="1"/>
                <w:color w:val="auto"/>
              </w:rPr>
            </w:pPr>
          </w:p>
        </w:tc>
      </w:tr>
      <w:tr>
        <w:trPr>
          <w:trHeight w:val="253"/>
        </w:trPr>
        <w:tc>
          <w:tcPr>
            <w:tcW w:w="5580" w:type="dxa"/>
            <w:vAlign w:val="bottom"/>
          </w:tcPr>
          <w:p>
            <w:pPr>
              <w:ind w:left="20"/>
              <w:spacing w:after="0"/>
              <w:rPr>
                <w:sz w:val="20"/>
                <w:szCs w:val="20"/>
                <w:color w:val="auto"/>
              </w:rPr>
            </w:pPr>
            <w:r>
              <w:rPr>
                <w:rFonts w:ascii="Arial" w:cs="Arial" w:eastAsia="Arial" w:hAnsi="Arial"/>
                <w:sz w:val="20"/>
                <w:szCs w:val="20"/>
                <w:color w:val="auto"/>
              </w:rPr>
              <w:t>Surrenders and other policy benefits</w:t>
            </w:r>
          </w:p>
        </w:tc>
        <w:tc>
          <w:tcPr>
            <w:tcW w:w="38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1,077,644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1,070,475</w:t>
            </w:r>
          </w:p>
        </w:tc>
        <w:tc>
          <w:tcPr>
            <w:tcW w:w="0" w:type="dxa"/>
            <w:vAlign w:val="bottom"/>
          </w:tcPr>
          <w:p>
            <w:pPr>
              <w:spacing w:after="0"/>
              <w:rPr>
                <w:sz w:val="1"/>
                <w:szCs w:val="1"/>
                <w:color w:val="auto"/>
              </w:rPr>
            </w:pPr>
          </w:p>
        </w:tc>
      </w:tr>
      <w:tr>
        <w:trPr>
          <w:trHeight w:val="260"/>
        </w:trPr>
        <w:tc>
          <w:tcPr>
            <w:tcW w:w="5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Increase in future policy benefits</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4,254,658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7,038,033</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line="227" w:lineRule="exact"/>
              <w:rPr>
                <w:sz w:val="20"/>
                <w:szCs w:val="20"/>
                <w:color w:val="auto"/>
              </w:rPr>
            </w:pPr>
            <w:r>
              <w:rPr>
                <w:rFonts w:ascii="Arial" w:cs="Arial" w:eastAsia="Arial" w:hAnsi="Arial"/>
                <w:sz w:val="20"/>
                <w:szCs w:val="20"/>
                <w:color w:val="auto"/>
                <w:w w:val="94"/>
              </w:rPr>
              <w:t>Amortization of deferred policy and pre-need acquisition costs and</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580" w:type="dxa"/>
            <w:vAlign w:val="bottom"/>
          </w:tcPr>
          <w:p>
            <w:pPr>
              <w:ind w:left="20"/>
              <w:spacing w:after="0"/>
              <w:rPr>
                <w:sz w:val="20"/>
                <w:szCs w:val="20"/>
                <w:color w:val="auto"/>
              </w:rPr>
            </w:pPr>
            <w:r>
              <w:rPr>
                <w:rFonts w:ascii="Arial" w:cs="Arial" w:eastAsia="Arial" w:hAnsi="Arial"/>
                <w:sz w:val="20"/>
                <w:szCs w:val="20"/>
                <w:color w:val="auto"/>
              </w:rPr>
              <w:t>value of business acquired</w:t>
            </w:r>
          </w:p>
        </w:tc>
        <w:tc>
          <w:tcPr>
            <w:tcW w:w="38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3,576,865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3,515,057</w:t>
            </w:r>
          </w:p>
        </w:tc>
        <w:tc>
          <w:tcPr>
            <w:tcW w:w="0" w:type="dxa"/>
            <w:vAlign w:val="bottom"/>
          </w:tcPr>
          <w:p>
            <w:pPr>
              <w:spacing w:after="0"/>
              <w:rPr>
                <w:sz w:val="1"/>
                <w:szCs w:val="1"/>
                <w:color w:val="auto"/>
              </w:rPr>
            </w:pPr>
          </w:p>
        </w:tc>
      </w:tr>
      <w:tr>
        <w:trPr>
          <w:trHeight w:val="261"/>
        </w:trPr>
        <w:tc>
          <w:tcPr>
            <w:tcW w:w="5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Selling, general and administrative expenses:</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580" w:type="dxa"/>
            <w:vAlign w:val="bottom"/>
          </w:tcPr>
          <w:p>
            <w:pPr>
              <w:ind w:left="220"/>
              <w:spacing w:after="0"/>
              <w:rPr>
                <w:sz w:val="20"/>
                <w:szCs w:val="20"/>
                <w:color w:val="auto"/>
              </w:rPr>
            </w:pPr>
            <w:r>
              <w:rPr>
                <w:rFonts w:ascii="Arial" w:cs="Arial" w:eastAsia="Arial" w:hAnsi="Arial"/>
                <w:sz w:val="20"/>
                <w:szCs w:val="20"/>
                <w:color w:val="auto"/>
              </w:rPr>
              <w:t>Commissions</w:t>
            </w:r>
          </w:p>
        </w:tc>
        <w:tc>
          <w:tcPr>
            <w:tcW w:w="38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32,729,680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16,554,743</w:t>
            </w:r>
          </w:p>
        </w:tc>
        <w:tc>
          <w:tcPr>
            <w:tcW w:w="0" w:type="dxa"/>
            <w:vAlign w:val="bottom"/>
          </w:tcPr>
          <w:p>
            <w:pPr>
              <w:spacing w:after="0"/>
              <w:rPr>
                <w:sz w:val="1"/>
                <w:szCs w:val="1"/>
                <w:color w:val="auto"/>
              </w:rPr>
            </w:pPr>
          </w:p>
        </w:tc>
      </w:tr>
      <w:tr>
        <w:trPr>
          <w:trHeight w:val="260"/>
        </w:trPr>
        <w:tc>
          <w:tcPr>
            <w:tcW w:w="55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Personnel</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24,371,505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18,719,998</w:t>
            </w:r>
          </w:p>
        </w:tc>
        <w:tc>
          <w:tcPr>
            <w:tcW w:w="0" w:type="dxa"/>
            <w:vAlign w:val="bottom"/>
          </w:tcPr>
          <w:p>
            <w:pPr>
              <w:spacing w:after="0"/>
              <w:rPr>
                <w:sz w:val="1"/>
                <w:szCs w:val="1"/>
                <w:color w:val="auto"/>
              </w:rPr>
            </w:pPr>
          </w:p>
        </w:tc>
      </w:tr>
      <w:tr>
        <w:trPr>
          <w:trHeight w:val="253"/>
        </w:trPr>
        <w:tc>
          <w:tcPr>
            <w:tcW w:w="5580" w:type="dxa"/>
            <w:vAlign w:val="bottom"/>
          </w:tcPr>
          <w:p>
            <w:pPr>
              <w:ind w:left="220"/>
              <w:spacing w:after="0"/>
              <w:rPr>
                <w:sz w:val="20"/>
                <w:szCs w:val="20"/>
                <w:color w:val="auto"/>
              </w:rPr>
            </w:pPr>
            <w:r>
              <w:rPr>
                <w:rFonts w:ascii="Arial" w:cs="Arial" w:eastAsia="Arial" w:hAnsi="Arial"/>
                <w:sz w:val="20"/>
                <w:szCs w:val="20"/>
                <w:color w:val="auto"/>
              </w:rPr>
              <w:t>Advertising</w:t>
            </w:r>
          </w:p>
        </w:tc>
        <w:tc>
          <w:tcPr>
            <w:tcW w:w="38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1,800,998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1,005,317</w:t>
            </w:r>
          </w:p>
        </w:tc>
        <w:tc>
          <w:tcPr>
            <w:tcW w:w="0" w:type="dxa"/>
            <w:vAlign w:val="bottom"/>
          </w:tcPr>
          <w:p>
            <w:pPr>
              <w:spacing w:after="0"/>
              <w:rPr>
                <w:sz w:val="1"/>
                <w:szCs w:val="1"/>
                <w:color w:val="auto"/>
              </w:rPr>
            </w:pPr>
          </w:p>
        </w:tc>
      </w:tr>
      <w:tr>
        <w:trPr>
          <w:trHeight w:val="260"/>
        </w:trPr>
        <w:tc>
          <w:tcPr>
            <w:tcW w:w="55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Rent and rent related</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1,865,898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1,614,741</w:t>
            </w:r>
          </w:p>
        </w:tc>
        <w:tc>
          <w:tcPr>
            <w:tcW w:w="0" w:type="dxa"/>
            <w:vAlign w:val="bottom"/>
          </w:tcPr>
          <w:p>
            <w:pPr>
              <w:spacing w:after="0"/>
              <w:rPr>
                <w:sz w:val="1"/>
                <w:szCs w:val="1"/>
                <w:color w:val="auto"/>
              </w:rPr>
            </w:pPr>
          </w:p>
        </w:tc>
      </w:tr>
      <w:tr>
        <w:trPr>
          <w:trHeight w:val="253"/>
        </w:trPr>
        <w:tc>
          <w:tcPr>
            <w:tcW w:w="5580" w:type="dxa"/>
            <w:vAlign w:val="bottom"/>
          </w:tcPr>
          <w:p>
            <w:pPr>
              <w:ind w:left="220"/>
              <w:spacing w:after="0"/>
              <w:rPr>
                <w:sz w:val="20"/>
                <w:szCs w:val="20"/>
                <w:color w:val="auto"/>
              </w:rPr>
            </w:pPr>
            <w:r>
              <w:rPr>
                <w:rFonts w:ascii="Arial" w:cs="Arial" w:eastAsia="Arial" w:hAnsi="Arial"/>
                <w:sz w:val="20"/>
                <w:szCs w:val="20"/>
                <w:color w:val="auto"/>
              </w:rPr>
              <w:t>Depreciation on property and equipment</w:t>
            </w:r>
          </w:p>
        </w:tc>
        <w:tc>
          <w:tcPr>
            <w:tcW w:w="38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501,645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516,213</w:t>
            </w:r>
          </w:p>
        </w:tc>
        <w:tc>
          <w:tcPr>
            <w:tcW w:w="0" w:type="dxa"/>
            <w:vAlign w:val="bottom"/>
          </w:tcPr>
          <w:p>
            <w:pPr>
              <w:spacing w:after="0"/>
              <w:rPr>
                <w:sz w:val="1"/>
                <w:szCs w:val="1"/>
                <w:color w:val="auto"/>
              </w:rPr>
            </w:pPr>
          </w:p>
        </w:tc>
      </w:tr>
      <w:tr>
        <w:trPr>
          <w:trHeight w:val="260"/>
        </w:trPr>
        <w:tc>
          <w:tcPr>
            <w:tcW w:w="55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Costs related to funding mortgage loans</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2,937,225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1,956,282</w:t>
            </w:r>
          </w:p>
        </w:tc>
        <w:tc>
          <w:tcPr>
            <w:tcW w:w="0" w:type="dxa"/>
            <w:vAlign w:val="bottom"/>
          </w:tcPr>
          <w:p>
            <w:pPr>
              <w:spacing w:after="0"/>
              <w:rPr>
                <w:sz w:val="1"/>
                <w:szCs w:val="1"/>
                <w:color w:val="auto"/>
              </w:rPr>
            </w:pPr>
          </w:p>
        </w:tc>
      </w:tr>
      <w:tr>
        <w:trPr>
          <w:trHeight w:val="253"/>
        </w:trPr>
        <w:tc>
          <w:tcPr>
            <w:tcW w:w="5580" w:type="dxa"/>
            <w:vAlign w:val="bottom"/>
          </w:tcPr>
          <w:p>
            <w:pPr>
              <w:ind w:left="220"/>
              <w:spacing w:after="0"/>
              <w:rPr>
                <w:sz w:val="20"/>
                <w:szCs w:val="20"/>
                <w:color w:val="auto"/>
              </w:rPr>
            </w:pPr>
            <w:r>
              <w:rPr>
                <w:rFonts w:ascii="Arial" w:cs="Arial" w:eastAsia="Arial" w:hAnsi="Arial"/>
                <w:sz w:val="20"/>
                <w:szCs w:val="20"/>
                <w:color w:val="auto"/>
              </w:rPr>
              <w:t>Other</w:t>
            </w:r>
          </w:p>
        </w:tc>
        <w:tc>
          <w:tcPr>
            <w:tcW w:w="38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11,949,864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10,075,542</w:t>
            </w:r>
          </w:p>
        </w:tc>
        <w:tc>
          <w:tcPr>
            <w:tcW w:w="0" w:type="dxa"/>
            <w:vAlign w:val="bottom"/>
          </w:tcPr>
          <w:p>
            <w:pPr>
              <w:spacing w:after="0"/>
              <w:rPr>
                <w:sz w:val="1"/>
                <w:szCs w:val="1"/>
                <w:color w:val="auto"/>
              </w:rPr>
            </w:pPr>
          </w:p>
        </w:tc>
      </w:tr>
      <w:tr>
        <w:trPr>
          <w:trHeight w:val="260"/>
        </w:trPr>
        <w:tc>
          <w:tcPr>
            <w:tcW w:w="5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1,825,599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1,818,609</w:t>
            </w:r>
          </w:p>
        </w:tc>
        <w:tc>
          <w:tcPr>
            <w:tcW w:w="0" w:type="dxa"/>
            <w:vAlign w:val="bottom"/>
          </w:tcPr>
          <w:p>
            <w:pPr>
              <w:spacing w:after="0"/>
              <w:rPr>
                <w:sz w:val="1"/>
                <w:szCs w:val="1"/>
                <w:color w:val="auto"/>
              </w:rPr>
            </w:pPr>
          </w:p>
        </w:tc>
      </w:tr>
      <w:tr>
        <w:trPr>
          <w:trHeight w:val="253"/>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goods and services sold-mortuaries and cemeteries</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1,099,964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842,078</w:t>
            </w:r>
          </w:p>
        </w:tc>
        <w:tc>
          <w:tcPr>
            <w:tcW w:w="0" w:type="dxa"/>
            <w:vAlign w:val="bottom"/>
          </w:tcPr>
          <w:p>
            <w:pPr>
              <w:spacing w:after="0"/>
              <w:rPr>
                <w:sz w:val="1"/>
                <w:szCs w:val="1"/>
                <w:color w:val="auto"/>
              </w:rPr>
            </w:pPr>
          </w:p>
        </w:tc>
      </w:tr>
      <w:tr>
        <w:trPr>
          <w:trHeight w:val="250"/>
        </w:trPr>
        <w:tc>
          <w:tcPr>
            <w:tcW w:w="5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benefits and expenses</w:t>
            </w: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106,303,551</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78,134,715</w:t>
            </w:r>
          </w:p>
        </w:tc>
        <w:tc>
          <w:tcPr>
            <w:tcW w:w="0" w:type="dxa"/>
            <w:vAlign w:val="bottom"/>
          </w:tcPr>
          <w:p>
            <w:pPr>
              <w:spacing w:after="0"/>
              <w:rPr>
                <w:sz w:val="1"/>
                <w:szCs w:val="1"/>
                <w:color w:val="auto"/>
              </w:rPr>
            </w:pPr>
          </w:p>
        </w:tc>
      </w:tr>
      <w:tr>
        <w:trPr>
          <w:trHeight w:val="240"/>
        </w:trPr>
        <w:tc>
          <w:tcPr>
            <w:tcW w:w="5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Earnings before income taxes</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16,355,055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1,474,234</w:t>
            </w:r>
          </w:p>
        </w:tc>
        <w:tc>
          <w:tcPr>
            <w:tcW w:w="0" w:type="dxa"/>
            <w:vAlign w:val="bottom"/>
          </w:tcPr>
          <w:p>
            <w:pPr>
              <w:spacing w:after="0"/>
              <w:rPr>
                <w:sz w:val="1"/>
                <w:szCs w:val="1"/>
                <w:color w:val="auto"/>
              </w:rPr>
            </w:pPr>
          </w:p>
        </w:tc>
      </w:tr>
      <w:tr>
        <w:trPr>
          <w:trHeight w:val="253"/>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expense</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(4,226,340)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(49,785)</w:t>
            </w:r>
          </w:p>
        </w:tc>
        <w:tc>
          <w:tcPr>
            <w:tcW w:w="0" w:type="dxa"/>
            <w:vAlign w:val="bottom"/>
          </w:tcPr>
          <w:p>
            <w:pPr>
              <w:spacing w:after="0"/>
              <w:rPr>
                <w:sz w:val="1"/>
                <w:szCs w:val="1"/>
                <w:color w:val="auto"/>
              </w:rPr>
            </w:pPr>
          </w:p>
        </w:tc>
      </w:tr>
      <w:tr>
        <w:trPr>
          <w:trHeight w:val="240"/>
        </w:trPr>
        <w:tc>
          <w:tcPr>
            <w:tcW w:w="5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Net earnings</w:t>
            </w: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12,128,715</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1,424,449</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Net earnings per Class A Equivalent common share (1)</w:t>
            </w: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0.63</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0.08</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80" w:type="dxa"/>
            <w:vAlign w:val="bottom"/>
          </w:tcPr>
          <w:p>
            <w:pPr>
              <w:ind w:left="20"/>
              <w:spacing w:after="0" w:line="220" w:lineRule="exact"/>
              <w:rPr>
                <w:sz w:val="20"/>
                <w:szCs w:val="20"/>
                <w:color w:val="auto"/>
              </w:rPr>
            </w:pPr>
            <w:r>
              <w:rPr>
                <w:rFonts w:ascii="Arial" w:cs="Arial" w:eastAsia="Arial" w:hAnsi="Arial"/>
                <w:sz w:val="20"/>
                <w:szCs w:val="20"/>
                <w:b w:val="1"/>
                <w:bCs w:val="1"/>
                <w:color w:val="auto"/>
                <w:w w:val="93"/>
              </w:rPr>
              <w:t>Net earnings per Class A Equivalent common share-assuming</w:t>
            </w:r>
          </w:p>
        </w:tc>
        <w:tc>
          <w:tcPr>
            <w:tcW w:w="380" w:type="dxa"/>
            <w:vAlign w:val="bottom"/>
            <w:vMerge w:val="restart"/>
          </w:tcPr>
          <w:p>
            <w:pPr>
              <w:jc w:val="right"/>
              <w:ind w:right="41"/>
              <w:spacing w:after="0"/>
              <w:rPr>
                <w:sz w:val="20"/>
                <w:szCs w:val="20"/>
                <w:color w:val="auto"/>
              </w:rPr>
            </w:pPr>
            <w:r>
              <w:rPr>
                <w:rFonts w:ascii="Arial" w:cs="Arial" w:eastAsia="Arial" w:hAnsi="Arial"/>
                <w:sz w:val="20"/>
                <w:szCs w:val="20"/>
                <w:color w:val="auto"/>
              </w:rPr>
              <w:t>$</w:t>
            </w:r>
          </w:p>
        </w:tc>
        <w:tc>
          <w:tcPr>
            <w:tcW w:w="1320" w:type="dxa"/>
            <w:vAlign w:val="bottom"/>
            <w:vMerge w:val="restart"/>
          </w:tcPr>
          <w:p>
            <w:pPr>
              <w:jc w:val="right"/>
              <w:ind w:right="41"/>
              <w:spacing w:after="0"/>
              <w:rPr>
                <w:sz w:val="20"/>
                <w:szCs w:val="20"/>
                <w:color w:val="auto"/>
              </w:rPr>
            </w:pPr>
            <w:r>
              <w:rPr>
                <w:rFonts w:ascii="Arial" w:cs="Arial" w:eastAsia="Arial" w:hAnsi="Arial"/>
                <w:sz w:val="20"/>
                <w:szCs w:val="20"/>
                <w:color w:val="auto"/>
              </w:rPr>
              <w:t>0.61</w:t>
            </w:r>
          </w:p>
        </w:tc>
        <w:tc>
          <w:tcPr>
            <w:tcW w:w="100" w:type="dxa"/>
            <w:vAlign w:val="bottom"/>
          </w:tcPr>
          <w:p>
            <w:pPr>
              <w:spacing w:after="0"/>
              <w:rPr>
                <w:sz w:val="19"/>
                <w:szCs w:val="19"/>
                <w:color w:val="auto"/>
              </w:rPr>
            </w:pPr>
          </w:p>
        </w:tc>
        <w:tc>
          <w:tcPr>
            <w:tcW w:w="440" w:type="dxa"/>
            <w:vAlign w:val="bottom"/>
            <w:vMerge w:val="restart"/>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vMerge w:val="restart"/>
          </w:tcPr>
          <w:p>
            <w:pPr>
              <w:jc w:val="right"/>
              <w:ind w:right="61"/>
              <w:spacing w:after="0"/>
              <w:rPr>
                <w:sz w:val="20"/>
                <w:szCs w:val="20"/>
                <w:color w:val="auto"/>
              </w:rPr>
            </w:pPr>
            <w:r>
              <w:rPr>
                <w:rFonts w:ascii="Arial" w:cs="Arial" w:eastAsia="Arial" w:hAnsi="Arial"/>
                <w:sz w:val="20"/>
                <w:szCs w:val="20"/>
                <w:color w:val="auto"/>
              </w:rPr>
              <w:t>0.08</w:t>
            </w:r>
          </w:p>
        </w:tc>
        <w:tc>
          <w:tcPr>
            <w:tcW w:w="0" w:type="dxa"/>
            <w:vAlign w:val="bottom"/>
          </w:tcPr>
          <w:p>
            <w:pPr>
              <w:spacing w:after="0"/>
              <w:rPr>
                <w:sz w:val="1"/>
                <w:szCs w:val="1"/>
                <w:color w:val="auto"/>
              </w:rPr>
            </w:pPr>
          </w:p>
        </w:tc>
      </w:tr>
      <w:tr>
        <w:trPr>
          <w:trHeight w:val="292"/>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dilution (1)</w:t>
            </w:r>
          </w:p>
        </w:tc>
        <w:tc>
          <w:tcPr>
            <w:tcW w:w="38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w w:val="89"/>
              </w:rPr>
              <w:t>Weighted-average Class A equivalent common shares outstanding (1)</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19,124,001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18,641,950</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line="227" w:lineRule="exact"/>
              <w:rPr>
                <w:sz w:val="20"/>
                <w:szCs w:val="20"/>
                <w:color w:val="auto"/>
              </w:rPr>
            </w:pPr>
            <w:r>
              <w:rPr>
                <w:rFonts w:ascii="Arial" w:cs="Arial" w:eastAsia="Arial" w:hAnsi="Arial"/>
                <w:sz w:val="20"/>
                <w:szCs w:val="20"/>
                <w:color w:val="auto"/>
                <w:w w:val="92"/>
              </w:rPr>
              <w:t>Weighted-average Class A equivalent common shares outstanding-</w:t>
            </w:r>
          </w:p>
        </w:tc>
        <w:tc>
          <w:tcPr>
            <w:tcW w:w="380" w:type="dxa"/>
            <w:vAlign w:val="bottom"/>
          </w:tcPr>
          <w:p>
            <w:pPr>
              <w:spacing w:after="0"/>
              <w:rPr>
                <w:sz w:val="19"/>
                <w:szCs w:val="19"/>
                <w:color w:val="auto"/>
              </w:rPr>
            </w:pPr>
          </w:p>
        </w:tc>
        <w:tc>
          <w:tcPr>
            <w:tcW w:w="1320" w:type="dxa"/>
            <w:vAlign w:val="bottom"/>
            <w:vMerge w:val="restart"/>
          </w:tcPr>
          <w:p>
            <w:pPr>
              <w:jc w:val="right"/>
              <w:ind w:right="41"/>
              <w:spacing w:after="0"/>
              <w:rPr>
                <w:sz w:val="20"/>
                <w:szCs w:val="20"/>
                <w:color w:val="auto"/>
              </w:rPr>
            </w:pPr>
            <w:r>
              <w:rPr>
                <w:rFonts w:ascii="Arial" w:cs="Arial" w:eastAsia="Arial" w:hAnsi="Arial"/>
                <w:sz w:val="20"/>
                <w:szCs w:val="20"/>
                <w:color w:val="auto"/>
              </w:rPr>
              <w:t>20,008,050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vMerge w:val="restart"/>
          </w:tcPr>
          <w:p>
            <w:pPr>
              <w:jc w:val="right"/>
              <w:ind w:right="61"/>
              <w:spacing w:after="0"/>
              <w:rPr>
                <w:sz w:val="20"/>
                <w:szCs w:val="20"/>
                <w:color w:val="auto"/>
              </w:rPr>
            </w:pPr>
            <w:r>
              <w:rPr>
                <w:rFonts w:ascii="Arial" w:cs="Arial" w:eastAsia="Arial" w:hAnsi="Arial"/>
                <w:sz w:val="20"/>
                <w:szCs w:val="20"/>
                <w:color w:val="auto"/>
              </w:rPr>
              <w:t>18,833,396</w:t>
            </w:r>
          </w:p>
        </w:tc>
        <w:tc>
          <w:tcPr>
            <w:tcW w:w="0" w:type="dxa"/>
            <w:vAlign w:val="bottom"/>
          </w:tcPr>
          <w:p>
            <w:pPr>
              <w:spacing w:after="0"/>
              <w:rPr>
                <w:sz w:val="1"/>
                <w:szCs w:val="1"/>
                <w:color w:val="auto"/>
              </w:rPr>
            </w:pPr>
          </w:p>
        </w:tc>
      </w:tr>
      <w:tr>
        <w:trPr>
          <w:trHeight w:val="246"/>
        </w:trPr>
        <w:tc>
          <w:tcPr>
            <w:tcW w:w="5580" w:type="dxa"/>
            <w:vAlign w:val="bottom"/>
          </w:tcPr>
          <w:p>
            <w:pPr>
              <w:ind w:left="20"/>
              <w:spacing w:after="0"/>
              <w:rPr>
                <w:sz w:val="20"/>
                <w:szCs w:val="20"/>
                <w:color w:val="auto"/>
              </w:rPr>
            </w:pPr>
            <w:r>
              <w:rPr>
                <w:rFonts w:ascii="Arial" w:cs="Arial" w:eastAsia="Arial" w:hAnsi="Arial"/>
                <w:sz w:val="20"/>
                <w:szCs w:val="20"/>
                <w:color w:val="auto"/>
              </w:rPr>
              <w:t>assuming dilution (1)</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79"/>
        <w:spacing w:after="0" w:line="263" w:lineRule="auto"/>
        <w:tabs>
          <w:tab w:leader="none" w:pos="266" w:val="left"/>
        </w:tabs>
        <w:numPr>
          <w:ilvl w:val="0"/>
          <w:numId w:val="3"/>
        </w:numPr>
        <w:rPr>
          <w:rFonts w:ascii="Arial" w:cs="Arial" w:eastAsia="Arial" w:hAnsi="Arial"/>
          <w:sz w:val="19"/>
          <w:szCs w:val="19"/>
          <w:color w:val="auto"/>
        </w:rPr>
      </w:pPr>
      <w:r>
        <w:rPr>
          <w:rFonts w:ascii="Arial" w:cs="Arial" w:eastAsia="Arial" w:hAnsi="Arial"/>
          <w:sz w:val="19"/>
          <w:szCs w:val="19"/>
          <w:color w:val="auto"/>
        </w:rPr>
        <w:t>Net 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condensed consolidated financial statements (unaudited).</w:t>
      </w:r>
    </w:p>
    <w:p>
      <w:pPr>
        <w:sectPr>
          <w:pgSz w:w="11900" w:h="16838" w:orient="portrait"/>
          <w:cols w:equalWidth="0" w:num="1">
            <w:col w:w="9159"/>
          </w:cols>
          <w:pgMar w:left="1300" w:top="122" w:right="1440" w:bottom="1440" w:gutter="0" w:footer="0" w:header="0"/>
        </w:sect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57607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122" w:right="1440" w:bottom="1440" w:gutter="0" w:footer="0" w:header="0"/>
          <w:type w:val="continuous"/>
        </w:sectPr>
      </w:pPr>
    </w:p>
    <w:bookmarkStart w:id="5" w:name="page6"/>
    <w:bookmarkEnd w:id="5"/>
    <w:p>
      <w:pPr>
        <w:jc w:val="center"/>
        <w:ind w:right="79"/>
        <w:spacing w:after="0"/>
        <w:rPr>
          <w:sz w:val="20"/>
          <w:szCs w:val="20"/>
          <w:color w:val="auto"/>
        </w:rPr>
      </w:pPr>
      <w:r>
        <w:rPr>
          <w:rFonts w:ascii="Arial" w:cs="Arial" w:eastAsia="Arial" w:hAnsi="Arial"/>
          <w:sz w:val="20"/>
          <w:szCs w:val="20"/>
          <w:color w:val="auto"/>
        </w:rPr>
        <w:t>SECURITY NATIONAL FINANCIAL CORPORATION</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AND SUBSIDIARIES</w:t>
      </w:r>
    </w:p>
    <w:p>
      <w:pPr>
        <w:jc w:val="center"/>
        <w:ind w:right="79"/>
        <w:spacing w:after="0"/>
        <w:rPr>
          <w:sz w:val="20"/>
          <w:szCs w:val="20"/>
          <w:color w:val="auto"/>
        </w:rPr>
      </w:pPr>
      <w:r>
        <w:rPr>
          <w:rFonts w:ascii="Arial" w:cs="Arial" w:eastAsia="Arial" w:hAnsi="Arial"/>
          <w:sz w:val="20"/>
          <w:szCs w:val="20"/>
          <w:color w:val="auto"/>
        </w:rPr>
        <w:t>CONDENSED CONSOLIDATED STATEMENTS OF COMPREHENSIVE INCOME</w:t>
      </w:r>
    </w:p>
    <w:p>
      <w:pPr>
        <w:jc w:val="center"/>
        <w:ind w:right="79"/>
        <w:spacing w:after="0"/>
        <w:rPr>
          <w:sz w:val="20"/>
          <w:szCs w:val="20"/>
          <w:color w:val="auto"/>
        </w:rPr>
      </w:pPr>
      <w:r>
        <w:rPr>
          <w:rFonts w:ascii="Arial" w:cs="Arial" w:eastAsia="Arial" w:hAnsi="Arial"/>
          <w:sz w:val="20"/>
          <w:szCs w:val="20"/>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20"/>
                <w:szCs w:val="20"/>
                <w:color w:val="auto"/>
                <w:w w:val="90"/>
              </w:rPr>
              <w:t>Three Months Ended March 31</w:t>
            </w:r>
          </w:p>
        </w:tc>
      </w:tr>
      <w:tr>
        <w:trPr>
          <w:trHeight w:val="252"/>
        </w:trPr>
        <w:tc>
          <w:tcPr>
            <w:tcW w:w="60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2021</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2020</w:t>
            </w:r>
          </w:p>
        </w:tc>
      </w:tr>
      <w:tr>
        <w:trPr>
          <w:trHeight w:val="25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earnings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12,128,715</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1,424,449</w:t>
            </w:r>
          </w:p>
        </w:tc>
      </w:tr>
      <w:tr>
        <w:trPr>
          <w:trHeight w:val="245"/>
        </w:trPr>
        <w:tc>
          <w:tcPr>
            <w:tcW w:w="6000" w:type="dxa"/>
            <w:vAlign w:val="bottom"/>
          </w:tcPr>
          <w:p>
            <w:pPr>
              <w:ind w:left="20"/>
              <w:spacing w:after="0"/>
              <w:rPr>
                <w:sz w:val="20"/>
                <w:szCs w:val="20"/>
                <w:color w:val="auto"/>
              </w:rPr>
            </w:pPr>
            <w:r>
              <w:rPr>
                <w:rFonts w:ascii="Arial" w:cs="Arial" w:eastAsia="Arial" w:hAnsi="Arial"/>
                <w:sz w:val="20"/>
                <w:szCs w:val="20"/>
                <w:color w:val="auto"/>
              </w:rPr>
              <w:t>Other comprehensive income: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1"/>
        </w:trPr>
        <w:tc>
          <w:tcPr>
            <w:tcW w:w="6000" w:type="dxa"/>
            <w:vAlign w:val="bottom"/>
            <w:shd w:val="clear" w:color="auto" w:fill="CCEEFF"/>
          </w:tcPr>
          <w:p>
            <w:pPr>
              <w:ind w:left="180"/>
              <w:spacing w:after="0"/>
              <w:rPr>
                <w:sz w:val="20"/>
                <w:szCs w:val="20"/>
                <w:color w:val="auto"/>
              </w:rPr>
            </w:pPr>
            <w:r>
              <w:rPr>
                <w:rFonts w:ascii="Arial" w:cs="Arial" w:eastAsia="Arial" w:hAnsi="Arial"/>
                <w:sz w:val="20"/>
                <w:szCs w:val="20"/>
                <w:color w:val="auto"/>
                <w:w w:val="93"/>
              </w:rPr>
              <w:t>Unrealized gains (losses) on fixed maturity securities available for sale</w:t>
            </w:r>
          </w:p>
        </w:tc>
        <w:tc>
          <w:tcPr>
            <w:tcW w:w="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(6,805,903)</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6"/>
              </w:rPr>
              <w:t>(11,181,151)</w:t>
            </w:r>
          </w:p>
        </w:tc>
      </w:tr>
      <w:tr>
        <w:trPr>
          <w:trHeight w:val="253"/>
        </w:trPr>
        <w:tc>
          <w:tcPr>
            <w:tcW w:w="6000" w:type="dxa"/>
            <w:vAlign w:val="bottom"/>
          </w:tcPr>
          <w:p>
            <w:pPr>
              <w:ind w:left="180"/>
              <w:spacing w:after="0"/>
              <w:rPr>
                <w:sz w:val="20"/>
                <w:szCs w:val="20"/>
                <w:color w:val="auto"/>
              </w:rPr>
            </w:pPr>
            <w:r>
              <w:rPr>
                <w:rFonts w:ascii="Arial" w:cs="Arial" w:eastAsia="Arial" w:hAnsi="Arial"/>
                <w:sz w:val="20"/>
                <w:szCs w:val="20"/>
                <w:color w:val="auto"/>
              </w:rPr>
              <w:t>Unrealized gains (losses) on restricted assets</w:t>
            </w:r>
          </w:p>
        </w:tc>
        <w:tc>
          <w:tcPr>
            <w:tcW w:w="260" w:type="dxa"/>
            <w:vAlign w:val="bottom"/>
          </w:tcPr>
          <w:p>
            <w:pPr>
              <w:spacing w:after="0"/>
              <w:rPr>
                <w:sz w:val="22"/>
                <w:szCs w:val="22"/>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(10,428)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(13,085)</w:t>
            </w:r>
          </w:p>
        </w:tc>
      </w:tr>
      <w:tr>
        <w:trPr>
          <w:trHeight w:val="260"/>
        </w:trPr>
        <w:tc>
          <w:tcPr>
            <w:tcW w:w="6000" w:type="dxa"/>
            <w:vAlign w:val="bottom"/>
            <w:shd w:val="clear" w:color="auto" w:fill="CCEEFF"/>
          </w:tcPr>
          <w:p>
            <w:pPr>
              <w:ind w:left="180"/>
              <w:spacing w:after="0"/>
              <w:rPr>
                <w:sz w:val="20"/>
                <w:szCs w:val="20"/>
                <w:color w:val="auto"/>
              </w:rPr>
            </w:pPr>
            <w:r>
              <w:rPr>
                <w:rFonts w:ascii="Arial" w:cs="Arial" w:eastAsia="Arial" w:hAnsi="Arial"/>
                <w:sz w:val="20"/>
                <w:szCs w:val="20"/>
                <w:color w:val="auto"/>
                <w:w w:val="92"/>
              </w:rPr>
              <w:t>Unrealized gains (losses) on cemetery perpetual care trust investments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(8,197)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(12,046)</w:t>
            </w:r>
          </w:p>
        </w:tc>
      </w:tr>
      <w:tr>
        <w:trPr>
          <w:trHeight w:val="253"/>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Foreign currency translation adjustments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2,835</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(445)</w:t>
            </w:r>
          </w:p>
        </w:tc>
      </w:tr>
      <w:tr>
        <w:trPr>
          <w:trHeight w:val="253"/>
        </w:trPr>
        <w:tc>
          <w:tcPr>
            <w:tcW w:w="60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Other comprehensive income (loss), before income tax</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(6,821,693)</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6"/>
              </w:rPr>
              <w:t>(11,206,727)</w:t>
            </w:r>
          </w:p>
        </w:tc>
      </w:tr>
      <w:tr>
        <w:trPr>
          <w:trHeight w:val="247"/>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Income tax benefit (expense)</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1,433,171</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2,354,414</w:t>
            </w:r>
          </w:p>
        </w:tc>
      </w:tr>
      <w:tr>
        <w:trPr>
          <w:trHeight w:val="250"/>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comprehensive income (loss), net of income tax</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(5,388,522)</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(8,852,313)</w:t>
            </w:r>
          </w:p>
        </w:tc>
      </w:tr>
      <w:tr>
        <w:trPr>
          <w:trHeight w:val="253"/>
        </w:trPr>
        <w:tc>
          <w:tcPr>
            <w:tcW w:w="6000" w:type="dxa"/>
            <w:vAlign w:val="bottom"/>
          </w:tcPr>
          <w:p>
            <w:pPr>
              <w:ind w:left="20"/>
              <w:spacing w:after="0"/>
              <w:rPr>
                <w:sz w:val="20"/>
                <w:szCs w:val="20"/>
                <w:color w:val="auto"/>
              </w:rPr>
            </w:pPr>
            <w:r>
              <w:rPr>
                <w:rFonts w:ascii="Arial" w:cs="Arial" w:eastAsia="Arial" w:hAnsi="Arial"/>
                <w:sz w:val="20"/>
                <w:szCs w:val="20"/>
                <w:color w:val="auto"/>
              </w:rPr>
              <w:t>Comprehensive income (loss)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6,740,193</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(7,427,864)</w:t>
            </w: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condensed consolidated financial statements (unaudited).</w:t>
      </w:r>
    </w:p>
    <w:p>
      <w:pPr>
        <w:spacing w:after="0" w:line="256"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57607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121" w:right="1440"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20"/>
          <w:szCs w:val="20"/>
          <w:color w:val="auto"/>
        </w:rPr>
        <w:t>SECURITY NATIONAL FINANCIAL CORPORATION</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AND SUBSIDIARIES</w:t>
      </w:r>
    </w:p>
    <w:p>
      <w:pPr>
        <w:jc w:val="center"/>
        <w:ind w:right="79"/>
        <w:spacing w:after="0"/>
        <w:rPr>
          <w:sz w:val="20"/>
          <w:szCs w:val="20"/>
          <w:color w:val="auto"/>
        </w:rPr>
      </w:pPr>
      <w:r>
        <w:rPr>
          <w:rFonts w:ascii="Arial" w:cs="Arial" w:eastAsia="Arial" w:hAnsi="Arial"/>
          <w:sz w:val="20"/>
          <w:szCs w:val="20"/>
          <w:color w:val="auto"/>
        </w:rPr>
        <w:t>CONDENSED CONSOLIDATED STATEMENTS OF STOCKHOLDERS’ EQUITY</w:t>
      </w:r>
    </w:p>
    <w:p>
      <w:pPr>
        <w:jc w:val="center"/>
        <w:ind w:right="79"/>
        <w:spacing w:after="0"/>
        <w:rPr>
          <w:sz w:val="20"/>
          <w:szCs w:val="20"/>
          <w:color w:val="auto"/>
        </w:rPr>
      </w:pPr>
      <w:r>
        <w:rPr>
          <w:rFonts w:ascii="Arial" w:cs="Arial" w:eastAsia="Arial" w:hAnsi="Arial"/>
          <w:sz w:val="20"/>
          <w:szCs w:val="20"/>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8"/>
          </w:tcPr>
          <w:p>
            <w:pPr>
              <w:ind w:left="480"/>
              <w:spacing w:after="0"/>
              <w:rPr>
                <w:sz w:val="20"/>
                <w:szCs w:val="20"/>
                <w:color w:val="auto"/>
              </w:rPr>
            </w:pPr>
            <w:r>
              <w:rPr>
                <w:rFonts w:ascii="Arial" w:cs="Arial" w:eastAsia="Arial" w:hAnsi="Arial"/>
                <w:sz w:val="13"/>
                <w:szCs w:val="13"/>
                <w:color w:val="auto"/>
              </w:rPr>
              <w:t>Three Months Ended March 31, 2021</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45"/>
        </w:trPr>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40"/>
              <w:spacing w:after="0" w:line="145" w:lineRule="exact"/>
              <w:rPr>
                <w:sz w:val="20"/>
                <w:szCs w:val="20"/>
                <w:color w:val="auto"/>
              </w:rPr>
            </w:pPr>
            <w:r>
              <w:rPr>
                <w:rFonts w:ascii="Arial" w:cs="Arial" w:eastAsia="Arial" w:hAnsi="Arial"/>
                <w:sz w:val="13"/>
                <w:szCs w:val="13"/>
                <w:color w:val="auto"/>
                <w:w w:val="92"/>
              </w:rPr>
              <w:t>Class C</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100"/>
              <w:spacing w:after="0" w:line="145" w:lineRule="exact"/>
              <w:rPr>
                <w:sz w:val="20"/>
                <w:szCs w:val="20"/>
                <w:color w:val="auto"/>
              </w:rPr>
            </w:pPr>
            <w:r>
              <w:rPr>
                <w:rFonts w:ascii="Arial" w:cs="Arial" w:eastAsia="Arial" w:hAnsi="Arial"/>
                <w:sz w:val="13"/>
                <w:szCs w:val="13"/>
                <w:color w:val="auto"/>
                <w:w w:val="95"/>
              </w:rPr>
              <w:t>Accumulated Other</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color w:val="auto"/>
                <w:w w:val="93"/>
              </w:rPr>
              <w:t>Class A</w:t>
            </w:r>
          </w:p>
        </w:tc>
        <w:tc>
          <w:tcPr>
            <w:tcW w:w="16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Common</w:t>
            </w:r>
          </w:p>
        </w:tc>
        <w:tc>
          <w:tcPr>
            <w:tcW w:w="1120" w:type="dxa"/>
            <w:vAlign w:val="bottom"/>
            <w:gridSpan w:val="3"/>
          </w:tcPr>
          <w:p>
            <w:pPr>
              <w:jc w:val="center"/>
              <w:ind w:right="80"/>
              <w:spacing w:after="0"/>
              <w:rPr>
                <w:sz w:val="20"/>
                <w:szCs w:val="20"/>
                <w:color w:val="auto"/>
              </w:rPr>
            </w:pPr>
            <w:r>
              <w:rPr>
                <w:rFonts w:ascii="Arial" w:cs="Arial" w:eastAsia="Arial" w:hAnsi="Arial"/>
                <w:sz w:val="13"/>
                <w:szCs w:val="13"/>
                <w:color w:val="auto"/>
                <w:w w:val="98"/>
              </w:rPr>
              <w:t>Additional Paid-in</w:t>
            </w:r>
          </w:p>
        </w:tc>
        <w:tc>
          <w:tcPr>
            <w:tcW w:w="1280" w:type="dxa"/>
            <w:vAlign w:val="bottom"/>
            <w:gridSpan w:val="3"/>
          </w:tcPr>
          <w:p>
            <w:pPr>
              <w:jc w:val="center"/>
              <w:ind w:right="80"/>
              <w:spacing w:after="0"/>
              <w:rPr>
                <w:sz w:val="20"/>
                <w:szCs w:val="20"/>
                <w:color w:val="auto"/>
              </w:rPr>
            </w:pPr>
            <w:r>
              <w:rPr>
                <w:rFonts w:ascii="Arial" w:cs="Arial" w:eastAsia="Arial" w:hAnsi="Arial"/>
                <w:sz w:val="13"/>
                <w:szCs w:val="13"/>
                <w:color w:val="auto"/>
                <w:w w:val="92"/>
              </w:rPr>
              <w:t>Comprehensive</w:t>
            </w:r>
          </w:p>
        </w:tc>
        <w:tc>
          <w:tcPr>
            <w:tcW w:w="24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color w:val="auto"/>
              </w:rPr>
              <w:t>Retained</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3"/>
        </w:trPr>
        <w:tc>
          <w:tcPr>
            <w:tcW w:w="1640" w:type="dxa"/>
            <w:vAlign w:val="bottom"/>
          </w:tcPr>
          <w:p>
            <w:pPr>
              <w:spacing w:after="0"/>
              <w:rPr>
                <w:sz w:val="15"/>
                <w:szCs w:val="15"/>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color w:val="auto"/>
                <w:w w:val="94"/>
              </w:rPr>
              <w:t>Common Stock</w:t>
            </w:r>
          </w:p>
        </w:tc>
        <w:tc>
          <w:tcPr>
            <w:tcW w:w="16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Stock</w:t>
            </w:r>
          </w:p>
        </w:tc>
        <w:tc>
          <w:tcPr>
            <w:tcW w:w="26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3"/>
                <w:szCs w:val="13"/>
                <w:color w:val="auto"/>
                <w:w w:val="93"/>
              </w:rPr>
              <w:t>Capital</w:t>
            </w:r>
          </w:p>
        </w:tc>
        <w:tc>
          <w:tcPr>
            <w:tcW w:w="300" w:type="dxa"/>
            <w:vAlign w:val="bottom"/>
          </w:tcPr>
          <w:p>
            <w:pPr>
              <w:spacing w:after="0"/>
              <w:rPr>
                <w:sz w:val="15"/>
                <w:szCs w:val="15"/>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3"/>
                <w:szCs w:val="13"/>
                <w:color w:val="auto"/>
                <w:w w:val="93"/>
              </w:rPr>
              <w:t>Income</w:t>
            </w:r>
          </w:p>
        </w:tc>
        <w:tc>
          <w:tcPr>
            <w:tcW w:w="24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color w:val="auto"/>
              </w:rPr>
              <w:t>Earnings</w:t>
            </w:r>
          </w:p>
        </w:tc>
        <w:tc>
          <w:tcPr>
            <w:tcW w:w="1000" w:type="dxa"/>
            <w:vAlign w:val="bottom"/>
            <w:gridSpan w:val="3"/>
          </w:tcPr>
          <w:p>
            <w:pPr>
              <w:ind w:left="60"/>
              <w:spacing w:after="0"/>
              <w:rPr>
                <w:sz w:val="20"/>
                <w:szCs w:val="20"/>
                <w:color w:val="auto"/>
              </w:rPr>
            </w:pPr>
            <w:r>
              <w:rPr>
                <w:rFonts w:ascii="Arial" w:cs="Arial" w:eastAsia="Arial" w:hAnsi="Arial"/>
                <w:sz w:val="13"/>
                <w:szCs w:val="13"/>
                <w:color w:val="auto"/>
              </w:rPr>
              <w:t>Treasury Stock</w:t>
            </w:r>
          </w:p>
        </w:tc>
        <w:tc>
          <w:tcPr>
            <w:tcW w:w="240" w:type="dxa"/>
            <w:vAlign w:val="bottom"/>
          </w:tcPr>
          <w:p>
            <w:pPr>
              <w:spacing w:after="0"/>
              <w:rPr>
                <w:sz w:val="15"/>
                <w:szCs w:val="15"/>
                <w:color w:val="auto"/>
              </w:rPr>
            </w:pPr>
          </w:p>
        </w:tc>
        <w:tc>
          <w:tcPr>
            <w:tcW w:w="760" w:type="dxa"/>
            <w:vAlign w:val="bottom"/>
          </w:tcPr>
          <w:p>
            <w:pPr>
              <w:jc w:val="right"/>
              <w:ind w:right="293"/>
              <w:spacing w:after="0"/>
              <w:rPr>
                <w:sz w:val="20"/>
                <w:szCs w:val="20"/>
                <w:color w:val="auto"/>
              </w:rPr>
            </w:pPr>
            <w:r>
              <w:rPr>
                <w:rFonts w:ascii="Arial" w:cs="Arial" w:eastAsia="Arial" w:hAnsi="Arial"/>
                <w:sz w:val="13"/>
                <w:szCs w:val="13"/>
                <w:color w:val="auto"/>
              </w:rPr>
              <w:t>Total</w:t>
            </w:r>
          </w:p>
        </w:tc>
      </w:tr>
      <w:tr>
        <w:trPr>
          <w:trHeight w:val="237"/>
        </w:trPr>
        <w:tc>
          <w:tcPr>
            <w:tcW w:w="1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175"/>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January 1, 2021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33,191,566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5,359,206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50,287,253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23,243,133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153,739,167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(1,833,272)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263,987,053</w:t>
            </w:r>
          </w:p>
        </w:tc>
      </w:tr>
      <w:tr>
        <w:trPr>
          <w:trHeight w:val="243"/>
        </w:trPr>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175"/>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12,128,715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12,128,715</w:t>
            </w:r>
          </w:p>
        </w:tc>
      </w:tr>
      <w:tr>
        <w:trPr>
          <w:trHeight w:val="175"/>
        </w:trPr>
        <w:tc>
          <w:tcPr>
            <w:tcW w:w="164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(5,388,522)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(5,388,522)</w:t>
            </w:r>
          </w:p>
        </w:tc>
      </w:tr>
      <w:tr>
        <w:trPr>
          <w:trHeight w:val="151"/>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73"/>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39,153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39,153</w:t>
            </w:r>
          </w:p>
        </w:tc>
      </w:tr>
      <w:tr>
        <w:trPr>
          <w:trHeight w:val="175"/>
        </w:trPr>
        <w:tc>
          <w:tcPr>
            <w:tcW w:w="16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55,852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33,401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89,253</w:t>
            </w:r>
          </w:p>
        </w:tc>
      </w:tr>
      <w:tr>
        <w:trPr>
          <w:trHeight w:val="176"/>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 of treasury stock</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290,381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1,632,041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1,922,422</w:t>
            </w:r>
          </w:p>
        </w:tc>
      </w:tr>
      <w:tr>
        <w:trPr>
          <w:trHeight w:val="175"/>
        </w:trPr>
        <w:tc>
          <w:tcPr>
            <w:tcW w:w="1640" w:type="dxa"/>
            <w:vAlign w:val="bottom"/>
          </w:tcPr>
          <w:p>
            <w:pPr>
              <w:ind w:left="20"/>
              <w:spacing w:after="0"/>
              <w:rPr>
                <w:sz w:val="20"/>
                <w:szCs w:val="20"/>
                <w:color w:val="auto"/>
              </w:rPr>
            </w:pPr>
            <w:r>
              <w:rPr>
                <w:rFonts w:ascii="Arial" w:cs="Arial" w:eastAsia="Arial" w:hAnsi="Arial"/>
                <w:sz w:val="13"/>
                <w:szCs w:val="13"/>
                <w:color w:val="auto"/>
              </w:rPr>
              <w:t>Purchase of treasury stock</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(910,233)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(910,233)</w:t>
            </w:r>
          </w:p>
        </w:tc>
      </w:tr>
      <w:tr>
        <w:trPr>
          <w:trHeight w:val="151"/>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Class C to</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73"/>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A</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97,054</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(97,054)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640" w:type="dxa"/>
            <w:vAlign w:val="bottom"/>
          </w:tcPr>
          <w:p>
            <w:pPr>
              <w:ind w:left="20"/>
              <w:spacing w:after="0"/>
              <w:rPr>
                <w:sz w:val="20"/>
                <w:szCs w:val="20"/>
                <w:color w:val="auto"/>
              </w:rPr>
            </w:pPr>
            <w:r>
              <w:rPr>
                <w:rFonts w:ascii="Arial" w:cs="Arial" w:eastAsia="Arial" w:hAnsi="Arial"/>
                <w:sz w:val="13"/>
                <w:szCs w:val="13"/>
                <w:b w:val="1"/>
                <w:bCs w:val="1"/>
                <w:color w:val="auto"/>
              </w:rPr>
              <w:t>March 31, 2021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33,344,472</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5,262,152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50,650,188</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17,854,611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165,867,882</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(1,111,464)</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271,867,841</w:t>
            </w:r>
          </w:p>
        </w:tc>
      </w:tr>
      <w:tr>
        <w:trPr>
          <w:trHeight w:val="20"/>
        </w:trPr>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72"/>
        </w:trPr>
        <w:tc>
          <w:tcPr>
            <w:tcW w:w="1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8"/>
          </w:tcPr>
          <w:p>
            <w:pPr>
              <w:ind w:left="480"/>
              <w:spacing w:after="0"/>
              <w:rPr>
                <w:sz w:val="20"/>
                <w:szCs w:val="20"/>
                <w:color w:val="auto"/>
              </w:rPr>
            </w:pPr>
            <w:r>
              <w:rPr>
                <w:rFonts w:ascii="Arial" w:cs="Arial" w:eastAsia="Arial" w:hAnsi="Arial"/>
                <w:sz w:val="13"/>
                <w:szCs w:val="13"/>
                <w:color w:val="auto"/>
              </w:rPr>
              <w:t>Three Months Ended March 31, 2020</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5"/>
        </w:trPr>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40"/>
              <w:spacing w:after="0" w:line="145" w:lineRule="exact"/>
              <w:rPr>
                <w:sz w:val="20"/>
                <w:szCs w:val="20"/>
                <w:color w:val="auto"/>
              </w:rPr>
            </w:pPr>
            <w:r>
              <w:rPr>
                <w:rFonts w:ascii="Arial" w:cs="Arial" w:eastAsia="Arial" w:hAnsi="Arial"/>
                <w:sz w:val="13"/>
                <w:szCs w:val="13"/>
                <w:color w:val="auto"/>
                <w:w w:val="92"/>
              </w:rPr>
              <w:t>Class C</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100"/>
              <w:spacing w:after="0" w:line="145" w:lineRule="exact"/>
              <w:rPr>
                <w:sz w:val="20"/>
                <w:szCs w:val="20"/>
                <w:color w:val="auto"/>
              </w:rPr>
            </w:pPr>
            <w:r>
              <w:rPr>
                <w:rFonts w:ascii="Arial" w:cs="Arial" w:eastAsia="Arial" w:hAnsi="Arial"/>
                <w:sz w:val="13"/>
                <w:szCs w:val="13"/>
                <w:color w:val="auto"/>
                <w:w w:val="95"/>
              </w:rPr>
              <w:t>Accumulated Other</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color w:val="auto"/>
                <w:w w:val="93"/>
              </w:rPr>
              <w:t>Class A</w:t>
            </w:r>
          </w:p>
        </w:tc>
        <w:tc>
          <w:tcPr>
            <w:tcW w:w="16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Common</w:t>
            </w:r>
          </w:p>
        </w:tc>
        <w:tc>
          <w:tcPr>
            <w:tcW w:w="1120" w:type="dxa"/>
            <w:vAlign w:val="bottom"/>
            <w:gridSpan w:val="3"/>
          </w:tcPr>
          <w:p>
            <w:pPr>
              <w:jc w:val="center"/>
              <w:ind w:right="80"/>
              <w:spacing w:after="0"/>
              <w:rPr>
                <w:sz w:val="20"/>
                <w:szCs w:val="20"/>
                <w:color w:val="auto"/>
              </w:rPr>
            </w:pPr>
            <w:r>
              <w:rPr>
                <w:rFonts w:ascii="Arial" w:cs="Arial" w:eastAsia="Arial" w:hAnsi="Arial"/>
                <w:sz w:val="13"/>
                <w:szCs w:val="13"/>
                <w:color w:val="auto"/>
                <w:w w:val="98"/>
              </w:rPr>
              <w:t>Additional Paid-in</w:t>
            </w:r>
          </w:p>
        </w:tc>
        <w:tc>
          <w:tcPr>
            <w:tcW w:w="1280" w:type="dxa"/>
            <w:vAlign w:val="bottom"/>
            <w:gridSpan w:val="3"/>
          </w:tcPr>
          <w:p>
            <w:pPr>
              <w:jc w:val="center"/>
              <w:ind w:right="80"/>
              <w:spacing w:after="0"/>
              <w:rPr>
                <w:sz w:val="20"/>
                <w:szCs w:val="20"/>
                <w:color w:val="auto"/>
              </w:rPr>
            </w:pPr>
            <w:r>
              <w:rPr>
                <w:rFonts w:ascii="Arial" w:cs="Arial" w:eastAsia="Arial" w:hAnsi="Arial"/>
                <w:sz w:val="13"/>
                <w:szCs w:val="13"/>
                <w:color w:val="auto"/>
                <w:w w:val="92"/>
              </w:rPr>
              <w:t>Comprehensive</w:t>
            </w:r>
          </w:p>
        </w:tc>
        <w:tc>
          <w:tcPr>
            <w:tcW w:w="24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color w:val="auto"/>
              </w:rPr>
              <w:t>Retained</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3"/>
        </w:trPr>
        <w:tc>
          <w:tcPr>
            <w:tcW w:w="1640" w:type="dxa"/>
            <w:vAlign w:val="bottom"/>
          </w:tcPr>
          <w:p>
            <w:pPr>
              <w:spacing w:after="0"/>
              <w:rPr>
                <w:sz w:val="15"/>
                <w:szCs w:val="15"/>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color w:val="auto"/>
                <w:w w:val="94"/>
              </w:rPr>
              <w:t>Common Stock</w:t>
            </w:r>
          </w:p>
        </w:tc>
        <w:tc>
          <w:tcPr>
            <w:tcW w:w="16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Stock</w:t>
            </w:r>
          </w:p>
        </w:tc>
        <w:tc>
          <w:tcPr>
            <w:tcW w:w="26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3"/>
                <w:szCs w:val="13"/>
                <w:color w:val="auto"/>
                <w:w w:val="93"/>
              </w:rPr>
              <w:t>Capital</w:t>
            </w:r>
          </w:p>
        </w:tc>
        <w:tc>
          <w:tcPr>
            <w:tcW w:w="300" w:type="dxa"/>
            <w:vAlign w:val="bottom"/>
          </w:tcPr>
          <w:p>
            <w:pPr>
              <w:spacing w:after="0"/>
              <w:rPr>
                <w:sz w:val="15"/>
                <w:szCs w:val="15"/>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3"/>
                <w:szCs w:val="13"/>
                <w:color w:val="auto"/>
                <w:w w:val="93"/>
              </w:rPr>
              <w:t>Income</w:t>
            </w:r>
          </w:p>
        </w:tc>
        <w:tc>
          <w:tcPr>
            <w:tcW w:w="24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color w:val="auto"/>
              </w:rPr>
              <w:t>Earnings</w:t>
            </w:r>
          </w:p>
        </w:tc>
        <w:tc>
          <w:tcPr>
            <w:tcW w:w="1000" w:type="dxa"/>
            <w:vAlign w:val="bottom"/>
            <w:gridSpan w:val="3"/>
          </w:tcPr>
          <w:p>
            <w:pPr>
              <w:ind w:left="60"/>
              <w:spacing w:after="0"/>
              <w:rPr>
                <w:sz w:val="20"/>
                <w:szCs w:val="20"/>
                <w:color w:val="auto"/>
              </w:rPr>
            </w:pPr>
            <w:r>
              <w:rPr>
                <w:rFonts w:ascii="Arial" w:cs="Arial" w:eastAsia="Arial" w:hAnsi="Arial"/>
                <w:sz w:val="13"/>
                <w:szCs w:val="13"/>
                <w:color w:val="auto"/>
              </w:rPr>
              <w:t>Treasury Stock</w:t>
            </w:r>
          </w:p>
        </w:tc>
        <w:tc>
          <w:tcPr>
            <w:tcW w:w="240" w:type="dxa"/>
            <w:vAlign w:val="bottom"/>
          </w:tcPr>
          <w:p>
            <w:pPr>
              <w:spacing w:after="0"/>
              <w:rPr>
                <w:sz w:val="15"/>
                <w:szCs w:val="15"/>
                <w:color w:val="auto"/>
              </w:rPr>
            </w:pPr>
          </w:p>
        </w:tc>
        <w:tc>
          <w:tcPr>
            <w:tcW w:w="760" w:type="dxa"/>
            <w:vAlign w:val="bottom"/>
          </w:tcPr>
          <w:p>
            <w:pPr>
              <w:jc w:val="right"/>
              <w:ind w:right="293"/>
              <w:spacing w:after="0"/>
              <w:rPr>
                <w:sz w:val="20"/>
                <w:szCs w:val="20"/>
                <w:color w:val="auto"/>
              </w:rPr>
            </w:pPr>
            <w:r>
              <w:rPr>
                <w:rFonts w:ascii="Arial" w:cs="Arial" w:eastAsia="Arial" w:hAnsi="Arial"/>
                <w:sz w:val="13"/>
                <w:szCs w:val="13"/>
                <w:color w:val="auto"/>
              </w:rPr>
              <w:t>Total</w:t>
            </w:r>
          </w:p>
        </w:tc>
      </w:tr>
      <w:tr>
        <w:trPr>
          <w:trHeight w:val="237"/>
        </w:trPr>
        <w:tc>
          <w:tcPr>
            <w:tcW w:w="1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176"/>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January 1, 2020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32,215,558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5,001,774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46,091,112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13,726,514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101,256,229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(1,580,582)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196,710,605</w:t>
            </w:r>
          </w:p>
        </w:tc>
      </w:tr>
      <w:tr>
        <w:trPr>
          <w:trHeight w:val="243"/>
        </w:trPr>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175"/>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1,424,449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1,424,449</w:t>
            </w:r>
          </w:p>
        </w:tc>
      </w:tr>
      <w:tr>
        <w:trPr>
          <w:trHeight w:val="175"/>
        </w:trPr>
        <w:tc>
          <w:tcPr>
            <w:tcW w:w="164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(8,852,313)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(8,852,313)</w:t>
            </w:r>
          </w:p>
        </w:tc>
      </w:tr>
      <w:tr>
        <w:trPr>
          <w:trHeight w:val="151"/>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73"/>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65,877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65,877</w:t>
            </w:r>
          </w:p>
        </w:tc>
      </w:tr>
      <w:tr>
        <w:trPr>
          <w:trHeight w:val="175"/>
        </w:trPr>
        <w:tc>
          <w:tcPr>
            <w:tcW w:w="16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44,822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(33,930)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10,892</w:t>
            </w:r>
          </w:p>
        </w:tc>
      </w:tr>
      <w:tr>
        <w:trPr>
          <w:trHeight w:val="176"/>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 of treasury stock</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218,280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264,081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482,361</w:t>
            </w:r>
          </w:p>
        </w:tc>
      </w:tr>
      <w:tr>
        <w:trPr>
          <w:trHeight w:val="175"/>
        </w:trPr>
        <w:tc>
          <w:tcPr>
            <w:tcW w:w="1640" w:type="dxa"/>
            <w:vAlign w:val="bottom"/>
          </w:tcPr>
          <w:p>
            <w:pPr>
              <w:ind w:left="20"/>
              <w:spacing w:after="0"/>
              <w:rPr>
                <w:sz w:val="20"/>
                <w:szCs w:val="20"/>
                <w:color w:val="auto"/>
              </w:rPr>
            </w:pPr>
            <w:r>
              <w:rPr>
                <w:rFonts w:ascii="Arial" w:cs="Arial" w:eastAsia="Arial" w:hAnsi="Arial"/>
                <w:sz w:val="13"/>
                <w:szCs w:val="13"/>
                <w:color w:val="auto"/>
              </w:rPr>
              <w:t>Purchase of treasury stock</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(129,608)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(129,608)</w:t>
            </w:r>
          </w:p>
        </w:tc>
      </w:tr>
      <w:tr>
        <w:trPr>
          <w:trHeight w:val="176"/>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dividends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2,292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1640" w:type="dxa"/>
            <w:vAlign w:val="bottom"/>
          </w:tcPr>
          <w:p>
            <w:pPr>
              <w:ind w:left="20"/>
              <w:spacing w:after="0"/>
              <w:rPr>
                <w:sz w:val="20"/>
                <w:szCs w:val="20"/>
                <w:color w:val="auto"/>
              </w:rPr>
            </w:pPr>
            <w:r>
              <w:rPr>
                <w:rFonts w:ascii="Arial" w:cs="Arial" w:eastAsia="Arial" w:hAnsi="Arial"/>
                <w:sz w:val="13"/>
                <w:szCs w:val="13"/>
                <w:color w:val="auto"/>
              </w:rPr>
              <w:t>Conversion Class C to</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3"/>
        </w:trPr>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Class A</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22,324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March 31, 2020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32,285,026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4,978,430</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46,343,631</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4,874,201</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102,677,084</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(1,446,109)</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189,712,263</w:t>
            </w:r>
          </w:p>
        </w:tc>
      </w:tr>
      <w:tr>
        <w:trPr>
          <w:trHeight w:val="20"/>
        </w:trPr>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3"/>
        </w:trPr>
        <w:tc>
          <w:tcPr>
            <w:tcW w:w="1640" w:type="dxa"/>
            <w:vAlign w:val="bottom"/>
            <w:tcBorders>
              <w:bottom w:val="single" w:sz="8" w:color="909090"/>
            </w:tcBorders>
          </w:tcPr>
          <w:p>
            <w:pPr>
              <w:spacing w:after="0"/>
              <w:rPr>
                <w:sz w:val="14"/>
                <w:szCs w:val="14"/>
                <w:color w:val="auto"/>
              </w:rPr>
            </w:pPr>
          </w:p>
        </w:tc>
        <w:tc>
          <w:tcPr>
            <w:tcW w:w="220" w:type="dxa"/>
            <w:vAlign w:val="bottom"/>
            <w:tcBorders>
              <w:bottom w:val="single" w:sz="8" w:color="909090"/>
            </w:tcBorders>
          </w:tcPr>
          <w:p>
            <w:pPr>
              <w:spacing w:after="0"/>
              <w:rPr>
                <w:sz w:val="14"/>
                <w:szCs w:val="14"/>
                <w:color w:val="auto"/>
              </w:rPr>
            </w:pPr>
          </w:p>
        </w:tc>
        <w:tc>
          <w:tcPr>
            <w:tcW w:w="720" w:type="dxa"/>
            <w:vAlign w:val="bottom"/>
            <w:tcBorders>
              <w:bottom w:val="single" w:sz="8" w:color="909090"/>
            </w:tcBorders>
          </w:tcPr>
          <w:p>
            <w:pPr>
              <w:spacing w:after="0"/>
              <w:rPr>
                <w:sz w:val="14"/>
                <w:szCs w:val="14"/>
                <w:color w:val="auto"/>
              </w:rPr>
            </w:pPr>
          </w:p>
        </w:tc>
        <w:tc>
          <w:tcPr>
            <w:tcW w:w="80" w:type="dxa"/>
            <w:vAlign w:val="bottom"/>
            <w:tcBorders>
              <w:bottom w:val="single" w:sz="8" w:color="909090"/>
            </w:tcBorders>
          </w:tcPr>
          <w:p>
            <w:pPr>
              <w:spacing w:after="0"/>
              <w:rPr>
                <w:sz w:val="14"/>
                <w:szCs w:val="14"/>
                <w:color w:val="auto"/>
              </w:rPr>
            </w:pPr>
          </w:p>
        </w:tc>
        <w:tc>
          <w:tcPr>
            <w:tcW w:w="160" w:type="dxa"/>
            <w:vAlign w:val="bottom"/>
            <w:tcBorders>
              <w:bottom w:val="single" w:sz="8" w:color="909090"/>
            </w:tcBorders>
          </w:tcPr>
          <w:p>
            <w:pPr>
              <w:spacing w:after="0"/>
              <w:rPr>
                <w:sz w:val="14"/>
                <w:szCs w:val="14"/>
                <w:color w:val="auto"/>
              </w:rPr>
            </w:pPr>
          </w:p>
        </w:tc>
        <w:tc>
          <w:tcPr>
            <w:tcW w:w="680" w:type="dxa"/>
            <w:vAlign w:val="bottom"/>
            <w:tcBorders>
              <w:bottom w:val="single" w:sz="8" w:color="909090"/>
            </w:tcBorders>
          </w:tcPr>
          <w:p>
            <w:pPr>
              <w:spacing w:after="0"/>
              <w:rPr>
                <w:sz w:val="14"/>
                <w:szCs w:val="14"/>
                <w:color w:val="auto"/>
              </w:rPr>
            </w:pPr>
          </w:p>
        </w:tc>
        <w:tc>
          <w:tcPr>
            <w:tcW w:w="100" w:type="dxa"/>
            <w:vAlign w:val="bottom"/>
            <w:tcBorders>
              <w:bottom w:val="single" w:sz="8" w:color="909090"/>
            </w:tcBorders>
          </w:tcPr>
          <w:p>
            <w:pPr>
              <w:spacing w:after="0"/>
              <w:rPr>
                <w:sz w:val="14"/>
                <w:szCs w:val="14"/>
                <w:color w:val="auto"/>
              </w:rPr>
            </w:pPr>
          </w:p>
        </w:tc>
        <w:tc>
          <w:tcPr>
            <w:tcW w:w="260" w:type="dxa"/>
            <w:vAlign w:val="bottom"/>
            <w:tcBorders>
              <w:bottom w:val="single" w:sz="8" w:color="909090"/>
            </w:tcBorders>
          </w:tcPr>
          <w:p>
            <w:pPr>
              <w:spacing w:after="0"/>
              <w:rPr>
                <w:sz w:val="14"/>
                <w:szCs w:val="14"/>
                <w:color w:val="auto"/>
              </w:rPr>
            </w:pPr>
          </w:p>
        </w:tc>
        <w:tc>
          <w:tcPr>
            <w:tcW w:w="780" w:type="dxa"/>
            <w:vAlign w:val="bottom"/>
            <w:tcBorders>
              <w:bottom w:val="single" w:sz="8" w:color="909090"/>
            </w:tcBorders>
          </w:tcPr>
          <w:p>
            <w:pPr>
              <w:spacing w:after="0"/>
              <w:rPr>
                <w:sz w:val="14"/>
                <w:szCs w:val="14"/>
                <w:color w:val="auto"/>
              </w:rPr>
            </w:pPr>
          </w:p>
        </w:tc>
        <w:tc>
          <w:tcPr>
            <w:tcW w:w="80" w:type="dxa"/>
            <w:vAlign w:val="bottom"/>
            <w:tcBorders>
              <w:bottom w:val="single" w:sz="8" w:color="909090"/>
            </w:tcBorders>
          </w:tcPr>
          <w:p>
            <w:pPr>
              <w:spacing w:after="0"/>
              <w:rPr>
                <w:sz w:val="14"/>
                <w:szCs w:val="14"/>
                <w:color w:val="auto"/>
              </w:rPr>
            </w:pPr>
          </w:p>
        </w:tc>
        <w:tc>
          <w:tcPr>
            <w:tcW w:w="300" w:type="dxa"/>
            <w:vAlign w:val="bottom"/>
            <w:tcBorders>
              <w:bottom w:val="single" w:sz="8" w:color="909090"/>
            </w:tcBorders>
          </w:tcPr>
          <w:p>
            <w:pPr>
              <w:spacing w:after="0"/>
              <w:rPr>
                <w:sz w:val="14"/>
                <w:szCs w:val="14"/>
                <w:color w:val="auto"/>
              </w:rPr>
            </w:pPr>
          </w:p>
        </w:tc>
        <w:tc>
          <w:tcPr>
            <w:tcW w:w="900" w:type="dxa"/>
            <w:vAlign w:val="bottom"/>
            <w:tcBorders>
              <w:bottom w:val="single" w:sz="8" w:color="909090"/>
            </w:tcBorders>
          </w:tcPr>
          <w:p>
            <w:pPr>
              <w:spacing w:after="0"/>
              <w:rPr>
                <w:sz w:val="14"/>
                <w:szCs w:val="14"/>
                <w:color w:val="auto"/>
              </w:rPr>
            </w:pPr>
          </w:p>
        </w:tc>
        <w:tc>
          <w:tcPr>
            <w:tcW w:w="80" w:type="dxa"/>
            <w:vAlign w:val="bottom"/>
            <w:tcBorders>
              <w:bottom w:val="single" w:sz="8" w:color="909090"/>
            </w:tcBorders>
          </w:tcPr>
          <w:p>
            <w:pPr>
              <w:spacing w:after="0"/>
              <w:rPr>
                <w:sz w:val="14"/>
                <w:szCs w:val="14"/>
                <w:color w:val="auto"/>
              </w:rPr>
            </w:pPr>
          </w:p>
        </w:tc>
        <w:tc>
          <w:tcPr>
            <w:tcW w:w="240" w:type="dxa"/>
            <w:vAlign w:val="bottom"/>
            <w:tcBorders>
              <w:bottom w:val="single" w:sz="8" w:color="909090"/>
            </w:tcBorders>
          </w:tcPr>
          <w:p>
            <w:pPr>
              <w:spacing w:after="0"/>
              <w:rPr>
                <w:sz w:val="14"/>
                <w:szCs w:val="14"/>
                <w:color w:val="auto"/>
              </w:rPr>
            </w:pPr>
          </w:p>
        </w:tc>
        <w:tc>
          <w:tcPr>
            <w:tcW w:w="760" w:type="dxa"/>
            <w:vAlign w:val="bottom"/>
            <w:tcBorders>
              <w:bottom w:val="single" w:sz="8" w:color="909090"/>
            </w:tcBorders>
          </w:tcPr>
          <w:p>
            <w:pPr>
              <w:spacing w:after="0"/>
              <w:rPr>
                <w:sz w:val="14"/>
                <w:szCs w:val="14"/>
                <w:color w:val="auto"/>
              </w:rPr>
            </w:pPr>
          </w:p>
        </w:tc>
        <w:tc>
          <w:tcPr>
            <w:tcW w:w="80" w:type="dxa"/>
            <w:vAlign w:val="bottom"/>
            <w:tcBorders>
              <w:bottom w:val="single" w:sz="8" w:color="909090"/>
            </w:tcBorders>
          </w:tcPr>
          <w:p>
            <w:pPr>
              <w:spacing w:after="0"/>
              <w:rPr>
                <w:sz w:val="14"/>
                <w:szCs w:val="14"/>
                <w:color w:val="auto"/>
              </w:rPr>
            </w:pPr>
          </w:p>
        </w:tc>
        <w:tc>
          <w:tcPr>
            <w:tcW w:w="220" w:type="dxa"/>
            <w:vAlign w:val="bottom"/>
            <w:tcBorders>
              <w:bottom w:val="single" w:sz="8" w:color="909090"/>
            </w:tcBorders>
          </w:tcPr>
          <w:p>
            <w:pPr>
              <w:spacing w:after="0"/>
              <w:rPr>
                <w:sz w:val="14"/>
                <w:szCs w:val="14"/>
                <w:color w:val="auto"/>
              </w:rPr>
            </w:pPr>
          </w:p>
        </w:tc>
        <w:tc>
          <w:tcPr>
            <w:tcW w:w="700" w:type="dxa"/>
            <w:vAlign w:val="bottom"/>
            <w:tcBorders>
              <w:bottom w:val="single" w:sz="8" w:color="909090"/>
            </w:tcBorders>
          </w:tcPr>
          <w:p>
            <w:pPr>
              <w:spacing w:after="0"/>
              <w:rPr>
                <w:sz w:val="14"/>
                <w:szCs w:val="14"/>
                <w:color w:val="auto"/>
              </w:rPr>
            </w:pPr>
          </w:p>
        </w:tc>
        <w:tc>
          <w:tcPr>
            <w:tcW w:w="80" w:type="dxa"/>
            <w:vAlign w:val="bottom"/>
            <w:tcBorders>
              <w:bottom w:val="single" w:sz="8" w:color="909090"/>
            </w:tcBorders>
          </w:tcPr>
          <w:p>
            <w:pPr>
              <w:spacing w:after="0"/>
              <w:rPr>
                <w:sz w:val="14"/>
                <w:szCs w:val="14"/>
                <w:color w:val="auto"/>
              </w:rPr>
            </w:pPr>
          </w:p>
        </w:tc>
        <w:tc>
          <w:tcPr>
            <w:tcW w:w="240" w:type="dxa"/>
            <w:vAlign w:val="bottom"/>
            <w:tcBorders>
              <w:bottom w:val="single" w:sz="8" w:color="909090"/>
            </w:tcBorders>
          </w:tcPr>
          <w:p>
            <w:pPr>
              <w:spacing w:after="0"/>
              <w:rPr>
                <w:sz w:val="14"/>
                <w:szCs w:val="14"/>
                <w:color w:val="auto"/>
              </w:rPr>
            </w:pPr>
          </w:p>
        </w:tc>
        <w:tc>
          <w:tcPr>
            <w:tcW w:w="760" w:type="dxa"/>
            <w:vAlign w:val="bottom"/>
            <w:tcBorders>
              <w:bottom w:val="single" w:sz="8" w:color="909090"/>
            </w:tcBorders>
          </w:tcPr>
          <w:p>
            <w:pPr>
              <w:spacing w:after="0"/>
              <w:rPr>
                <w:sz w:val="14"/>
                <w:szCs w:val="14"/>
                <w:color w:val="auto"/>
              </w:rPr>
            </w:pPr>
          </w:p>
        </w:tc>
      </w:tr>
    </w:tbl>
    <w:p>
      <w:pPr>
        <w:sectPr>
          <w:pgSz w:w="11900" w:h="16838" w:orient="portrait"/>
          <w:cols w:equalWidth="0" w:num="1">
            <w:col w:w="9159"/>
          </w:cols>
          <w:pgMar w:left="1300" w:top="121" w:right="1440"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20"/>
          <w:szCs w:val="20"/>
          <w:color w:val="auto"/>
        </w:rPr>
        <w:t>SECURITY NATIONAL FINANCIAL CORPORATION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AND SUBSIDIARIES</w:t>
      </w:r>
    </w:p>
    <w:p>
      <w:pPr>
        <w:jc w:val="center"/>
        <w:ind w:right="79"/>
        <w:spacing w:after="0"/>
        <w:rPr>
          <w:sz w:val="20"/>
          <w:szCs w:val="20"/>
          <w:color w:val="auto"/>
        </w:rPr>
      </w:pPr>
      <w:r>
        <w:rPr>
          <w:rFonts w:ascii="Arial" w:cs="Arial" w:eastAsia="Arial" w:hAnsi="Arial"/>
          <w:sz w:val="20"/>
          <w:szCs w:val="20"/>
          <w:color w:val="auto"/>
        </w:rPr>
        <w:t>CONDENSED CONSOLIDATED STATEMENTS OF CASH FLOWS</w:t>
      </w:r>
    </w:p>
    <w:p>
      <w:pPr>
        <w:jc w:val="center"/>
        <w:ind w:right="79"/>
        <w:spacing w:after="0"/>
        <w:rPr>
          <w:sz w:val="20"/>
          <w:szCs w:val="20"/>
          <w:color w:val="auto"/>
        </w:rPr>
      </w:pPr>
      <w:r>
        <w:rPr>
          <w:rFonts w:ascii="Arial" w:cs="Arial" w:eastAsia="Arial" w:hAnsi="Arial"/>
          <w:sz w:val="20"/>
          <w:szCs w:val="20"/>
          <w:color w:val="auto"/>
        </w:rPr>
        <w:t>(Unaudited)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126"/>
              <w:spacing w:after="0"/>
              <w:rPr>
                <w:sz w:val="20"/>
                <w:szCs w:val="20"/>
                <w:color w:val="auto"/>
              </w:rPr>
            </w:pPr>
            <w:r>
              <w:rPr>
                <w:rFonts w:ascii="Arial" w:cs="Arial" w:eastAsia="Arial" w:hAnsi="Arial"/>
                <w:sz w:val="19"/>
                <w:szCs w:val="19"/>
                <w:color w:val="auto"/>
                <w:w w:val="91"/>
              </w:rPr>
              <w:t>Three Months Ended March 31</w:t>
            </w:r>
          </w:p>
        </w:tc>
        <w:tc>
          <w:tcPr>
            <w:tcW w:w="0" w:type="dxa"/>
            <w:vAlign w:val="bottom"/>
          </w:tcPr>
          <w:p>
            <w:pPr>
              <w:spacing w:after="0"/>
              <w:rPr>
                <w:sz w:val="1"/>
                <w:szCs w:val="1"/>
                <w:color w:val="auto"/>
              </w:rPr>
            </w:pPr>
          </w:p>
        </w:tc>
      </w:tr>
      <w:tr>
        <w:trPr>
          <w:trHeight w:val="235"/>
        </w:trPr>
        <w:tc>
          <w:tcPr>
            <w:tcW w:w="6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color w:val="auto"/>
              </w:rPr>
              <w:t>2021</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06"/>
              <w:spacing w:after="0"/>
              <w:rPr>
                <w:sz w:val="20"/>
                <w:szCs w:val="20"/>
                <w:color w:val="auto"/>
              </w:rPr>
            </w:pPr>
            <w:r>
              <w:rPr>
                <w:rFonts w:ascii="Arial" w:cs="Arial" w:eastAsia="Arial" w:hAnsi="Arial"/>
                <w:sz w:val="19"/>
                <w:szCs w:val="19"/>
                <w:color w:val="auto"/>
              </w:rPr>
              <w:t>2020</w:t>
            </w:r>
          </w:p>
        </w:tc>
        <w:tc>
          <w:tcPr>
            <w:tcW w:w="0" w:type="dxa"/>
            <w:vAlign w:val="bottom"/>
          </w:tcPr>
          <w:p>
            <w:pPr>
              <w:spacing w:after="0"/>
              <w:rPr>
                <w:sz w:val="1"/>
                <w:szCs w:val="1"/>
                <w:color w:val="auto"/>
              </w:rPr>
            </w:pPr>
          </w:p>
        </w:tc>
      </w:tr>
      <w:tr>
        <w:trPr>
          <w:trHeight w:val="238"/>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b w:val="1"/>
                <w:bCs w:val="1"/>
                <w:color w:val="auto"/>
              </w:rPr>
              <w:t>Cash flows from operating activities:</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300" w:type="dxa"/>
            <w:vAlign w:val="bottom"/>
            <w:tcBorders>
              <w:bottom w:val="single" w:sz="8" w:color="CCEEFF"/>
            </w:tcBorders>
          </w:tcPr>
          <w:p>
            <w:pPr>
              <w:ind w:left="180"/>
              <w:spacing w:after="0"/>
              <w:rPr>
                <w:sz w:val="20"/>
                <w:szCs w:val="20"/>
                <w:color w:val="auto"/>
              </w:rPr>
            </w:pPr>
            <w:r>
              <w:rPr>
                <w:rFonts w:ascii="Arial" w:cs="Arial" w:eastAsia="Arial" w:hAnsi="Arial"/>
                <w:sz w:val="19"/>
                <w:szCs w:val="19"/>
                <w:color w:val="auto"/>
              </w:rPr>
              <w:t>Net cash provided by (used in) operating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100,975,851</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(63,771,244)</w:t>
            </w:r>
          </w:p>
        </w:tc>
        <w:tc>
          <w:tcPr>
            <w:tcW w:w="0" w:type="dxa"/>
            <w:vAlign w:val="bottom"/>
          </w:tcPr>
          <w:p>
            <w:pPr>
              <w:spacing w:after="0"/>
              <w:rPr>
                <w:sz w:val="1"/>
                <w:szCs w:val="1"/>
                <w:color w:val="auto"/>
              </w:rPr>
            </w:pPr>
          </w:p>
        </w:tc>
      </w:tr>
      <w:tr>
        <w:trPr>
          <w:trHeight w:val="238"/>
        </w:trPr>
        <w:tc>
          <w:tcPr>
            <w:tcW w:w="6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9"/>
                <w:szCs w:val="19"/>
                <w:b w:val="1"/>
                <w:bCs w:val="1"/>
                <w:color w:val="auto"/>
              </w:rPr>
              <w:t>Cash flows from investing activities: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color w:val="auto"/>
              </w:rPr>
              <w:t>Purchases of fixed maturity securities</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(1,753,606)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(28,691,834)</w:t>
            </w:r>
          </w:p>
        </w:tc>
        <w:tc>
          <w:tcPr>
            <w:tcW w:w="0" w:type="dxa"/>
            <w:vAlign w:val="bottom"/>
          </w:tcPr>
          <w:p>
            <w:pPr>
              <w:spacing w:after="0"/>
              <w:rPr>
                <w:sz w:val="1"/>
                <w:szCs w:val="1"/>
                <w:color w:val="auto"/>
              </w:rPr>
            </w:pPr>
          </w:p>
        </w:tc>
      </w:tr>
      <w:tr>
        <w:trPr>
          <w:trHeight w:val="242"/>
        </w:trPr>
        <w:tc>
          <w:tcPr>
            <w:tcW w:w="6300" w:type="dxa"/>
            <w:vAlign w:val="bottom"/>
          </w:tcPr>
          <w:p>
            <w:pPr>
              <w:ind w:left="20"/>
              <w:spacing w:after="0"/>
              <w:rPr>
                <w:sz w:val="20"/>
                <w:szCs w:val="20"/>
                <w:color w:val="auto"/>
              </w:rPr>
            </w:pPr>
            <w:r>
              <w:rPr>
                <w:rFonts w:ascii="Arial" w:cs="Arial" w:eastAsia="Arial" w:hAnsi="Arial"/>
                <w:sz w:val="19"/>
                <w:szCs w:val="19"/>
                <w:color w:val="auto"/>
              </w:rPr>
              <w:t>Sales, calls and maturities of fixed maturity securities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9,993,624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6"/>
              <w:spacing w:after="0"/>
              <w:rPr>
                <w:sz w:val="20"/>
                <w:szCs w:val="20"/>
                <w:color w:val="auto"/>
              </w:rPr>
            </w:pPr>
            <w:r>
              <w:rPr>
                <w:rFonts w:ascii="Arial" w:cs="Arial" w:eastAsia="Arial" w:hAnsi="Arial"/>
                <w:sz w:val="19"/>
                <w:szCs w:val="19"/>
                <w:color w:val="auto"/>
              </w:rPr>
              <w:t>44,166,424</w:t>
            </w:r>
          </w:p>
        </w:tc>
        <w:tc>
          <w:tcPr>
            <w:tcW w:w="0" w:type="dxa"/>
            <w:vAlign w:val="bottom"/>
          </w:tcPr>
          <w:p>
            <w:pPr>
              <w:spacing w:after="0"/>
              <w:rPr>
                <w:sz w:val="1"/>
                <w:szCs w:val="1"/>
                <w:color w:val="auto"/>
              </w:rPr>
            </w:pPr>
          </w:p>
        </w:tc>
      </w:tr>
      <w:tr>
        <w:trPr>
          <w:trHeight w:val="244"/>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color w:val="auto"/>
              </w:rPr>
              <w:t>Purchases of equity securities</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(367,786)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(10,650,102)</w:t>
            </w:r>
          </w:p>
        </w:tc>
        <w:tc>
          <w:tcPr>
            <w:tcW w:w="0" w:type="dxa"/>
            <w:vAlign w:val="bottom"/>
          </w:tcPr>
          <w:p>
            <w:pPr>
              <w:spacing w:after="0"/>
              <w:rPr>
                <w:sz w:val="1"/>
                <w:szCs w:val="1"/>
                <w:color w:val="auto"/>
              </w:rPr>
            </w:pPr>
          </w:p>
        </w:tc>
      </w:tr>
      <w:tr>
        <w:trPr>
          <w:trHeight w:val="242"/>
        </w:trPr>
        <w:tc>
          <w:tcPr>
            <w:tcW w:w="6300" w:type="dxa"/>
            <w:vAlign w:val="bottom"/>
          </w:tcPr>
          <w:p>
            <w:pPr>
              <w:ind w:left="20"/>
              <w:spacing w:after="0"/>
              <w:rPr>
                <w:sz w:val="20"/>
                <w:szCs w:val="20"/>
                <w:color w:val="auto"/>
              </w:rPr>
            </w:pPr>
            <w:r>
              <w:rPr>
                <w:rFonts w:ascii="Arial" w:cs="Arial" w:eastAsia="Arial" w:hAnsi="Arial"/>
                <w:sz w:val="19"/>
                <w:szCs w:val="19"/>
                <w:color w:val="auto"/>
              </w:rPr>
              <w:t>Sales of equity securities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1,376,669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6"/>
              <w:spacing w:after="0"/>
              <w:rPr>
                <w:sz w:val="20"/>
                <w:szCs w:val="20"/>
                <w:color w:val="auto"/>
              </w:rPr>
            </w:pPr>
            <w:r>
              <w:rPr>
                <w:rFonts w:ascii="Arial" w:cs="Arial" w:eastAsia="Arial" w:hAnsi="Arial"/>
                <w:sz w:val="19"/>
                <w:szCs w:val="19"/>
                <w:color w:val="auto"/>
              </w:rPr>
              <w:t>7,576,507</w:t>
            </w:r>
          </w:p>
        </w:tc>
        <w:tc>
          <w:tcPr>
            <w:tcW w:w="0" w:type="dxa"/>
            <w:vAlign w:val="bottom"/>
          </w:tcPr>
          <w:p>
            <w:pPr>
              <w:spacing w:after="0"/>
              <w:rPr>
                <w:sz w:val="1"/>
                <w:szCs w:val="1"/>
                <w:color w:val="auto"/>
              </w:rPr>
            </w:pPr>
          </w:p>
        </w:tc>
      </w:tr>
      <w:tr>
        <w:trPr>
          <w:trHeight w:val="244"/>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color w:val="auto"/>
              </w:rPr>
              <w:t>Net changes in restricted assets</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179,052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9"/>
                <w:szCs w:val="19"/>
                <w:color w:val="auto"/>
              </w:rPr>
              <w:t>753,326</w:t>
            </w:r>
          </w:p>
        </w:tc>
        <w:tc>
          <w:tcPr>
            <w:tcW w:w="0" w:type="dxa"/>
            <w:vAlign w:val="bottom"/>
          </w:tcPr>
          <w:p>
            <w:pPr>
              <w:spacing w:after="0"/>
              <w:rPr>
                <w:sz w:val="1"/>
                <w:szCs w:val="1"/>
                <w:color w:val="auto"/>
              </w:rPr>
            </w:pPr>
          </w:p>
        </w:tc>
      </w:tr>
      <w:tr>
        <w:trPr>
          <w:trHeight w:val="242"/>
        </w:trPr>
        <w:tc>
          <w:tcPr>
            <w:tcW w:w="6300" w:type="dxa"/>
            <w:vAlign w:val="bottom"/>
          </w:tcPr>
          <w:p>
            <w:pPr>
              <w:ind w:left="20"/>
              <w:spacing w:after="0"/>
              <w:rPr>
                <w:sz w:val="20"/>
                <w:szCs w:val="20"/>
                <w:color w:val="auto"/>
              </w:rPr>
            </w:pPr>
            <w:r>
              <w:rPr>
                <w:rFonts w:ascii="Arial" w:cs="Arial" w:eastAsia="Arial" w:hAnsi="Arial"/>
                <w:sz w:val="19"/>
                <w:szCs w:val="19"/>
                <w:color w:val="auto"/>
              </w:rPr>
              <w:t>Net changes in perpetual care trusts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(47,841)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(107,286)</w:t>
            </w:r>
          </w:p>
        </w:tc>
        <w:tc>
          <w:tcPr>
            <w:tcW w:w="0" w:type="dxa"/>
            <w:vAlign w:val="bottom"/>
          </w:tcPr>
          <w:p>
            <w:pPr>
              <w:spacing w:after="0"/>
              <w:rPr>
                <w:sz w:val="1"/>
                <w:szCs w:val="1"/>
                <w:color w:val="auto"/>
              </w:rPr>
            </w:pPr>
          </w:p>
        </w:tc>
      </w:tr>
      <w:tr>
        <w:trPr>
          <w:trHeight w:val="244"/>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color w:val="auto"/>
                <w:w w:val="96"/>
              </w:rPr>
              <w:t>Mortgage loans held for investment, other investments and policy loans made</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(200,084,136)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(153,050,405)</w:t>
            </w:r>
          </w:p>
        </w:tc>
        <w:tc>
          <w:tcPr>
            <w:tcW w:w="0" w:type="dxa"/>
            <w:vAlign w:val="bottom"/>
          </w:tcPr>
          <w:p>
            <w:pPr>
              <w:spacing w:after="0"/>
              <w:rPr>
                <w:sz w:val="1"/>
                <w:szCs w:val="1"/>
                <w:color w:val="auto"/>
              </w:rPr>
            </w:pPr>
          </w:p>
        </w:tc>
      </w:tr>
      <w:tr>
        <w:trPr>
          <w:trHeight w:val="207"/>
        </w:trPr>
        <w:tc>
          <w:tcPr>
            <w:tcW w:w="6300" w:type="dxa"/>
            <w:vAlign w:val="bottom"/>
          </w:tcPr>
          <w:p>
            <w:pPr>
              <w:ind w:left="20"/>
              <w:spacing w:after="0" w:line="207" w:lineRule="exact"/>
              <w:rPr>
                <w:sz w:val="20"/>
                <w:szCs w:val="20"/>
                <w:color w:val="auto"/>
              </w:rPr>
            </w:pPr>
            <w:r>
              <w:rPr>
                <w:rFonts w:ascii="Arial" w:cs="Arial" w:eastAsia="Arial" w:hAnsi="Arial"/>
                <w:sz w:val="19"/>
                <w:szCs w:val="19"/>
                <w:color w:val="auto"/>
                <w:w w:val="90"/>
              </w:rPr>
              <w:t>Payments received for mortgage loans held for investment, other investments and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300" w:type="dxa"/>
            <w:vAlign w:val="bottom"/>
          </w:tcPr>
          <w:p>
            <w:pPr>
              <w:ind w:left="20"/>
              <w:spacing w:after="0"/>
              <w:rPr>
                <w:sz w:val="20"/>
                <w:szCs w:val="20"/>
                <w:color w:val="auto"/>
              </w:rPr>
            </w:pPr>
            <w:r>
              <w:rPr>
                <w:rFonts w:ascii="Arial" w:cs="Arial" w:eastAsia="Arial" w:hAnsi="Arial"/>
                <w:sz w:val="19"/>
                <w:szCs w:val="19"/>
                <w:color w:val="auto"/>
              </w:rPr>
              <w:t>policy loans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203,929,458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6"/>
              <w:spacing w:after="0"/>
              <w:rPr>
                <w:sz w:val="20"/>
                <w:szCs w:val="20"/>
                <w:color w:val="auto"/>
              </w:rPr>
            </w:pPr>
            <w:r>
              <w:rPr>
                <w:rFonts w:ascii="Arial" w:cs="Arial" w:eastAsia="Arial" w:hAnsi="Arial"/>
                <w:sz w:val="19"/>
                <w:szCs w:val="19"/>
                <w:color w:val="auto"/>
              </w:rPr>
              <w:t>149,366,124</w:t>
            </w:r>
          </w:p>
        </w:tc>
        <w:tc>
          <w:tcPr>
            <w:tcW w:w="0" w:type="dxa"/>
            <w:vAlign w:val="bottom"/>
          </w:tcPr>
          <w:p>
            <w:pPr>
              <w:spacing w:after="0"/>
              <w:rPr>
                <w:sz w:val="1"/>
                <w:szCs w:val="1"/>
                <w:color w:val="auto"/>
              </w:rPr>
            </w:pPr>
          </w:p>
        </w:tc>
      </w:tr>
      <w:tr>
        <w:trPr>
          <w:trHeight w:val="249"/>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color w:val="auto"/>
              </w:rPr>
              <w:t>Purchases of property and equipment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(2,865,020)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(534,737)</w:t>
            </w:r>
          </w:p>
        </w:tc>
        <w:tc>
          <w:tcPr>
            <w:tcW w:w="0" w:type="dxa"/>
            <w:vAlign w:val="bottom"/>
          </w:tcPr>
          <w:p>
            <w:pPr>
              <w:spacing w:after="0"/>
              <w:rPr>
                <w:sz w:val="1"/>
                <w:szCs w:val="1"/>
                <w:color w:val="auto"/>
              </w:rPr>
            </w:pPr>
          </w:p>
        </w:tc>
      </w:tr>
      <w:tr>
        <w:trPr>
          <w:trHeight w:val="242"/>
        </w:trPr>
        <w:tc>
          <w:tcPr>
            <w:tcW w:w="6300" w:type="dxa"/>
            <w:vAlign w:val="bottom"/>
          </w:tcPr>
          <w:p>
            <w:pPr>
              <w:ind w:left="20"/>
              <w:spacing w:after="0"/>
              <w:rPr>
                <w:sz w:val="20"/>
                <w:szCs w:val="20"/>
                <w:color w:val="auto"/>
              </w:rPr>
            </w:pPr>
            <w:r>
              <w:rPr>
                <w:rFonts w:ascii="Arial" w:cs="Arial" w:eastAsia="Arial" w:hAnsi="Arial"/>
                <w:sz w:val="19"/>
                <w:szCs w:val="19"/>
                <w:color w:val="auto"/>
              </w:rPr>
              <w:t>Purchases of real estate</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(23,554,515)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(750,018)</w:t>
            </w:r>
          </w:p>
        </w:tc>
        <w:tc>
          <w:tcPr>
            <w:tcW w:w="0" w:type="dxa"/>
            <w:vAlign w:val="bottom"/>
          </w:tcPr>
          <w:p>
            <w:pPr>
              <w:spacing w:after="0"/>
              <w:rPr>
                <w:sz w:val="1"/>
                <w:szCs w:val="1"/>
                <w:color w:val="auto"/>
              </w:rPr>
            </w:pPr>
          </w:p>
        </w:tc>
      </w:tr>
      <w:tr>
        <w:trPr>
          <w:trHeight w:val="244"/>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color w:val="auto"/>
              </w:rPr>
              <w:t>Sales of real estate</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5,147,199</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9"/>
                <w:szCs w:val="19"/>
                <w:color w:val="auto"/>
              </w:rPr>
              <w:t>4,153,329</w:t>
            </w:r>
          </w:p>
        </w:tc>
        <w:tc>
          <w:tcPr>
            <w:tcW w:w="0" w:type="dxa"/>
            <w:vAlign w:val="bottom"/>
          </w:tcPr>
          <w:p>
            <w:pPr>
              <w:spacing w:after="0"/>
              <w:rPr>
                <w:sz w:val="1"/>
                <w:szCs w:val="1"/>
                <w:color w:val="auto"/>
              </w:rPr>
            </w:pPr>
          </w:p>
        </w:tc>
      </w:tr>
      <w:tr>
        <w:trPr>
          <w:trHeight w:val="235"/>
        </w:trPr>
        <w:tc>
          <w:tcPr>
            <w:tcW w:w="6300" w:type="dxa"/>
            <w:vAlign w:val="bottom"/>
            <w:tcBorders>
              <w:bottom w:val="single" w:sz="8" w:color="CCEEFF"/>
            </w:tcBorders>
          </w:tcPr>
          <w:p>
            <w:pPr>
              <w:ind w:left="180"/>
              <w:spacing w:after="0"/>
              <w:rPr>
                <w:sz w:val="20"/>
                <w:szCs w:val="20"/>
                <w:color w:val="auto"/>
              </w:rPr>
            </w:pPr>
            <w:r>
              <w:rPr>
                <w:rFonts w:ascii="Arial" w:cs="Arial" w:eastAsia="Arial" w:hAnsi="Arial"/>
                <w:sz w:val="19"/>
                <w:szCs w:val="19"/>
                <w:color w:val="auto"/>
              </w:rPr>
              <w:t>Net cash provided by (used in) investing activities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(8,046,902)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12,231,328</w:t>
            </w:r>
          </w:p>
        </w:tc>
        <w:tc>
          <w:tcPr>
            <w:tcW w:w="0" w:type="dxa"/>
            <w:vAlign w:val="bottom"/>
          </w:tcPr>
          <w:p>
            <w:pPr>
              <w:spacing w:after="0"/>
              <w:rPr>
                <w:sz w:val="1"/>
                <w:szCs w:val="1"/>
                <w:color w:val="auto"/>
              </w:rPr>
            </w:pPr>
          </w:p>
        </w:tc>
      </w:tr>
      <w:tr>
        <w:trPr>
          <w:trHeight w:val="238"/>
        </w:trPr>
        <w:tc>
          <w:tcPr>
            <w:tcW w:w="6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9"/>
                <w:szCs w:val="19"/>
                <w:b w:val="1"/>
                <w:bCs w:val="1"/>
                <w:color w:val="auto"/>
              </w:rPr>
              <w:t>Cash flows from financing activities: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color w:val="auto"/>
              </w:rPr>
              <w:t>Investment contract receipts</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2,542,681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9"/>
                <w:szCs w:val="19"/>
                <w:color w:val="auto"/>
              </w:rPr>
              <w:t>2,640,020</w:t>
            </w:r>
          </w:p>
        </w:tc>
        <w:tc>
          <w:tcPr>
            <w:tcW w:w="0" w:type="dxa"/>
            <w:vAlign w:val="bottom"/>
          </w:tcPr>
          <w:p>
            <w:pPr>
              <w:spacing w:after="0"/>
              <w:rPr>
                <w:sz w:val="1"/>
                <w:szCs w:val="1"/>
                <w:color w:val="auto"/>
              </w:rPr>
            </w:pPr>
          </w:p>
        </w:tc>
      </w:tr>
      <w:tr>
        <w:trPr>
          <w:trHeight w:val="242"/>
        </w:trPr>
        <w:tc>
          <w:tcPr>
            <w:tcW w:w="6300" w:type="dxa"/>
            <w:vAlign w:val="bottom"/>
          </w:tcPr>
          <w:p>
            <w:pPr>
              <w:ind w:left="20"/>
              <w:spacing w:after="0"/>
              <w:rPr>
                <w:sz w:val="20"/>
                <w:szCs w:val="20"/>
                <w:color w:val="auto"/>
              </w:rPr>
            </w:pPr>
            <w:r>
              <w:rPr>
                <w:rFonts w:ascii="Arial" w:cs="Arial" w:eastAsia="Arial" w:hAnsi="Arial"/>
                <w:sz w:val="19"/>
                <w:szCs w:val="19"/>
                <w:color w:val="auto"/>
              </w:rPr>
              <w:t>Investment contract withdrawals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(4,386,172)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(4,662,891)</w:t>
            </w:r>
          </w:p>
        </w:tc>
        <w:tc>
          <w:tcPr>
            <w:tcW w:w="0" w:type="dxa"/>
            <w:vAlign w:val="bottom"/>
          </w:tcPr>
          <w:p>
            <w:pPr>
              <w:spacing w:after="0"/>
              <w:rPr>
                <w:sz w:val="1"/>
                <w:szCs w:val="1"/>
                <w:color w:val="auto"/>
              </w:rPr>
            </w:pPr>
          </w:p>
        </w:tc>
      </w:tr>
      <w:tr>
        <w:trPr>
          <w:trHeight w:val="244"/>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color w:val="auto"/>
              </w:rPr>
              <w:t>Proceeds from stock options exercised</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89,253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9"/>
                <w:szCs w:val="19"/>
                <w:color w:val="auto"/>
              </w:rPr>
              <w:t>10,892</w:t>
            </w:r>
          </w:p>
        </w:tc>
        <w:tc>
          <w:tcPr>
            <w:tcW w:w="0" w:type="dxa"/>
            <w:vAlign w:val="bottom"/>
          </w:tcPr>
          <w:p>
            <w:pPr>
              <w:spacing w:after="0"/>
              <w:rPr>
                <w:sz w:val="1"/>
                <w:szCs w:val="1"/>
                <w:color w:val="auto"/>
              </w:rPr>
            </w:pPr>
          </w:p>
        </w:tc>
      </w:tr>
      <w:tr>
        <w:trPr>
          <w:trHeight w:val="242"/>
        </w:trPr>
        <w:tc>
          <w:tcPr>
            <w:tcW w:w="6300" w:type="dxa"/>
            <w:vAlign w:val="bottom"/>
          </w:tcPr>
          <w:p>
            <w:pPr>
              <w:ind w:left="20"/>
              <w:spacing w:after="0"/>
              <w:rPr>
                <w:sz w:val="20"/>
                <w:szCs w:val="20"/>
                <w:color w:val="auto"/>
              </w:rPr>
            </w:pPr>
            <w:r>
              <w:rPr>
                <w:rFonts w:ascii="Arial" w:cs="Arial" w:eastAsia="Arial" w:hAnsi="Arial"/>
                <w:sz w:val="19"/>
                <w:szCs w:val="19"/>
                <w:color w:val="auto"/>
              </w:rPr>
              <w:t>Purchases of treasury stock</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(910,233)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(129,608)</w:t>
            </w:r>
          </w:p>
        </w:tc>
        <w:tc>
          <w:tcPr>
            <w:tcW w:w="0" w:type="dxa"/>
            <w:vAlign w:val="bottom"/>
          </w:tcPr>
          <w:p>
            <w:pPr>
              <w:spacing w:after="0"/>
              <w:rPr>
                <w:sz w:val="1"/>
                <w:szCs w:val="1"/>
                <w:color w:val="auto"/>
              </w:rPr>
            </w:pPr>
          </w:p>
        </w:tc>
      </w:tr>
      <w:tr>
        <w:trPr>
          <w:trHeight w:val="244"/>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color w:val="auto"/>
              </w:rPr>
              <w:t>Repayment of bank loans</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(46,367,270)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(810,623)</w:t>
            </w:r>
          </w:p>
        </w:tc>
        <w:tc>
          <w:tcPr>
            <w:tcW w:w="0" w:type="dxa"/>
            <w:vAlign w:val="bottom"/>
          </w:tcPr>
          <w:p>
            <w:pPr>
              <w:spacing w:after="0"/>
              <w:rPr>
                <w:sz w:val="1"/>
                <w:szCs w:val="1"/>
                <w:color w:val="auto"/>
              </w:rPr>
            </w:pPr>
          </w:p>
        </w:tc>
      </w:tr>
      <w:tr>
        <w:trPr>
          <w:trHeight w:val="242"/>
        </w:trPr>
        <w:tc>
          <w:tcPr>
            <w:tcW w:w="6300" w:type="dxa"/>
            <w:vAlign w:val="bottom"/>
          </w:tcPr>
          <w:p>
            <w:pPr>
              <w:ind w:left="20"/>
              <w:spacing w:after="0"/>
              <w:rPr>
                <w:sz w:val="20"/>
                <w:szCs w:val="20"/>
                <w:color w:val="auto"/>
              </w:rPr>
            </w:pPr>
            <w:r>
              <w:rPr>
                <w:rFonts w:ascii="Arial" w:cs="Arial" w:eastAsia="Arial" w:hAnsi="Arial"/>
                <w:sz w:val="19"/>
                <w:szCs w:val="19"/>
                <w:color w:val="auto"/>
              </w:rPr>
              <w:t>Proceeds from bank loans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54,896,199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6"/>
              <w:spacing w:after="0"/>
              <w:rPr>
                <w:sz w:val="20"/>
                <w:szCs w:val="20"/>
                <w:color w:val="auto"/>
              </w:rPr>
            </w:pPr>
            <w:r>
              <w:rPr>
                <w:rFonts w:ascii="Arial" w:cs="Arial" w:eastAsia="Arial" w:hAnsi="Arial"/>
                <w:sz w:val="19"/>
                <w:szCs w:val="19"/>
                <w:color w:val="auto"/>
              </w:rPr>
              <w:t>20,172,821</w:t>
            </w:r>
          </w:p>
        </w:tc>
        <w:tc>
          <w:tcPr>
            <w:tcW w:w="0" w:type="dxa"/>
            <w:vAlign w:val="bottom"/>
          </w:tcPr>
          <w:p>
            <w:pPr>
              <w:spacing w:after="0"/>
              <w:rPr>
                <w:sz w:val="1"/>
                <w:szCs w:val="1"/>
                <w:color w:val="auto"/>
              </w:rPr>
            </w:pPr>
          </w:p>
        </w:tc>
      </w:tr>
      <w:tr>
        <w:trPr>
          <w:trHeight w:val="244"/>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color w:val="auto"/>
              </w:rPr>
              <w:t>Net change in warehouse line borrowings for loans held for sale</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(60,432,330)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9"/>
                <w:szCs w:val="19"/>
                <w:color w:val="auto"/>
              </w:rPr>
              <w:t>16,982,783</w:t>
            </w:r>
          </w:p>
        </w:tc>
        <w:tc>
          <w:tcPr>
            <w:tcW w:w="0" w:type="dxa"/>
            <w:vAlign w:val="bottom"/>
          </w:tcPr>
          <w:p>
            <w:pPr>
              <w:spacing w:after="0"/>
              <w:rPr>
                <w:sz w:val="1"/>
                <w:szCs w:val="1"/>
                <w:color w:val="auto"/>
              </w:rPr>
            </w:pPr>
          </w:p>
        </w:tc>
      </w:tr>
      <w:tr>
        <w:trPr>
          <w:trHeight w:val="235"/>
        </w:trPr>
        <w:tc>
          <w:tcPr>
            <w:tcW w:w="6300" w:type="dxa"/>
            <w:vAlign w:val="bottom"/>
            <w:tcBorders>
              <w:bottom w:val="single" w:sz="8" w:color="CCEEFF"/>
            </w:tcBorders>
          </w:tcPr>
          <w:p>
            <w:pPr>
              <w:ind w:left="180"/>
              <w:spacing w:after="0"/>
              <w:rPr>
                <w:sz w:val="20"/>
                <w:szCs w:val="20"/>
                <w:color w:val="auto"/>
              </w:rPr>
            </w:pPr>
            <w:r>
              <w:rPr>
                <w:rFonts w:ascii="Arial" w:cs="Arial" w:eastAsia="Arial" w:hAnsi="Arial"/>
                <w:sz w:val="19"/>
                <w:szCs w:val="19"/>
                <w:color w:val="auto"/>
              </w:rPr>
              <w:t>Net cash provided by (used in) financing activities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(54,567,872)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34,203,394</w:t>
            </w:r>
          </w:p>
        </w:tc>
        <w:tc>
          <w:tcPr>
            <w:tcW w:w="0" w:type="dxa"/>
            <w:vAlign w:val="bottom"/>
          </w:tcPr>
          <w:p>
            <w:pPr>
              <w:spacing w:after="0"/>
              <w:rPr>
                <w:sz w:val="1"/>
                <w:szCs w:val="1"/>
                <w:color w:val="auto"/>
              </w:rPr>
            </w:pPr>
          </w:p>
        </w:tc>
      </w:tr>
      <w:tr>
        <w:trPr>
          <w:trHeight w:val="238"/>
        </w:trPr>
        <w:tc>
          <w:tcPr>
            <w:tcW w:w="6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300" w:type="dxa"/>
            <w:vAlign w:val="bottom"/>
          </w:tcPr>
          <w:p>
            <w:pPr>
              <w:ind w:left="20"/>
              <w:spacing w:after="0" w:line="201" w:lineRule="exact"/>
              <w:rPr>
                <w:sz w:val="20"/>
                <w:szCs w:val="20"/>
                <w:color w:val="auto"/>
              </w:rPr>
            </w:pPr>
            <w:r>
              <w:rPr>
                <w:rFonts w:ascii="Arial" w:cs="Arial" w:eastAsia="Arial" w:hAnsi="Arial"/>
                <w:sz w:val="19"/>
                <w:szCs w:val="19"/>
                <w:b w:val="1"/>
                <w:bCs w:val="1"/>
                <w:color w:val="auto"/>
                <w:w w:val="94"/>
              </w:rPr>
              <w:t>Net change in cash, cash equivalents, restricted cash and restricted cash</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9"/>
                <w:szCs w:val="19"/>
                <w:b w:val="1"/>
                <w:bCs w:val="1"/>
                <w:color w:val="auto"/>
              </w:rPr>
              <w:t>equivalents</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38,361,077</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(17,336,522)</w:t>
            </w:r>
          </w:p>
        </w:tc>
        <w:tc>
          <w:tcPr>
            <w:tcW w:w="0" w:type="dxa"/>
            <w:vAlign w:val="bottom"/>
          </w:tcPr>
          <w:p>
            <w:pPr>
              <w:spacing w:after="0"/>
              <w:rPr>
                <w:sz w:val="1"/>
                <w:szCs w:val="1"/>
                <w:color w:val="auto"/>
              </w:rPr>
            </w:pPr>
          </w:p>
        </w:tc>
      </w:tr>
      <w:tr>
        <w:trPr>
          <w:trHeight w:val="242"/>
        </w:trPr>
        <w:tc>
          <w:tcPr>
            <w:tcW w:w="6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300" w:type="dxa"/>
            <w:vAlign w:val="bottom"/>
          </w:tcPr>
          <w:p>
            <w:pPr>
              <w:ind w:left="20"/>
              <w:spacing w:after="0" w:line="207" w:lineRule="exact"/>
              <w:rPr>
                <w:sz w:val="20"/>
                <w:szCs w:val="20"/>
                <w:color w:val="auto"/>
              </w:rPr>
            </w:pPr>
            <w:r>
              <w:rPr>
                <w:rFonts w:ascii="Arial" w:cs="Arial" w:eastAsia="Arial" w:hAnsi="Arial"/>
                <w:sz w:val="19"/>
                <w:szCs w:val="19"/>
                <w:color w:val="auto"/>
                <w:w w:val="88"/>
              </w:rPr>
              <w:t>Cash, cash equivalents, restricted cash and restricted cash equivalents at beginning</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9"/>
                <w:szCs w:val="19"/>
                <w:color w:val="auto"/>
              </w:rPr>
              <w:t>of period</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115,465,086</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137,735,673</w:t>
            </w:r>
          </w:p>
        </w:tc>
        <w:tc>
          <w:tcPr>
            <w:tcW w:w="0" w:type="dxa"/>
            <w:vAlign w:val="bottom"/>
          </w:tcPr>
          <w:p>
            <w:pPr>
              <w:spacing w:after="0"/>
              <w:rPr>
                <w:sz w:val="1"/>
                <w:szCs w:val="1"/>
                <w:color w:val="auto"/>
              </w:rPr>
            </w:pPr>
          </w:p>
        </w:tc>
      </w:tr>
      <w:tr>
        <w:trPr>
          <w:trHeight w:val="242"/>
        </w:trPr>
        <w:tc>
          <w:tcPr>
            <w:tcW w:w="6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300" w:type="dxa"/>
            <w:vAlign w:val="bottom"/>
          </w:tcPr>
          <w:p>
            <w:pPr>
              <w:ind w:left="20"/>
              <w:spacing w:after="0" w:line="201" w:lineRule="exact"/>
              <w:rPr>
                <w:sz w:val="20"/>
                <w:szCs w:val="20"/>
                <w:color w:val="auto"/>
              </w:rPr>
            </w:pPr>
            <w:r>
              <w:rPr>
                <w:rFonts w:ascii="Arial" w:cs="Arial" w:eastAsia="Arial" w:hAnsi="Arial"/>
                <w:sz w:val="19"/>
                <w:szCs w:val="19"/>
                <w:b w:val="1"/>
                <w:bCs w:val="1"/>
                <w:color w:val="auto"/>
                <w:w w:val="88"/>
              </w:rPr>
              <w:t>Cash, cash equivalents, restricted cash and restricted cash equivalents at end</w:t>
            </w:r>
          </w:p>
        </w:tc>
        <w:tc>
          <w:tcPr>
            <w:tcW w:w="140" w:type="dxa"/>
            <w:vAlign w:val="bottom"/>
            <w:vMerge w:val="restart"/>
          </w:tcPr>
          <w:p>
            <w:pPr>
              <w:jc w:val="right"/>
              <w:spacing w:after="0"/>
              <w:rPr>
                <w:sz w:val="20"/>
                <w:szCs w:val="20"/>
                <w:color w:val="auto"/>
              </w:rPr>
            </w:pPr>
            <w:r>
              <w:rPr>
                <w:rFonts w:ascii="Arial" w:cs="Arial" w:eastAsia="Arial" w:hAnsi="Arial"/>
                <w:sz w:val="19"/>
                <w:szCs w:val="19"/>
                <w:color w:val="auto"/>
                <w:w w:val="75"/>
              </w:rPr>
              <w:t>$</w:t>
            </w:r>
          </w:p>
        </w:tc>
        <w:tc>
          <w:tcPr>
            <w:tcW w:w="1200" w:type="dxa"/>
            <w:vAlign w:val="bottom"/>
            <w:vMerge w:val="restart"/>
          </w:tcPr>
          <w:p>
            <w:pPr>
              <w:jc w:val="right"/>
              <w:spacing w:after="0"/>
              <w:rPr>
                <w:sz w:val="20"/>
                <w:szCs w:val="20"/>
                <w:color w:val="auto"/>
              </w:rPr>
            </w:pPr>
            <w:r>
              <w:rPr>
                <w:rFonts w:ascii="Arial" w:cs="Arial" w:eastAsia="Arial" w:hAnsi="Arial"/>
                <w:sz w:val="19"/>
                <w:szCs w:val="19"/>
                <w:color w:val="auto"/>
              </w:rPr>
              <w:t>153,826,163</w:t>
            </w:r>
          </w:p>
        </w:tc>
        <w:tc>
          <w:tcPr>
            <w:tcW w:w="8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9"/>
                <w:szCs w:val="19"/>
                <w:color w:val="auto"/>
                <w:w w:val="94"/>
              </w:rPr>
              <w:t>$</w:t>
            </w:r>
          </w:p>
        </w:tc>
        <w:tc>
          <w:tcPr>
            <w:tcW w:w="1200" w:type="dxa"/>
            <w:vAlign w:val="bottom"/>
            <w:vMerge w:val="restart"/>
          </w:tcPr>
          <w:p>
            <w:pPr>
              <w:jc w:val="right"/>
              <w:ind w:right="26"/>
              <w:spacing w:after="0"/>
              <w:rPr>
                <w:sz w:val="20"/>
                <w:szCs w:val="20"/>
                <w:color w:val="auto"/>
              </w:rPr>
            </w:pPr>
            <w:r>
              <w:rPr>
                <w:rFonts w:ascii="Arial" w:cs="Arial" w:eastAsia="Arial" w:hAnsi="Arial"/>
                <w:sz w:val="19"/>
                <w:szCs w:val="19"/>
                <w:color w:val="auto"/>
              </w:rPr>
              <w:t>120,399,151</w:t>
            </w:r>
          </w:p>
        </w:tc>
        <w:tc>
          <w:tcPr>
            <w:tcW w:w="0" w:type="dxa"/>
            <w:vAlign w:val="bottom"/>
          </w:tcPr>
          <w:p>
            <w:pPr>
              <w:spacing w:after="0"/>
              <w:rPr>
                <w:sz w:val="1"/>
                <w:szCs w:val="1"/>
                <w:color w:val="auto"/>
              </w:rPr>
            </w:pPr>
          </w:p>
        </w:tc>
      </w:tr>
      <w:tr>
        <w:trPr>
          <w:trHeight w:val="284"/>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9"/>
                <w:szCs w:val="19"/>
                <w:b w:val="1"/>
                <w:bCs w:val="1"/>
                <w:color w:val="auto"/>
              </w:rPr>
              <w:t>of period</w:t>
            </w:r>
          </w:p>
        </w:tc>
        <w:tc>
          <w:tcPr>
            <w:tcW w:w="14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9"/>
                <w:szCs w:val="19"/>
                <w:b w:val="1"/>
                <w:bCs w:val="1"/>
                <w:color w:val="auto"/>
              </w:rPr>
              <w:t>Supplemental Disclosure of Cash Flow Information:</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color w:val="auto"/>
              </w:rPr>
              <w:t>Cash paid during the year for:</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00" w:type="dxa"/>
            <w:vAlign w:val="bottom"/>
          </w:tcPr>
          <w:p>
            <w:pPr>
              <w:ind w:left="20"/>
              <w:spacing w:after="0"/>
              <w:rPr>
                <w:sz w:val="20"/>
                <w:szCs w:val="20"/>
                <w:color w:val="auto"/>
              </w:rPr>
            </w:pPr>
            <w:r>
              <w:rPr>
                <w:rFonts w:ascii="Arial" w:cs="Arial" w:eastAsia="Arial" w:hAnsi="Arial"/>
                <w:sz w:val="19"/>
                <w:szCs w:val="19"/>
                <w:color w:val="auto"/>
              </w:rPr>
              <w:t>Interest</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2,142,375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200" w:type="dxa"/>
            <w:vAlign w:val="bottom"/>
          </w:tcPr>
          <w:p>
            <w:pPr>
              <w:jc w:val="right"/>
              <w:ind w:right="26"/>
              <w:spacing w:after="0"/>
              <w:rPr>
                <w:sz w:val="20"/>
                <w:szCs w:val="20"/>
                <w:color w:val="auto"/>
              </w:rPr>
            </w:pPr>
            <w:r>
              <w:rPr>
                <w:rFonts w:ascii="Arial" w:cs="Arial" w:eastAsia="Arial" w:hAnsi="Arial"/>
                <w:sz w:val="19"/>
                <w:szCs w:val="19"/>
                <w:color w:val="auto"/>
              </w:rPr>
              <w:t>1,845,747</w:t>
            </w:r>
          </w:p>
        </w:tc>
        <w:tc>
          <w:tcPr>
            <w:tcW w:w="0" w:type="dxa"/>
            <w:vAlign w:val="bottom"/>
          </w:tcPr>
          <w:p>
            <w:pPr>
              <w:spacing w:after="0"/>
              <w:rPr>
                <w:sz w:val="1"/>
                <w:szCs w:val="1"/>
                <w:color w:val="auto"/>
              </w:rPr>
            </w:pPr>
          </w:p>
        </w:tc>
      </w:tr>
      <w:tr>
        <w:trPr>
          <w:trHeight w:val="244"/>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color w:val="auto"/>
              </w:rPr>
              <w:t>Income taxes (net of refunds)</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6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b w:val="1"/>
                <w:bCs w:val="1"/>
                <w:color w:val="auto"/>
              </w:rPr>
              <w:t>Non Cash Operating, Investing and Financing Activities:</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00" w:type="dxa"/>
            <w:vAlign w:val="bottom"/>
          </w:tcPr>
          <w:p>
            <w:pPr>
              <w:ind w:left="20"/>
              <w:spacing w:after="0"/>
              <w:rPr>
                <w:sz w:val="20"/>
                <w:szCs w:val="20"/>
                <w:color w:val="auto"/>
              </w:rPr>
            </w:pPr>
            <w:r>
              <w:rPr>
                <w:rFonts w:ascii="Arial" w:cs="Arial" w:eastAsia="Arial" w:hAnsi="Arial"/>
                <w:sz w:val="19"/>
                <w:szCs w:val="19"/>
                <w:color w:val="auto"/>
              </w:rPr>
              <w:t>Accrued real estate construction costs and retainage</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4,521,048</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200" w:type="dxa"/>
            <w:vAlign w:val="bottom"/>
          </w:tcPr>
          <w:p>
            <w:pPr>
              <w:jc w:val="right"/>
              <w:ind w:right="26"/>
              <w:spacing w:after="0"/>
              <w:rPr>
                <w:sz w:val="20"/>
                <w:szCs w:val="20"/>
                <w:color w:val="auto"/>
              </w:rPr>
            </w:pPr>
            <w:r>
              <w:rPr>
                <w:rFonts w:ascii="Arial" w:cs="Arial" w:eastAsia="Arial" w:hAnsi="Arial"/>
                <w:sz w:val="19"/>
                <w:szCs w:val="19"/>
                <w:color w:val="auto"/>
              </w:rPr>
              <w:t>399,976</w:t>
            </w:r>
          </w:p>
        </w:tc>
        <w:tc>
          <w:tcPr>
            <w:tcW w:w="0" w:type="dxa"/>
            <w:vAlign w:val="bottom"/>
          </w:tcPr>
          <w:p>
            <w:pPr>
              <w:spacing w:after="0"/>
              <w:rPr>
                <w:sz w:val="1"/>
                <w:szCs w:val="1"/>
                <w:color w:val="auto"/>
              </w:rPr>
            </w:pPr>
          </w:p>
        </w:tc>
      </w:tr>
      <w:tr>
        <w:trPr>
          <w:trHeight w:val="244"/>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color w:val="auto"/>
              </w:rPr>
              <w:t>Benefit plans funded with treasury stock</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1,922,422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9"/>
                <w:szCs w:val="19"/>
                <w:color w:val="auto"/>
              </w:rPr>
              <w:t>482,361</w:t>
            </w:r>
          </w:p>
        </w:tc>
        <w:tc>
          <w:tcPr>
            <w:tcW w:w="0" w:type="dxa"/>
            <w:vAlign w:val="bottom"/>
          </w:tcPr>
          <w:p>
            <w:pPr>
              <w:spacing w:after="0"/>
              <w:rPr>
                <w:sz w:val="1"/>
                <w:szCs w:val="1"/>
                <w:color w:val="auto"/>
              </w:rPr>
            </w:pPr>
          </w:p>
        </w:tc>
      </w:tr>
      <w:tr>
        <w:trPr>
          <w:trHeight w:val="242"/>
        </w:trPr>
        <w:tc>
          <w:tcPr>
            <w:tcW w:w="6300" w:type="dxa"/>
            <w:vAlign w:val="bottom"/>
          </w:tcPr>
          <w:p>
            <w:pPr>
              <w:ind w:left="20"/>
              <w:spacing w:after="0"/>
              <w:rPr>
                <w:sz w:val="20"/>
                <w:szCs w:val="20"/>
                <w:color w:val="auto"/>
              </w:rPr>
            </w:pPr>
            <w:r>
              <w:rPr>
                <w:rFonts w:ascii="Arial" w:cs="Arial" w:eastAsia="Arial" w:hAnsi="Arial"/>
                <w:sz w:val="19"/>
                <w:szCs w:val="19"/>
                <w:color w:val="auto"/>
              </w:rPr>
              <w:t>Right-of-use assets obtained in exchange for operating lease liabilities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1,082,388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6"/>
              <w:spacing w:after="0"/>
              <w:rPr>
                <w:sz w:val="20"/>
                <w:szCs w:val="20"/>
                <w:color w:val="auto"/>
              </w:rPr>
            </w:pPr>
            <w:r>
              <w:rPr>
                <w:rFonts w:ascii="Arial" w:cs="Arial" w:eastAsia="Arial" w:hAnsi="Arial"/>
                <w:sz w:val="19"/>
                <w:szCs w:val="19"/>
                <w:color w:val="auto"/>
              </w:rPr>
              <w:t>3,271,518</w:t>
            </w:r>
          </w:p>
        </w:tc>
        <w:tc>
          <w:tcPr>
            <w:tcW w:w="0" w:type="dxa"/>
            <w:vAlign w:val="bottom"/>
          </w:tcPr>
          <w:p>
            <w:pPr>
              <w:spacing w:after="0"/>
              <w:rPr>
                <w:sz w:val="1"/>
                <w:szCs w:val="1"/>
                <w:color w:val="auto"/>
              </w:rPr>
            </w:pPr>
          </w:p>
        </w:tc>
      </w:tr>
      <w:tr>
        <w:trPr>
          <w:trHeight w:val="244"/>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color w:val="auto"/>
                <w:w w:val="91"/>
              </w:rPr>
              <w:t>Mortgage loans held for investment foreclosed into real estate held for investment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389,145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2"/>
        </w:trPr>
        <w:tc>
          <w:tcPr>
            <w:tcW w:w="6300" w:type="dxa"/>
            <w:vAlign w:val="bottom"/>
          </w:tcPr>
          <w:p>
            <w:pPr>
              <w:ind w:left="20"/>
              <w:spacing w:after="0"/>
              <w:rPr>
                <w:sz w:val="20"/>
                <w:szCs w:val="20"/>
                <w:color w:val="auto"/>
              </w:rPr>
            </w:pPr>
            <w:r>
              <w:rPr>
                <w:rFonts w:ascii="Arial" w:cs="Arial" w:eastAsia="Arial" w:hAnsi="Arial"/>
                <w:sz w:val="19"/>
                <w:szCs w:val="19"/>
                <w:color w:val="auto"/>
              </w:rPr>
              <w:t>Transfer of loans held for sale to mortgage loans held for investment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201,951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6"/>
              <w:spacing w:after="0"/>
              <w:rPr>
                <w:sz w:val="20"/>
                <w:szCs w:val="20"/>
                <w:color w:val="auto"/>
              </w:rPr>
            </w:pPr>
            <w:r>
              <w:rPr>
                <w:rFonts w:ascii="Arial" w:cs="Arial" w:eastAsia="Arial" w:hAnsi="Arial"/>
                <w:sz w:val="19"/>
                <w:szCs w:val="19"/>
                <w:color w:val="auto"/>
              </w:rPr>
              <w:t>8,933,676</w:t>
            </w:r>
          </w:p>
        </w:tc>
        <w:tc>
          <w:tcPr>
            <w:tcW w:w="0" w:type="dxa"/>
            <w:vAlign w:val="bottom"/>
          </w:tcPr>
          <w:p>
            <w:pPr>
              <w:spacing w:after="0"/>
              <w:rPr>
                <w:sz w:val="1"/>
                <w:szCs w:val="1"/>
                <w:color w:val="auto"/>
              </w:rPr>
            </w:pPr>
          </w:p>
        </w:tc>
      </w:tr>
      <w:tr>
        <w:trPr>
          <w:trHeight w:val="244"/>
        </w:trPr>
        <w:tc>
          <w:tcPr>
            <w:tcW w:w="6300" w:type="dxa"/>
            <w:vAlign w:val="bottom"/>
            <w:shd w:val="clear" w:color="auto" w:fill="CCEEFF"/>
          </w:tcPr>
          <w:p>
            <w:pPr>
              <w:ind w:left="20"/>
              <w:spacing w:after="0"/>
              <w:rPr>
                <w:sz w:val="20"/>
                <w:szCs w:val="20"/>
                <w:color w:val="auto"/>
              </w:rPr>
            </w:pPr>
            <w:r>
              <w:rPr>
                <w:rFonts w:ascii="Arial" w:cs="Arial" w:eastAsia="Arial" w:hAnsi="Arial"/>
                <w:sz w:val="19"/>
                <w:szCs w:val="19"/>
                <w:color w:val="auto"/>
              </w:rPr>
              <w:t>Right-of-use assets obtained in exchange for finance lease liabilities</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9"/>
                <w:szCs w:val="19"/>
                <w:color w:val="auto"/>
              </w:rPr>
              <w:t>9,394</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57607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20"/>
          <w:szCs w:val="20"/>
          <w:color w:val="auto"/>
        </w:rPr>
        <w:t>SECURITY NATIONAL FINANCIAL CORPORATION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AND SUBSIDIARIES</w:t>
      </w:r>
    </w:p>
    <w:p>
      <w:pPr>
        <w:jc w:val="center"/>
        <w:ind w:right="79"/>
        <w:spacing w:after="0"/>
        <w:rPr>
          <w:sz w:val="20"/>
          <w:szCs w:val="20"/>
          <w:color w:val="auto"/>
        </w:rPr>
      </w:pPr>
      <w:r>
        <w:rPr>
          <w:rFonts w:ascii="Arial" w:cs="Arial" w:eastAsia="Arial" w:hAnsi="Arial"/>
          <w:sz w:val="20"/>
          <w:szCs w:val="20"/>
          <w:color w:val="auto"/>
        </w:rPr>
        <w:t>CONDENSED CONSOLIDATED STATEMENTS OF CASH FLOWS (Continued)</w:t>
      </w:r>
    </w:p>
    <w:p>
      <w:pPr>
        <w:jc w:val="center"/>
        <w:ind w:right="79"/>
        <w:spacing w:after="0"/>
        <w:rPr>
          <w:sz w:val="20"/>
          <w:szCs w:val="20"/>
          <w:color w:val="auto"/>
        </w:rPr>
      </w:pPr>
      <w:r>
        <w:rPr>
          <w:rFonts w:ascii="Arial" w:cs="Arial" w:eastAsia="Arial" w:hAnsi="Arial"/>
          <w:sz w:val="20"/>
          <w:szCs w:val="20"/>
          <w:color w:val="auto"/>
        </w:rPr>
        <w:t>(Unaudited)</w:t>
      </w:r>
    </w:p>
    <w:p>
      <w:pPr>
        <w:spacing w:after="0" w:line="105" w:lineRule="exact"/>
        <w:rPr>
          <w:sz w:val="20"/>
          <w:szCs w:val="20"/>
          <w:color w:val="auto"/>
        </w:rPr>
      </w:pPr>
    </w:p>
    <w:p>
      <w:pPr>
        <w:ind w:right="99"/>
        <w:spacing w:after="0" w:line="260" w:lineRule="auto"/>
        <w:rPr>
          <w:sz w:val="20"/>
          <w:szCs w:val="20"/>
          <w:color w:val="auto"/>
        </w:rPr>
      </w:pPr>
      <w:r>
        <w:rPr>
          <w:rFonts w:ascii="Arial" w:cs="Arial" w:eastAsia="Arial" w:hAnsi="Arial"/>
          <w:sz w:val="20"/>
          <w:szCs w:val="20"/>
          <w:color w:val="auto"/>
        </w:rPr>
        <w:t>Reconciliation of cash, cash equivalents, restricted cash and restricted cash equivalents as shown in the condensed consolidated statements of cash flows is presented in the table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9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jc w:val="right"/>
              <w:ind w:right="306"/>
              <w:spacing w:after="0"/>
              <w:rPr>
                <w:sz w:val="20"/>
                <w:szCs w:val="20"/>
                <w:color w:val="auto"/>
              </w:rPr>
            </w:pPr>
            <w:r>
              <w:rPr>
                <w:rFonts w:ascii="Arial" w:cs="Arial" w:eastAsia="Arial" w:hAnsi="Arial"/>
                <w:sz w:val="19"/>
                <w:szCs w:val="19"/>
                <w:color w:val="auto"/>
                <w:w w:val="93"/>
              </w:rPr>
              <w:t>Three Months Ended March 31</w:t>
            </w:r>
          </w:p>
        </w:tc>
      </w:tr>
      <w:tr>
        <w:trPr>
          <w:trHeight w:val="241"/>
        </w:trPr>
        <w:tc>
          <w:tcPr>
            <w:tcW w:w="59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66"/>
              <w:spacing w:after="0"/>
              <w:rPr>
                <w:sz w:val="20"/>
                <w:szCs w:val="20"/>
                <w:color w:val="auto"/>
              </w:rPr>
            </w:pPr>
            <w:r>
              <w:rPr>
                <w:rFonts w:ascii="Arial" w:cs="Arial" w:eastAsia="Arial" w:hAnsi="Arial"/>
                <w:sz w:val="19"/>
                <w:szCs w:val="19"/>
                <w:color w:val="auto"/>
              </w:rPr>
              <w:t>2021</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6"/>
              <w:spacing w:after="0"/>
              <w:rPr>
                <w:sz w:val="20"/>
                <w:szCs w:val="20"/>
                <w:color w:val="auto"/>
              </w:rPr>
            </w:pPr>
            <w:r>
              <w:rPr>
                <w:rFonts w:ascii="Arial" w:cs="Arial" w:eastAsia="Arial" w:hAnsi="Arial"/>
                <w:sz w:val="19"/>
                <w:szCs w:val="19"/>
                <w:color w:val="auto"/>
              </w:rPr>
              <w:t>2020</w:t>
            </w:r>
          </w:p>
        </w:tc>
      </w:tr>
      <w:tr>
        <w:trPr>
          <w:trHeight w:val="238"/>
        </w:trPr>
        <w:tc>
          <w:tcPr>
            <w:tcW w:w="5920" w:type="dxa"/>
            <w:vAlign w:val="bottom"/>
            <w:shd w:val="clear" w:color="auto" w:fill="CCEEFF"/>
          </w:tcPr>
          <w:p>
            <w:pPr>
              <w:ind w:left="20"/>
              <w:spacing w:after="0"/>
              <w:rPr>
                <w:sz w:val="20"/>
                <w:szCs w:val="20"/>
                <w:color w:val="auto"/>
              </w:rPr>
            </w:pPr>
            <w:r>
              <w:rPr>
                <w:rFonts w:ascii="Arial" w:cs="Arial" w:eastAsia="Arial" w:hAnsi="Arial"/>
                <w:sz w:val="19"/>
                <w:szCs w:val="19"/>
                <w:color w:val="auto"/>
              </w:rPr>
              <w:t>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9"/>
                <w:szCs w:val="19"/>
                <w:color w:val="auto"/>
              </w:rPr>
              <w:t>144,159,566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46"/>
              <w:spacing w:after="0"/>
              <w:rPr>
                <w:sz w:val="20"/>
                <w:szCs w:val="20"/>
                <w:color w:val="auto"/>
              </w:rPr>
            </w:pPr>
            <w:r>
              <w:rPr>
                <w:rFonts w:ascii="Arial" w:cs="Arial" w:eastAsia="Arial" w:hAnsi="Arial"/>
                <w:sz w:val="19"/>
                <w:szCs w:val="19"/>
                <w:color w:val="auto"/>
              </w:rPr>
              <w:t>$</w:t>
            </w: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9"/>
                <w:szCs w:val="19"/>
                <w:color w:val="auto"/>
              </w:rPr>
              <w:t>103,769,066</w:t>
            </w:r>
          </w:p>
        </w:tc>
      </w:tr>
      <w:tr>
        <w:trPr>
          <w:trHeight w:val="242"/>
        </w:trPr>
        <w:tc>
          <w:tcPr>
            <w:tcW w:w="5920" w:type="dxa"/>
            <w:vAlign w:val="bottom"/>
          </w:tcPr>
          <w:p>
            <w:pPr>
              <w:ind w:left="20"/>
              <w:spacing w:after="0"/>
              <w:rPr>
                <w:sz w:val="20"/>
                <w:szCs w:val="20"/>
                <w:color w:val="auto"/>
              </w:rPr>
            </w:pPr>
            <w:r>
              <w:rPr>
                <w:rFonts w:ascii="Arial" w:cs="Arial" w:eastAsia="Arial" w:hAnsi="Arial"/>
                <w:sz w:val="19"/>
                <w:szCs w:val="19"/>
                <w:color w:val="auto"/>
              </w:rPr>
              <w:t>Restricted assets</w:t>
            </w:r>
          </w:p>
        </w:tc>
        <w:tc>
          <w:tcPr>
            <w:tcW w:w="300" w:type="dxa"/>
            <w:vAlign w:val="bottom"/>
          </w:tcPr>
          <w:p>
            <w:pPr>
              <w:spacing w:after="0"/>
              <w:rPr>
                <w:sz w:val="21"/>
                <w:szCs w:val="21"/>
                <w:color w:val="auto"/>
              </w:rPr>
            </w:pPr>
          </w:p>
        </w:tc>
        <w:tc>
          <w:tcPr>
            <w:tcW w:w="1200" w:type="dxa"/>
            <w:vAlign w:val="bottom"/>
          </w:tcPr>
          <w:p>
            <w:pPr>
              <w:jc w:val="right"/>
              <w:ind w:right="6"/>
              <w:spacing w:after="0"/>
              <w:rPr>
                <w:sz w:val="20"/>
                <w:szCs w:val="20"/>
                <w:color w:val="auto"/>
              </w:rPr>
            </w:pPr>
            <w:r>
              <w:rPr>
                <w:rFonts w:ascii="Arial" w:cs="Arial" w:eastAsia="Arial" w:hAnsi="Arial"/>
                <w:sz w:val="19"/>
                <w:szCs w:val="19"/>
                <w:color w:val="auto"/>
              </w:rPr>
              <w:t>9,256,997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26"/>
              <w:spacing w:after="0"/>
              <w:rPr>
                <w:sz w:val="20"/>
                <w:szCs w:val="20"/>
                <w:color w:val="auto"/>
              </w:rPr>
            </w:pPr>
            <w:r>
              <w:rPr>
                <w:rFonts w:ascii="Arial" w:cs="Arial" w:eastAsia="Arial" w:hAnsi="Arial"/>
                <w:sz w:val="19"/>
                <w:szCs w:val="19"/>
                <w:color w:val="auto"/>
              </w:rPr>
              <w:t>15,347,648</w:t>
            </w:r>
          </w:p>
        </w:tc>
      </w:tr>
      <w:tr>
        <w:trPr>
          <w:trHeight w:val="244"/>
        </w:trPr>
        <w:tc>
          <w:tcPr>
            <w:tcW w:w="5920" w:type="dxa"/>
            <w:vAlign w:val="bottom"/>
            <w:shd w:val="clear" w:color="auto" w:fill="CCEEFF"/>
          </w:tcPr>
          <w:p>
            <w:pPr>
              <w:ind w:left="20"/>
              <w:spacing w:after="0"/>
              <w:rPr>
                <w:sz w:val="20"/>
                <w:szCs w:val="20"/>
                <w:color w:val="auto"/>
              </w:rPr>
            </w:pPr>
            <w:r>
              <w:rPr>
                <w:rFonts w:ascii="Arial" w:cs="Arial" w:eastAsia="Arial" w:hAnsi="Arial"/>
                <w:sz w:val="19"/>
                <w:szCs w:val="19"/>
                <w:color w:val="auto"/>
              </w:rPr>
              <w:t>Cemetery perpetual care trust investments</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9"/>
                <w:szCs w:val="19"/>
                <w:color w:val="auto"/>
              </w:rPr>
              <w:t>409,600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9"/>
                <w:szCs w:val="19"/>
                <w:color w:val="auto"/>
              </w:rPr>
              <w:t>1,282,437</w:t>
            </w:r>
          </w:p>
        </w:tc>
      </w:tr>
      <w:tr>
        <w:trPr>
          <w:trHeight w:val="243"/>
        </w:trPr>
        <w:tc>
          <w:tcPr>
            <w:tcW w:w="59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37"/>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9"/>
                <w:szCs w:val="19"/>
                <w:color w:val="auto"/>
                <w:w w:val="91"/>
              </w:rPr>
              <w:t>Total cash, cash equivalents, restricted cash and restricted cash equivalents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9"/>
                <w:szCs w:val="19"/>
                <w:color w:val="auto"/>
              </w:rPr>
              <w:t>153,826,163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9"/>
                <w:szCs w:val="19"/>
                <w:color w:val="auto"/>
              </w:rPr>
              <w:t>$</w:t>
            </w:r>
          </w:p>
        </w:tc>
        <w:tc>
          <w:tcPr>
            <w:tcW w:w="12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9"/>
                <w:szCs w:val="19"/>
                <w:color w:val="auto"/>
              </w:rPr>
              <w:t>120,399,151</w:t>
            </w:r>
          </w:p>
        </w:tc>
      </w:tr>
      <w:tr>
        <w:trPr>
          <w:trHeight w:val="20"/>
        </w:trPr>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condensed consolidated financial statements (unaudited).</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57607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9" w:name="page10"/>
    <w:bookmarkEnd w:id="9"/>
    <w:p>
      <w:pPr>
        <w:ind w:left="1320"/>
        <w:spacing w:after="0"/>
        <w:rPr>
          <w:sz w:val="20"/>
          <w:szCs w:val="20"/>
          <w:color w:val="auto"/>
        </w:rPr>
      </w:pPr>
      <w:r>
        <w:rPr>
          <w:rFonts w:ascii="Arial" w:cs="Arial" w:eastAsia="Arial" w:hAnsi="Arial"/>
          <w:sz w:val="20"/>
          <w:szCs w:val="20"/>
          <w:color w:val="auto"/>
        </w:rPr>
        <w:t>SECURITY NATIONAL FINANCIAL CORPORATION AND SUBSIDIARIES</w:t>
      </w:r>
    </w:p>
    <w:p>
      <w:pPr>
        <w:spacing w:after="0" w:line="15" w:lineRule="exact"/>
        <w:rPr>
          <w:sz w:val="20"/>
          <w:szCs w:val="20"/>
          <w:color w:val="auto"/>
        </w:rPr>
      </w:pPr>
    </w:p>
    <w:p>
      <w:pPr>
        <w:ind w:left="2340"/>
        <w:spacing w:after="0"/>
        <w:rPr>
          <w:sz w:val="20"/>
          <w:szCs w:val="20"/>
          <w:color w:val="auto"/>
        </w:rPr>
      </w:pPr>
      <w:r>
        <w:rPr>
          <w:rFonts w:ascii="Arial" w:cs="Arial" w:eastAsia="Arial" w:hAnsi="Arial"/>
          <w:sz w:val="20"/>
          <w:szCs w:val="20"/>
          <w:color w:val="auto"/>
        </w:rPr>
        <w:t>Notes to Condensed Consolidated Financial Statements</w:t>
      </w:r>
    </w:p>
    <w:p>
      <w:pPr>
        <w:ind w:left="3720"/>
        <w:spacing w:after="0"/>
        <w:rPr>
          <w:sz w:val="20"/>
          <w:szCs w:val="20"/>
          <w:color w:val="auto"/>
        </w:rPr>
      </w:pPr>
      <w:r>
        <w:rPr>
          <w:rFonts w:ascii="Arial" w:cs="Arial" w:eastAsia="Arial" w:hAnsi="Arial"/>
          <w:sz w:val="20"/>
          <w:szCs w:val="20"/>
          <w:color w:val="auto"/>
        </w:rPr>
        <w:t>March 31, 2021 (Unaudited)</w:t>
      </w:r>
    </w:p>
    <w:p>
      <w:pPr>
        <w:spacing w:after="0" w:line="240" w:lineRule="exact"/>
        <w:rPr>
          <w:sz w:val="20"/>
          <w:szCs w:val="20"/>
          <w:color w:val="auto"/>
        </w:rPr>
      </w:pPr>
    </w:p>
    <w:p>
      <w:pPr>
        <w:ind w:left="480" w:hanging="48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Basis of Presentation</w:t>
      </w:r>
    </w:p>
    <w:p>
      <w:pPr>
        <w:spacing w:after="0" w:line="229" w:lineRule="exact"/>
        <w:rPr>
          <w:sz w:val="20"/>
          <w:szCs w:val="20"/>
          <w:color w:val="auto"/>
        </w:rPr>
      </w:pPr>
    </w:p>
    <w:p>
      <w:pPr>
        <w:jc w:val="both"/>
        <w:ind w:right="79"/>
        <w:spacing w:after="0" w:line="271"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2020, included in the Company’s Annual Report on Form 10-K (File Number 000-09341). In the opinion of management, all adjustments (consisting of normal recurring accruals) considered necessary for a fair presentation have been included. Operating results for the three months ended March 31, 2021 are not necessarily indicative of the results that may be expected for the year ending December 31, 2021.</w:t>
      </w:r>
    </w:p>
    <w:p>
      <w:pPr>
        <w:spacing w:after="0" w:line="187" w:lineRule="exact"/>
        <w:rPr>
          <w:sz w:val="20"/>
          <w:szCs w:val="20"/>
          <w:color w:val="auto"/>
        </w:rPr>
      </w:pPr>
    </w:p>
    <w:p>
      <w:pPr>
        <w:jc w:val="both"/>
        <w:ind w:right="99"/>
        <w:spacing w:after="0" w:line="27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spacing w:after="0" w:line="178" w:lineRule="exact"/>
        <w:rPr>
          <w:sz w:val="20"/>
          <w:szCs w:val="20"/>
          <w:color w:val="auto"/>
        </w:rPr>
      </w:pPr>
    </w:p>
    <w:p>
      <w:pPr>
        <w:jc w:val="both"/>
        <w:ind w:right="99"/>
        <w:spacing w:after="0" w:line="256" w:lineRule="auto"/>
        <w:rPr>
          <w:sz w:val="20"/>
          <w:szCs w:val="20"/>
          <w:color w:val="auto"/>
        </w:rPr>
      </w:pPr>
      <w:r>
        <w:rPr>
          <w:rFonts w:ascii="Arial" w:cs="Arial" w:eastAsia="Arial" w:hAnsi="Arial"/>
          <w:sz w:val="19"/>
          <w:szCs w:val="19"/>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those used in estimating other than temporary impairments on available for sale securities;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98" w:lineRule="exact"/>
        <w:rPr>
          <w:sz w:val="20"/>
          <w:szCs w:val="20"/>
          <w:color w:val="auto"/>
        </w:rPr>
      </w:pPr>
    </w:p>
    <w:p>
      <w:pPr>
        <w:jc w:val="both"/>
        <w:ind w:right="79"/>
        <w:spacing w:after="0" w:line="272" w:lineRule="auto"/>
        <w:rPr>
          <w:sz w:val="20"/>
          <w:szCs w:val="20"/>
          <w:color w:val="auto"/>
        </w:rPr>
      </w:pPr>
      <w:r>
        <w:rPr>
          <w:rFonts w:ascii="Arial" w:cs="Arial" w:eastAsia="Arial" w:hAnsi="Arial"/>
          <w:sz w:val="18"/>
          <w:szCs w:val="18"/>
          <w:u w:val="single" w:color="auto"/>
          <w:color w:val="auto"/>
        </w:rPr>
        <w:t>COVID-19</w:t>
      </w:r>
      <w:r>
        <w:rPr>
          <w:rFonts w:ascii="Arial" w:cs="Arial" w:eastAsia="Arial" w:hAnsi="Arial"/>
          <w:sz w:val="18"/>
          <w:szCs w:val="18"/>
          <w:color w:val="auto"/>
        </w:rPr>
        <w:t>. During 2020, the outbreak of COVID-19 had spread worldwide and was declared a global pandemic by the World Health Organization on March 11, 2020. COVID-19 poses a threat to the health and economic well-being of the Company’s employees, customers, and vendors. The Company is closely monitoring developments relating to the COVID-19 pandemic and assessing its impact on the Company’s business. The COVID-19 pandemic has had and continues to have a major impact on the global economy and financial markets. Governments and businesses have taken numerous measures to try to contain the virus, which include the implementation of travel bans, self-imposed quarantine periods, and social distancing. These measures have disrupted and will continue to disrupt businesses globally. Governments and central banks have reacted with significant monetary and fiscal interventions designed to stabilize the economic conditions.</w:t>
      </w:r>
    </w:p>
    <w:p>
      <w:pPr>
        <w:spacing w:after="0" w:line="184" w:lineRule="exact"/>
        <w:rPr>
          <w:sz w:val="20"/>
          <w:szCs w:val="20"/>
          <w:color w:val="auto"/>
        </w:rPr>
      </w:pPr>
    </w:p>
    <w:p>
      <w:pPr>
        <w:jc w:val="both"/>
        <w:ind w:right="79"/>
        <w:spacing w:after="0" w:line="274" w:lineRule="auto"/>
        <w:rPr>
          <w:sz w:val="20"/>
          <w:szCs w:val="20"/>
          <w:color w:val="auto"/>
        </w:rPr>
      </w:pPr>
      <w:r>
        <w:rPr>
          <w:rFonts w:ascii="Arial" w:cs="Arial" w:eastAsia="Arial" w:hAnsi="Arial"/>
          <w:sz w:val="18"/>
          <w:szCs w:val="18"/>
          <w:color w:val="auto"/>
        </w:rPr>
        <w:t>Like most businesses, COVID-19 has impacted the Company. However, the Company cannot, with any certainty predict the severity or duration with which COVID-19 will impact the Company’s business, financial condition, results of operations, and cash flows. To the extent the COVID-19 pandemic adversely affects the Company’s business, financial condition, and results of operations, it may also have the effect of heightening many of the other risks described in this Management’s Discussion and Analysis of Financial Condition and Results of Operations. These uncertainties have the potential to negatively affect the risk of credit default for the issuers of the Company’s fixed maturity debt securities and individual borrowers with mortgage loans held by the Company.</w:t>
      </w:r>
    </w:p>
    <w:p>
      <w:pPr>
        <w:spacing w:after="0" w:line="182" w:lineRule="exact"/>
        <w:rPr>
          <w:sz w:val="20"/>
          <w:szCs w:val="20"/>
          <w:color w:val="auto"/>
        </w:rPr>
      </w:pPr>
    </w:p>
    <w:p>
      <w:pPr>
        <w:jc w:val="both"/>
        <w:ind w:right="79"/>
        <w:spacing w:after="0" w:line="250" w:lineRule="auto"/>
        <w:rPr>
          <w:sz w:val="20"/>
          <w:szCs w:val="20"/>
          <w:color w:val="auto"/>
        </w:rPr>
      </w:pPr>
      <w:r>
        <w:rPr>
          <w:rFonts w:ascii="Arial" w:cs="Arial" w:eastAsia="Arial" w:hAnsi="Arial"/>
          <w:sz w:val="20"/>
          <w:szCs w:val="20"/>
          <w:color w:val="auto"/>
        </w:rPr>
        <w:t>The Company has implemented risk management, business continuity plans and has taken preventive measures and other precautions, such as business travel restrictions and remote work arrangements. Such measures and precautions have enabled the Company to continue to conduct business.</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420" w:right="1440" w:bottom="1440" w:gutter="0" w:footer="0" w:header="0"/>
        </w:sectPr>
      </w:pPr>
    </w:p>
    <w:bookmarkStart w:id="10" w:name="page11"/>
    <w:bookmarkEnd w:id="10"/>
    <w:p>
      <w:pPr>
        <w:ind w:left="1320"/>
        <w:spacing w:after="0"/>
        <w:rPr>
          <w:sz w:val="20"/>
          <w:szCs w:val="20"/>
          <w:color w:val="auto"/>
        </w:rPr>
      </w:pPr>
      <w:r>
        <w:rPr>
          <w:rFonts w:ascii="Arial" w:cs="Arial" w:eastAsia="Arial" w:hAnsi="Arial"/>
          <w:sz w:val="20"/>
          <w:szCs w:val="20"/>
          <w:color w:val="auto"/>
        </w:rPr>
        <w:t>SECURITY NATIONAL FINANCIAL CORPORATION AND SUBSIDIARIES</w:t>
      </w:r>
    </w:p>
    <w:p>
      <w:pPr>
        <w:spacing w:after="0" w:line="15" w:lineRule="exact"/>
        <w:rPr>
          <w:sz w:val="20"/>
          <w:szCs w:val="20"/>
          <w:color w:val="auto"/>
        </w:rPr>
      </w:pPr>
    </w:p>
    <w:p>
      <w:pPr>
        <w:ind w:left="2340"/>
        <w:spacing w:after="0"/>
        <w:rPr>
          <w:sz w:val="20"/>
          <w:szCs w:val="20"/>
          <w:color w:val="auto"/>
        </w:rPr>
      </w:pPr>
      <w:r>
        <w:rPr>
          <w:rFonts w:ascii="Arial" w:cs="Arial" w:eastAsia="Arial" w:hAnsi="Arial"/>
          <w:sz w:val="20"/>
          <w:szCs w:val="20"/>
          <w:color w:val="auto"/>
        </w:rPr>
        <w:t>Notes to Condensed Consolidated Financial Statements</w:t>
      </w:r>
    </w:p>
    <w:p>
      <w:pPr>
        <w:ind w:left="3720"/>
        <w:spacing w:after="0"/>
        <w:rPr>
          <w:sz w:val="20"/>
          <w:szCs w:val="20"/>
          <w:color w:val="auto"/>
        </w:rPr>
      </w:pPr>
      <w:r>
        <w:rPr>
          <w:rFonts w:ascii="Arial" w:cs="Arial" w:eastAsia="Arial" w:hAnsi="Arial"/>
          <w:sz w:val="20"/>
          <w:szCs w:val="20"/>
          <w:color w:val="auto"/>
        </w:rPr>
        <w:t>March 31, 2021 (Unaudited)</w:t>
      </w:r>
    </w:p>
    <w:p>
      <w:pPr>
        <w:spacing w:after="0" w:line="240" w:lineRule="exact"/>
        <w:rPr>
          <w:sz w:val="20"/>
          <w:szCs w:val="20"/>
          <w:color w:val="auto"/>
        </w:rPr>
      </w:pPr>
    </w:p>
    <w:p>
      <w:pPr>
        <w:ind w:left="480" w:hanging="48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Recent Accounting Pronouncements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Standards Adopted in 2020</w:t>
      </w:r>
    </w:p>
    <w:p>
      <w:pPr>
        <w:spacing w:after="0" w:line="235" w:lineRule="exact"/>
        <w:rPr>
          <w:sz w:val="20"/>
          <w:szCs w:val="20"/>
          <w:color w:val="auto"/>
        </w:rPr>
      </w:pPr>
    </w:p>
    <w:p>
      <w:pPr>
        <w:jc w:val="both"/>
        <w:ind w:right="99"/>
        <w:spacing w:after="0" w:line="256" w:lineRule="auto"/>
        <w:rPr>
          <w:sz w:val="20"/>
          <w:szCs w:val="20"/>
          <w:color w:val="auto"/>
        </w:rPr>
      </w:pPr>
      <w:r>
        <w:rPr>
          <w:rFonts w:ascii="Arial" w:cs="Arial" w:eastAsia="Arial" w:hAnsi="Arial"/>
          <w:sz w:val="19"/>
          <w:szCs w:val="19"/>
          <w:u w:val="single" w:color="auto"/>
          <w:color w:val="auto"/>
        </w:rPr>
        <w:t>ASU No. 2018-13: “Fair Value Measurement (Topic 820): Disclosure Framework-Changes to the Disclosure Requirements for Fair Value Measurement”</w:t>
      </w:r>
      <w:r>
        <w:rPr>
          <w:rFonts w:ascii="Arial" w:cs="Arial" w:eastAsia="Arial" w:hAnsi="Arial"/>
          <w:sz w:val="19"/>
          <w:szCs w:val="19"/>
          <w:color w:val="auto"/>
        </w:rPr>
        <w:t xml:space="preserve"> – Issued in August 2018, ASU 2018-13 modifies the disclosure requirements of Topic 820 by removing, modifying or adding certain disclosures.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2018-13 does not change the fair value measurements already required or permitted by existing standards. The Company adopted this standard on January 1, 2020. The adoption of this standard did not materially impact the Company’s financial statements. See Note 8 for the Company’s fair value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Standards Issued But Not Yet Adopted</w:t>
      </w:r>
    </w:p>
    <w:p>
      <w:pPr>
        <w:spacing w:after="0" w:line="235" w:lineRule="exact"/>
        <w:rPr>
          <w:sz w:val="20"/>
          <w:szCs w:val="20"/>
          <w:color w:val="auto"/>
        </w:rPr>
      </w:pPr>
    </w:p>
    <w:p>
      <w:pPr>
        <w:jc w:val="both"/>
        <w:ind w:right="79"/>
        <w:spacing w:after="0" w:line="271" w:lineRule="auto"/>
        <w:rPr>
          <w:sz w:val="20"/>
          <w:szCs w:val="20"/>
          <w:color w:val="auto"/>
        </w:rPr>
      </w:pPr>
      <w:r>
        <w:rPr>
          <w:rFonts w:ascii="Arial" w:cs="Arial" w:eastAsia="Arial" w:hAnsi="Arial"/>
          <w:sz w:val="18"/>
          <w:szCs w:val="18"/>
          <w:u w:val="single" w:color="auto"/>
          <w:color w:val="auto"/>
        </w:rPr>
        <w:t>ASU No. 2016-13: “Financial Instruments – Credit Losses (Topic 326)”</w:t>
      </w:r>
      <w:r>
        <w:rPr>
          <w:rFonts w:ascii="Arial" w:cs="Arial" w:eastAsia="Arial" w:hAnsi="Arial"/>
          <w:sz w:val="18"/>
          <w:szCs w:val="18"/>
          <w:color w:val="auto"/>
        </w:rPr>
        <w:t xml:space="preserve"> – Issued in September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In October 2019, the FASB proposed an update to ASU No. 2016-13 that would make the ASU effective for the Company on January 1, 2023. The Company is in the process of evaluating the potential impact of this standard, especially as it relates to mortgage loans held for investment.</w:t>
      </w:r>
    </w:p>
    <w:p>
      <w:pPr>
        <w:spacing w:after="0" w:line="183" w:lineRule="exact"/>
        <w:rPr>
          <w:sz w:val="20"/>
          <w:szCs w:val="20"/>
          <w:color w:val="auto"/>
        </w:rPr>
      </w:pPr>
    </w:p>
    <w:p>
      <w:pPr>
        <w:jc w:val="both"/>
        <w:ind w:right="99"/>
        <w:spacing w:after="0" w:line="256" w:lineRule="auto"/>
        <w:rPr>
          <w:sz w:val="20"/>
          <w:szCs w:val="20"/>
          <w:color w:val="auto"/>
        </w:rPr>
      </w:pPr>
      <w:r>
        <w:rPr>
          <w:rFonts w:ascii="Arial" w:cs="Arial" w:eastAsia="Arial" w:hAnsi="Arial"/>
          <w:sz w:val="19"/>
          <w:szCs w:val="19"/>
          <w:u w:val="single" w:color="auto"/>
          <w:color w:val="auto"/>
        </w:rPr>
        <w:t>ASU No. 2018-12: “Financial Services – Insurance (Topic 944): Targeted Improvements to the Accounting for Long-Duration Contracts”</w:t>
      </w:r>
      <w:r>
        <w:rPr>
          <w:rFonts w:ascii="Arial" w:cs="Arial" w:eastAsia="Arial" w:hAnsi="Arial"/>
          <w:sz w:val="19"/>
          <w:szCs w:val="19"/>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simplify and improve the accounting for certain market-based options or guarantees associated with deposit or account balance contracts, simplify amortization of deferred acquisition costs while improving and expanding required disclosures. In November 2020, the FASB issued an update to ASU No. 2018-12 that made the ASU effective for the Company on January 1, 2025. The Company is in the process of evaluating the potential impact of this standard.</w:t>
      </w:r>
    </w:p>
    <w:p>
      <w:pPr>
        <w:spacing w:after="0" w:line="198" w:lineRule="exact"/>
        <w:rPr>
          <w:sz w:val="20"/>
          <w:szCs w:val="20"/>
          <w:color w:val="auto"/>
        </w:rPr>
      </w:pPr>
    </w:p>
    <w:p>
      <w:pPr>
        <w:jc w:val="both"/>
        <w:ind w:right="99"/>
        <w:spacing w:after="0" w:line="260" w:lineRule="auto"/>
        <w:rPr>
          <w:sz w:val="20"/>
          <w:szCs w:val="20"/>
          <w:color w:val="auto"/>
        </w:rPr>
      </w:pPr>
      <w:r>
        <w:rPr>
          <w:rFonts w:ascii="Arial" w:cs="Arial" w:eastAsia="Arial" w:hAnsi="Arial"/>
          <w:sz w:val="20"/>
          <w:szCs w:val="20"/>
          <w:color w:val="auto"/>
        </w:rPr>
        <w:t>The Company has reviewed other recent accounting pronouncements and has determined that they will not significantly impact the Company’s results of operations or financial position.</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420" w:right="1440" w:bottom="1440" w:gutter="0" w:footer="0" w:header="0"/>
        </w:sectPr>
      </w:pPr>
    </w:p>
    <w:bookmarkStart w:id="11" w:name="page12"/>
    <w:bookmarkEnd w:id="11"/>
    <w:p>
      <w:pPr>
        <w:ind w:left="1320"/>
        <w:spacing w:after="0"/>
        <w:rPr>
          <w:sz w:val="20"/>
          <w:szCs w:val="20"/>
          <w:color w:val="auto"/>
        </w:rPr>
      </w:pPr>
      <w:r>
        <w:rPr>
          <w:rFonts w:ascii="Arial" w:cs="Arial" w:eastAsia="Arial" w:hAnsi="Arial"/>
          <w:sz w:val="20"/>
          <w:szCs w:val="20"/>
          <w:color w:val="auto"/>
        </w:rPr>
        <w:t>SECURITY NATIONAL FINANCIAL CORPORATION AND SUBSIDIARIES</w:t>
      </w:r>
    </w:p>
    <w:p>
      <w:pPr>
        <w:spacing w:after="0" w:line="15" w:lineRule="exact"/>
        <w:rPr>
          <w:sz w:val="20"/>
          <w:szCs w:val="20"/>
          <w:color w:val="auto"/>
        </w:rPr>
      </w:pPr>
    </w:p>
    <w:p>
      <w:pPr>
        <w:ind w:left="2340"/>
        <w:spacing w:after="0"/>
        <w:rPr>
          <w:sz w:val="20"/>
          <w:szCs w:val="20"/>
          <w:color w:val="auto"/>
        </w:rPr>
      </w:pPr>
      <w:r>
        <w:rPr>
          <w:rFonts w:ascii="Arial" w:cs="Arial" w:eastAsia="Arial" w:hAnsi="Arial"/>
          <w:sz w:val="20"/>
          <w:szCs w:val="20"/>
          <w:color w:val="auto"/>
        </w:rPr>
        <w:t>Notes to Condensed Consolidated Financial Statements</w:t>
      </w:r>
    </w:p>
    <w:p>
      <w:pPr>
        <w:ind w:left="3720"/>
        <w:spacing w:after="0"/>
        <w:rPr>
          <w:sz w:val="20"/>
          <w:szCs w:val="20"/>
          <w:color w:val="auto"/>
        </w:rPr>
      </w:pPr>
      <w:r>
        <w:rPr>
          <w:rFonts w:ascii="Arial" w:cs="Arial" w:eastAsia="Arial" w:hAnsi="Arial"/>
          <w:sz w:val="20"/>
          <w:szCs w:val="20"/>
          <w:color w:val="auto"/>
        </w:rPr>
        <w:t>March 31, 2021 (Unaudited)</w:t>
      </w:r>
    </w:p>
    <w:p>
      <w:pPr>
        <w:spacing w:after="0" w:line="240" w:lineRule="exact"/>
        <w:rPr>
          <w:sz w:val="20"/>
          <w:szCs w:val="20"/>
          <w:color w:val="auto"/>
        </w:rPr>
      </w:pPr>
    </w:p>
    <w:p>
      <w:pPr>
        <w:ind w:left="480" w:hanging="480"/>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u w:val="single" w:color="auto"/>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Company’s investments as of March 31, 2021 are summarized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Amortized</w:t>
            </w:r>
          </w:p>
        </w:tc>
        <w:tc>
          <w:tcPr>
            <w:tcW w:w="128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Unrealized</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Unrealized</w:t>
            </w:r>
          </w:p>
        </w:tc>
        <w:tc>
          <w:tcPr>
            <w:tcW w:w="1200" w:type="dxa"/>
            <w:vAlign w:val="bottom"/>
            <w:gridSpan w:val="2"/>
          </w:tcPr>
          <w:p>
            <w:pPr>
              <w:ind w:left="60"/>
              <w:spacing w:after="0"/>
              <w:rPr>
                <w:sz w:val="20"/>
                <w:szCs w:val="20"/>
                <w:color w:val="auto"/>
              </w:rPr>
            </w:pPr>
            <w:r>
              <w:rPr>
                <w:rFonts w:ascii="Arial" w:cs="Arial" w:eastAsia="Arial" w:hAnsi="Arial"/>
                <w:sz w:val="18"/>
                <w:szCs w:val="18"/>
                <w:color w:val="auto"/>
                <w:w w:val="96"/>
              </w:rPr>
              <w:t>Estimated 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Cost</w:t>
            </w:r>
          </w:p>
        </w:tc>
        <w:tc>
          <w:tcPr>
            <w:tcW w:w="28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Gains</w:t>
            </w:r>
          </w:p>
        </w:tc>
        <w:tc>
          <w:tcPr>
            <w:tcW w:w="220" w:type="dxa"/>
            <w:vAlign w:val="bottom"/>
          </w:tcPr>
          <w:p>
            <w:pPr>
              <w:spacing w:after="0"/>
              <w:rPr>
                <w:sz w:val="20"/>
                <w:szCs w:val="2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03"/>
        </w:trPr>
        <w:tc>
          <w:tcPr>
            <w:tcW w:w="4260" w:type="dxa"/>
            <w:vAlign w:val="bottom"/>
            <w:tcBorders>
              <w:top w:val="single" w:sz="8" w:color="CCEEFF"/>
            </w:tcBorders>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March 31, 2021:</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Fixed maturity securities, available for sale, at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estimated fair value:</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Treasury securities and obligations of U.S.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42,427,856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1,099,519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43,527,375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5,370,754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209,554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5,555,739</w:t>
            </w: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179,026,864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21,203,792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(501,358)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199,729,298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29,799,733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892,449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(236,547)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30,455,635</w:t>
            </w: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269,214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282,481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gridSpan w:val="2"/>
          </w:tcPr>
          <w:p>
            <w:pPr>
              <w:ind w:left="360"/>
              <w:spacing w:after="0" w:line="195" w:lineRule="exact"/>
              <w:rPr>
                <w:sz w:val="20"/>
                <w:szCs w:val="20"/>
                <w:color w:val="auto"/>
              </w:rPr>
            </w:pPr>
            <w:r>
              <w:rPr>
                <w:rFonts w:ascii="Arial" w:cs="Arial" w:eastAsia="Arial" w:hAnsi="Arial"/>
                <w:sz w:val="18"/>
                <w:szCs w:val="18"/>
                <w:color w:val="auto"/>
              </w:rPr>
              <w:t>Total fixed maturity securities available for</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7"/>
              </w:rPr>
              <w:t>256,894,421</w:t>
            </w:r>
          </w:p>
        </w:tc>
        <w:tc>
          <w:tcPr>
            <w:tcW w:w="100" w:type="dxa"/>
            <w:vAlign w:val="bottom"/>
          </w:tcPr>
          <w:p>
            <w:pPr>
              <w:spacing w:after="0"/>
              <w:rPr>
                <w:sz w:val="16"/>
                <w:szCs w:val="1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23,418,581</w:t>
            </w:r>
          </w:p>
        </w:tc>
        <w:tc>
          <w:tcPr>
            <w:tcW w:w="8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8"/>
              </w:rPr>
              <w:t>(762,474)</w:t>
            </w:r>
          </w:p>
        </w:tc>
        <w:tc>
          <w:tcPr>
            <w:tcW w:w="100" w:type="dxa"/>
            <w:vAlign w:val="bottom"/>
          </w:tcPr>
          <w:p>
            <w:pPr>
              <w:spacing w:after="0"/>
              <w:rPr>
                <w:sz w:val="16"/>
                <w:szCs w:val="16"/>
                <w:color w:val="auto"/>
              </w:rPr>
            </w:pPr>
          </w:p>
        </w:tc>
        <w:tc>
          <w:tcPr>
            <w:tcW w:w="22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3"/>
              </w:rPr>
              <w:t>279,550,528</w:t>
            </w:r>
          </w:p>
        </w:tc>
        <w:tc>
          <w:tcPr>
            <w:tcW w:w="0" w:type="dxa"/>
            <w:vAlign w:val="bottom"/>
          </w:tcPr>
          <w:p>
            <w:pPr>
              <w:spacing w:after="0"/>
              <w:rPr>
                <w:sz w:val="1"/>
                <w:szCs w:val="1"/>
                <w:color w:val="auto"/>
              </w:rPr>
            </w:pPr>
          </w:p>
        </w:tc>
      </w:tr>
      <w:tr>
        <w:trPr>
          <w:trHeight w:val="270"/>
        </w:trPr>
        <w:tc>
          <w:tcPr>
            <w:tcW w:w="42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sale</w:t>
            </w:r>
          </w:p>
        </w:tc>
        <w:tc>
          <w:tcPr>
            <w:tcW w:w="140" w:type="dxa"/>
            <w:vAlign w:val="bottom"/>
            <w:tcBorders>
              <w:bottom w:val="single" w:sz="8" w:color="auto"/>
            </w:tcBorders>
            <w:vMerge w:val="continue"/>
          </w:tcPr>
          <w:p>
            <w:pPr>
              <w:spacing w:after="0"/>
              <w:rPr>
                <w:sz w:val="23"/>
                <w:szCs w:val="23"/>
                <w:color w:val="auto"/>
              </w:rPr>
            </w:pPr>
          </w:p>
        </w:tc>
        <w:tc>
          <w:tcPr>
            <w:tcW w:w="10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vMerge w:val="continue"/>
          </w:tcPr>
          <w:p>
            <w:pPr>
              <w:spacing w:after="0"/>
              <w:rPr>
                <w:sz w:val="23"/>
                <w:szCs w:val="23"/>
                <w:color w:val="auto"/>
              </w:rPr>
            </w:pPr>
          </w:p>
        </w:tc>
        <w:tc>
          <w:tcPr>
            <w:tcW w:w="92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vMerge w:val="continue"/>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vMerge w:val="continue"/>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securities at estimated fair value: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Industrial, miscellaneous and all other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8,913,275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2,586,343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(345,123)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11,154,495</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4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8,913,275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2,586,343</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(345,123)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11,154,495</w:t>
            </w:r>
          </w:p>
        </w:tc>
        <w:tc>
          <w:tcPr>
            <w:tcW w:w="0" w:type="dxa"/>
            <w:vAlign w:val="bottom"/>
          </w:tcPr>
          <w:p>
            <w:pPr>
              <w:spacing w:after="0"/>
              <w:rPr>
                <w:sz w:val="1"/>
                <w:szCs w:val="1"/>
                <w:color w:val="auto"/>
              </w:rPr>
            </w:pPr>
          </w:p>
        </w:tc>
      </w:tr>
      <w:tr>
        <w:trPr>
          <w:trHeight w:val="175"/>
        </w:trPr>
        <w:tc>
          <w:tcPr>
            <w:tcW w:w="4260" w:type="dxa"/>
            <w:vAlign w:val="bottom"/>
            <w:gridSpan w:val="3"/>
            <w:shd w:val="clear" w:color="auto" w:fill="CCEEFF"/>
          </w:tcPr>
          <w:p>
            <w:pPr>
              <w:ind w:left="20"/>
              <w:spacing w:after="0" w:line="175" w:lineRule="exact"/>
              <w:rPr>
                <w:sz w:val="20"/>
                <w:szCs w:val="20"/>
                <w:color w:val="auto"/>
              </w:rPr>
            </w:pPr>
            <w:r>
              <w:rPr>
                <w:rFonts w:ascii="Arial" w:cs="Arial" w:eastAsia="Arial" w:hAnsi="Arial"/>
                <w:sz w:val="18"/>
                <w:szCs w:val="18"/>
                <w:color w:val="auto"/>
              </w:rPr>
              <w:t>Mortgage loans held for investment at amortized</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88,266,355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105,450,591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55,065,455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Unamortized deferred loan fees, net</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(1,223,014)</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2"/>
          </w:tcPr>
          <w:p>
            <w:pPr>
              <w:ind w:left="360"/>
              <w:spacing w:after="0"/>
              <w:rPr>
                <w:sz w:val="20"/>
                <w:szCs w:val="20"/>
                <w:color w:val="auto"/>
              </w:rPr>
            </w:pPr>
            <w:r>
              <w:rPr>
                <w:rFonts w:ascii="Arial" w:cs="Arial" w:eastAsia="Arial" w:hAnsi="Arial"/>
                <w:sz w:val="18"/>
                <w:szCs w:val="18"/>
                <w:color w:val="auto"/>
              </w:rPr>
              <w:t>Less: Allowance for loan losses</w:t>
            </w:r>
          </w:p>
        </w:tc>
        <w:tc>
          <w:tcPr>
            <w:tcW w:w="1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(1,897,155)</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Net discounts</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(710,280)</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mortgage loans held for investment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244,951,952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260" w:type="dxa"/>
            <w:vAlign w:val="bottom"/>
            <w:gridSpan w:val="3"/>
            <w:shd w:val="clear" w:color="auto" w:fill="CCEEFF"/>
          </w:tcPr>
          <w:p>
            <w:pPr>
              <w:ind w:left="20"/>
              <w:spacing w:after="0" w:line="175" w:lineRule="exact"/>
              <w:rPr>
                <w:sz w:val="20"/>
                <w:szCs w:val="20"/>
                <w:color w:val="auto"/>
              </w:rPr>
            </w:pPr>
            <w:r>
              <w:rPr>
                <w:rFonts w:ascii="Arial" w:cs="Arial" w:eastAsia="Arial" w:hAnsi="Arial"/>
                <w:sz w:val="18"/>
                <w:szCs w:val="18"/>
                <w:color w:val="auto"/>
              </w:rPr>
              <w:t>Real estate held for investment - net of accumulated</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39,752,530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117,288,006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real estate held for investment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157,040,536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gridSpan w:val="3"/>
            <w:shd w:val="clear" w:color="auto" w:fill="CCEEFF"/>
          </w:tcPr>
          <w:p>
            <w:pPr>
              <w:ind w:left="20"/>
              <w:spacing w:after="0" w:line="190" w:lineRule="exact"/>
              <w:rPr>
                <w:sz w:val="20"/>
                <w:szCs w:val="20"/>
                <w:color w:val="auto"/>
              </w:rPr>
            </w:pPr>
            <w:r>
              <w:rPr>
                <w:rFonts w:ascii="Arial" w:cs="Arial" w:eastAsia="Arial" w:hAnsi="Arial"/>
                <w:sz w:val="18"/>
                <w:szCs w:val="18"/>
                <w:color w:val="auto"/>
              </w:rPr>
              <w:t>Real estate held for sale:</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1,156,313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4,400,553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real estate held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5,556,866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260" w:type="dxa"/>
            <w:vAlign w:val="bottom"/>
            <w:gridSpan w:val="3"/>
            <w:shd w:val="clear" w:color="auto" w:fill="CCEEFF"/>
          </w:tcPr>
          <w:p>
            <w:pPr>
              <w:ind w:left="20"/>
              <w:spacing w:after="0" w:line="175" w:lineRule="exact"/>
              <w:rPr>
                <w:sz w:val="20"/>
                <w:szCs w:val="20"/>
                <w:color w:val="auto"/>
              </w:rPr>
            </w:pPr>
            <w:r>
              <w:rPr>
                <w:rFonts w:ascii="Arial" w:cs="Arial" w:eastAsia="Arial" w:hAnsi="Arial"/>
                <w:sz w:val="18"/>
                <w:szCs w:val="18"/>
                <w:color w:val="auto"/>
              </w:rPr>
              <w:t>Other investments and policy loans at amortized</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2"/>
          </w:tcPr>
          <w:p>
            <w:pPr>
              <w:ind w:left="360"/>
              <w:spacing w:after="0"/>
              <w:rPr>
                <w:sz w:val="20"/>
                <w:szCs w:val="20"/>
                <w:color w:val="auto"/>
              </w:rPr>
            </w:pPr>
            <w:r>
              <w:rPr>
                <w:rFonts w:ascii="Arial" w:cs="Arial" w:eastAsia="Arial" w:hAnsi="Arial"/>
                <w:sz w:val="18"/>
                <w:szCs w:val="18"/>
                <w:color w:val="auto"/>
              </w:rPr>
              <w:t>Policy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13,946,739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Insurance assignments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54,618,319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2"/>
          </w:tcPr>
          <w:p>
            <w:pPr>
              <w:ind w:left="360"/>
              <w:spacing w:after="0"/>
              <w:rPr>
                <w:sz w:val="20"/>
                <w:szCs w:val="20"/>
                <w:color w:val="auto"/>
              </w:rPr>
            </w:pPr>
            <w:r>
              <w:rPr>
                <w:rFonts w:ascii="Arial" w:cs="Arial" w:eastAsia="Arial" w:hAnsi="Arial"/>
                <w:sz w:val="18"/>
                <w:szCs w:val="18"/>
                <w:color w:val="auto"/>
              </w:rPr>
              <w:t>Federal Home Loan Bank stock (1)</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2,544,700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investments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5,242,786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2"/>
          </w:tcPr>
          <w:p>
            <w:pPr>
              <w:ind w:left="360"/>
              <w:spacing w:after="0"/>
              <w:rPr>
                <w:sz w:val="20"/>
                <w:szCs w:val="20"/>
                <w:color w:val="auto"/>
              </w:rPr>
            </w:pPr>
            <w:r>
              <w:rPr>
                <w:rFonts w:ascii="Arial" w:cs="Arial" w:eastAsia="Arial" w:hAnsi="Arial"/>
                <w:sz w:val="18"/>
                <w:szCs w:val="18"/>
                <w:color w:val="auto"/>
              </w:rPr>
              <w:t>Less: Allowance for doubtful accounts</w:t>
            </w:r>
          </w:p>
        </w:tc>
        <w:tc>
          <w:tcPr>
            <w:tcW w:w="1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(1,662,394)</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policy loans and other investments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74,690,150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ind w:left="20"/>
              <w:spacing w:after="0"/>
              <w:rPr>
                <w:sz w:val="20"/>
                <w:szCs w:val="20"/>
                <w:color w:val="auto"/>
              </w:rPr>
            </w:pPr>
            <w:r>
              <w:rPr>
                <w:rFonts w:ascii="Arial" w:cs="Arial" w:eastAsia="Arial" w:hAnsi="Arial"/>
                <w:sz w:val="18"/>
                <w:szCs w:val="18"/>
                <w:color w:val="auto"/>
              </w:rPr>
              <w:t>Accrued investment income</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60" w:type="dxa"/>
            <w:vAlign w:val="bottom"/>
            <w:tcBorders>
              <w:bottom w:val="single" w:sz="8" w:color="CCEEFF"/>
            </w:tcBorders>
            <w:gridSpan w:val="3"/>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6,266,403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260" w:type="dxa"/>
            <w:vAlign w:val="bottom"/>
            <w:tcBorders>
              <w:bottom w:val="single" w:sz="8" w:color="CCEEFF"/>
            </w:tcBorders>
            <w:gridSpan w:val="3"/>
            <w:shd w:val="clear" w:color="auto" w:fill="CCEEFF"/>
          </w:tcPr>
          <w:p>
            <w:pPr>
              <w:ind w:left="20"/>
              <w:spacing w:after="0" w:line="190" w:lineRule="exact"/>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779,210,930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20" w:hanging="320"/>
        <w:spacing w:after="0"/>
        <w:tabs>
          <w:tab w:leader="none" w:pos="320" w:val="left"/>
        </w:tabs>
        <w:numPr>
          <w:ilvl w:val="0"/>
          <w:numId w:val="7"/>
        </w:numPr>
        <w:rPr>
          <w:rFonts w:ascii="Arial" w:cs="Arial" w:eastAsia="Arial" w:hAnsi="Arial"/>
          <w:sz w:val="19"/>
          <w:szCs w:val="19"/>
          <w:color w:val="auto"/>
        </w:rPr>
      </w:pPr>
      <w:r>
        <w:rPr>
          <w:rFonts w:ascii="Arial" w:cs="Arial" w:eastAsia="Arial" w:hAnsi="Arial"/>
          <w:sz w:val="19"/>
          <w:szCs w:val="19"/>
          <w:color w:val="auto"/>
        </w:rPr>
        <w:t>Includes $905,700 of Membership stock and $1,639,000 of Activity stock due to short-term borrowings.</w:t>
      </w:r>
    </w:p>
    <w:p>
      <w:pPr>
        <w:spacing w:after="0" w:line="254" w:lineRule="exact"/>
        <w:rPr>
          <w:rFonts w:ascii="Arial" w:cs="Arial" w:eastAsia="Arial" w:hAnsi="Arial"/>
          <w:sz w:val="19"/>
          <w:szCs w:val="19"/>
          <w:color w:val="auto"/>
        </w:rPr>
      </w:pPr>
    </w:p>
    <w:p>
      <w:pPr>
        <w:ind w:left="4440"/>
        <w:spacing w:after="0"/>
        <w:rPr>
          <w:rFonts w:ascii="Arial" w:cs="Arial" w:eastAsia="Arial" w:hAnsi="Arial"/>
          <w:sz w:val="19"/>
          <w:szCs w:val="19"/>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420" w:right="1440" w:bottom="1440" w:gutter="0" w:footer="0" w:header="0"/>
        </w:sectPr>
      </w:pPr>
    </w:p>
    <w:bookmarkStart w:id="12" w:name="page13"/>
    <w:bookmarkEnd w:id="12"/>
    <w:p>
      <w:pPr>
        <w:jc w:val="center"/>
        <w:ind w:right="79"/>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118" w:lineRule="exact"/>
        <w:rPr>
          <w:sz w:val="20"/>
          <w:szCs w:val="20"/>
          <w:color w:val="auto"/>
        </w:rPr>
      </w:pPr>
    </w:p>
    <w:p>
      <w:pPr>
        <w:ind w:left="480" w:hanging="480"/>
        <w:spacing w:after="0"/>
        <w:tabs>
          <w:tab w:leader="none" w:pos="480"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The Company’s investments as of December 31, 2020 are summarized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w w:val="95"/>
              </w:rPr>
              <w:t>Gross</w:t>
            </w:r>
          </w:p>
        </w:tc>
        <w:tc>
          <w:tcPr>
            <w:tcW w:w="200" w:type="dxa"/>
            <w:vAlign w:val="bottom"/>
          </w:tcPr>
          <w:p>
            <w:pPr>
              <w:spacing w:after="0"/>
              <w:rPr>
                <w:sz w:val="18"/>
                <w:szCs w:val="18"/>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8"/>
                <w:szCs w:val="18"/>
                <w:color w:val="auto"/>
                <w:w w:val="91"/>
              </w:rPr>
              <w:t>Gross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Amortized</w:t>
            </w:r>
          </w:p>
        </w:tc>
        <w:tc>
          <w:tcPr>
            <w:tcW w:w="1060" w:type="dxa"/>
            <w:vAlign w:val="bottom"/>
            <w:gridSpan w:val="4"/>
          </w:tcPr>
          <w:p>
            <w:pPr>
              <w:ind w:left="20"/>
              <w:spacing w:after="0"/>
              <w:rPr>
                <w:sz w:val="20"/>
                <w:szCs w:val="20"/>
                <w:color w:val="auto"/>
              </w:rPr>
            </w:pPr>
            <w:r>
              <w:rPr>
                <w:rFonts w:ascii="Arial" w:cs="Arial" w:eastAsia="Arial" w:hAnsi="Arial"/>
                <w:sz w:val="18"/>
                <w:szCs w:val="18"/>
                <w:color w:val="auto"/>
              </w:rPr>
              <w:t>Unrealized</w:t>
            </w:r>
          </w:p>
        </w:tc>
        <w:tc>
          <w:tcPr>
            <w:tcW w:w="1120" w:type="dxa"/>
            <w:vAlign w:val="bottom"/>
            <w:gridSpan w:val="4"/>
          </w:tcPr>
          <w:p>
            <w:pPr>
              <w:ind w:left="60"/>
              <w:spacing w:after="0"/>
              <w:rPr>
                <w:sz w:val="20"/>
                <w:szCs w:val="20"/>
                <w:color w:val="auto"/>
              </w:rPr>
            </w:pPr>
            <w:r>
              <w:rPr>
                <w:rFonts w:ascii="Arial" w:cs="Arial" w:eastAsia="Arial" w:hAnsi="Arial"/>
                <w:sz w:val="18"/>
                <w:szCs w:val="18"/>
                <w:color w:val="auto"/>
              </w:rPr>
              <w:t>Unrealized</w:t>
            </w:r>
          </w:p>
        </w:tc>
        <w:tc>
          <w:tcPr>
            <w:tcW w:w="1180" w:type="dxa"/>
            <w:vAlign w:val="bottom"/>
            <w:gridSpan w:val="2"/>
          </w:tcPr>
          <w:p>
            <w:pPr>
              <w:jc w:val="right"/>
              <w:ind w:right="270"/>
              <w:spacing w:after="0"/>
              <w:rPr>
                <w:sz w:val="20"/>
                <w:szCs w:val="20"/>
                <w:color w:val="auto"/>
              </w:rPr>
            </w:pPr>
            <w:r>
              <w:rPr>
                <w:rFonts w:ascii="Arial" w:cs="Arial" w:eastAsia="Arial" w:hAnsi="Arial"/>
                <w:sz w:val="18"/>
                <w:szCs w:val="18"/>
                <w:color w:val="auto"/>
                <w:w w:val="99"/>
              </w:rPr>
              <w:t>Estimated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ind w:left="24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w w:val="97"/>
              </w:rPr>
              <w:t>Gains</w:t>
            </w:r>
          </w:p>
        </w:tc>
        <w:tc>
          <w:tcPr>
            <w:tcW w:w="200" w:type="dxa"/>
            <w:vAlign w:val="bottom"/>
          </w:tcPr>
          <w:p>
            <w:pPr>
              <w:spacing w:after="0"/>
              <w:rPr>
                <w:sz w:val="20"/>
                <w:szCs w:val="20"/>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w w:val="84"/>
              </w:rPr>
              <w:t>Losses</w:t>
            </w: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Fair Value</w:t>
            </w: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2020:</w:t>
            </w: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Fixed maturity securities, available for sale, at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estimated fair value:</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Treasury securities and obligations of U.S.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42,381,805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1,358,562</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43,740,367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5,383,762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312,214</w:t>
            </w:r>
          </w:p>
        </w:tc>
        <w:tc>
          <w:tcPr>
            <w:tcW w:w="2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(1,261)</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5,694,715</w:t>
            </w: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186,067,912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27,216,496</w:t>
            </w:r>
          </w:p>
        </w:tc>
        <w:tc>
          <w:tcPr>
            <w:tcW w:w="2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(681,478)</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212,602,930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31,047,791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1,565,377</w:t>
            </w:r>
          </w:p>
        </w:tc>
        <w:tc>
          <w:tcPr>
            <w:tcW w:w="2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(267,106)</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32,346,062</w:t>
            </w: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269,214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3,391</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272,605</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44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265,150,484</w:t>
            </w:r>
          </w:p>
        </w:tc>
        <w:tc>
          <w:tcPr>
            <w:tcW w:w="8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30,456,040</w:t>
            </w:r>
          </w:p>
        </w:tc>
        <w:tc>
          <w:tcPr>
            <w:tcW w:w="80" w:type="dxa"/>
            <w:vAlign w:val="bottom"/>
            <w:tcBorders>
              <w:bottom w:val="single" w:sz="8" w:color="CCEEFF"/>
            </w:tcBorders>
          </w:tcPr>
          <w:p>
            <w:pPr>
              <w:spacing w:after="0"/>
              <w:rPr>
                <w:sz w:val="23"/>
                <w:szCs w:val="23"/>
                <w:color w:val="auto"/>
              </w:rPr>
            </w:pPr>
          </w:p>
        </w:tc>
        <w:tc>
          <w:tcPr>
            <w:tcW w:w="6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(949,845)</w:t>
            </w:r>
          </w:p>
        </w:tc>
        <w:tc>
          <w:tcPr>
            <w:tcW w:w="8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294,656,679</w:t>
            </w:r>
          </w:p>
        </w:tc>
        <w:tc>
          <w:tcPr>
            <w:tcW w:w="0" w:type="dxa"/>
            <w:vAlign w:val="bottom"/>
          </w:tcPr>
          <w:p>
            <w:pPr>
              <w:spacing w:after="0"/>
              <w:rPr>
                <w:sz w:val="1"/>
                <w:szCs w:val="1"/>
                <w:color w:val="auto"/>
              </w:rPr>
            </w:pPr>
          </w:p>
        </w:tc>
      </w:tr>
      <w:tr>
        <w:trPr>
          <w:trHeight w:val="230"/>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securities at estimated fair value: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Industrial, miscellaneous and all other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9,698,490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2,376,156</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(750,407)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11,324,239</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4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9,698,490</w:t>
            </w:r>
          </w:p>
        </w:tc>
        <w:tc>
          <w:tcPr>
            <w:tcW w:w="8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2,376,156</w:t>
            </w:r>
          </w:p>
        </w:tc>
        <w:tc>
          <w:tcPr>
            <w:tcW w:w="80" w:type="dxa"/>
            <w:vAlign w:val="bottom"/>
            <w:tcBorders>
              <w:bottom w:val="single" w:sz="8" w:color="CCEEFF"/>
            </w:tcBorders>
          </w:tcPr>
          <w:p>
            <w:pPr>
              <w:spacing w:after="0"/>
              <w:rPr>
                <w:sz w:val="23"/>
                <w:szCs w:val="23"/>
                <w:color w:val="auto"/>
              </w:rPr>
            </w:pPr>
          </w:p>
        </w:tc>
        <w:tc>
          <w:tcPr>
            <w:tcW w:w="6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(750,407)</w:t>
            </w:r>
          </w:p>
        </w:tc>
        <w:tc>
          <w:tcPr>
            <w:tcW w:w="8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11,324,239</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gridSpan w:val="3"/>
            <w:shd w:val="clear" w:color="auto" w:fill="CCEEFF"/>
          </w:tcPr>
          <w:p>
            <w:pPr>
              <w:ind w:left="20"/>
              <w:spacing w:after="0" w:line="190" w:lineRule="exact"/>
              <w:rPr>
                <w:sz w:val="20"/>
                <w:szCs w:val="20"/>
                <w:color w:val="auto"/>
              </w:rPr>
            </w:pPr>
            <w:r>
              <w:rPr>
                <w:rFonts w:ascii="Arial" w:cs="Arial" w:eastAsia="Arial" w:hAnsi="Arial"/>
                <w:sz w:val="18"/>
                <w:szCs w:val="18"/>
                <w:color w:val="auto"/>
              </w:rPr>
              <w:t>Mortgage loans held for investment at amortized cost: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95,822,448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111,111,777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46,836,866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Unamortized deferred loan fees, net</w:t>
            </w:r>
          </w:p>
        </w:tc>
        <w:tc>
          <w:tcPr>
            <w:tcW w:w="1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3"/>
              </w:rPr>
              <w:t>(1,161,132)</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gridSpan w:val="2"/>
          </w:tcPr>
          <w:p>
            <w:pPr>
              <w:ind w:left="360"/>
              <w:spacing w:after="0"/>
              <w:rPr>
                <w:sz w:val="20"/>
                <w:szCs w:val="20"/>
                <w:color w:val="auto"/>
              </w:rPr>
            </w:pPr>
            <w:r>
              <w:rPr>
                <w:rFonts w:ascii="Arial" w:cs="Arial" w:eastAsia="Arial" w:hAnsi="Arial"/>
                <w:sz w:val="18"/>
                <w:szCs w:val="18"/>
                <w:color w:val="auto"/>
              </w:rPr>
              <w:t>Less: Allowance for loan losses</w:t>
            </w:r>
          </w:p>
        </w:tc>
        <w:tc>
          <w:tcPr>
            <w:tcW w:w="140" w:type="dxa"/>
            <w:vAlign w:val="bottom"/>
          </w:tcPr>
          <w:p>
            <w:pPr>
              <w:spacing w:after="0"/>
              <w:rPr>
                <w:sz w:val="20"/>
                <w:szCs w:val="20"/>
                <w:color w:val="auto"/>
              </w:rPr>
            </w:pPr>
          </w:p>
        </w:tc>
        <w:tc>
          <w:tcPr>
            <w:tcW w:w="1120" w:type="dxa"/>
            <w:vAlign w:val="bottom"/>
            <w:gridSpan w:val="3"/>
          </w:tcPr>
          <w:p>
            <w:pPr>
              <w:ind w:left="240"/>
              <w:spacing w:after="0"/>
              <w:rPr>
                <w:sz w:val="20"/>
                <w:szCs w:val="20"/>
                <w:color w:val="auto"/>
              </w:rPr>
            </w:pPr>
            <w:r>
              <w:rPr>
                <w:rFonts w:ascii="Arial" w:cs="Arial" w:eastAsia="Arial" w:hAnsi="Arial"/>
                <w:sz w:val="18"/>
                <w:szCs w:val="18"/>
                <w:color w:val="auto"/>
                <w:w w:val="93"/>
              </w:rPr>
              <w:t>(2,005,127)</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Net discounts</w:t>
            </w:r>
          </w:p>
        </w:tc>
        <w:tc>
          <w:tcPr>
            <w:tcW w:w="1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3"/>
              </w:rPr>
              <w:t>(1,260,896)</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mortgage loans held for investment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249,343,936</w:t>
            </w:r>
          </w:p>
        </w:tc>
        <w:tc>
          <w:tcPr>
            <w:tcW w:w="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460" w:type="dxa"/>
            <w:vAlign w:val="bottom"/>
            <w:gridSpan w:val="3"/>
            <w:shd w:val="clear" w:color="auto" w:fill="CCEEFF"/>
          </w:tcPr>
          <w:p>
            <w:pPr>
              <w:ind w:left="20"/>
              <w:spacing w:after="0" w:line="175" w:lineRule="exact"/>
              <w:rPr>
                <w:sz w:val="20"/>
                <w:szCs w:val="20"/>
                <w:color w:val="auto"/>
              </w:rPr>
            </w:pPr>
            <w:r>
              <w:rPr>
                <w:rFonts w:ascii="Arial" w:cs="Arial" w:eastAsia="Arial" w:hAnsi="Arial"/>
                <w:sz w:val="18"/>
                <w:szCs w:val="18"/>
                <w:color w:val="auto"/>
              </w:rPr>
              <w:t>Real estate held for investment - net of accumulated</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24,843,743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106,840,710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real estate held for investment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131,684,453</w:t>
            </w:r>
          </w:p>
        </w:tc>
        <w:tc>
          <w:tcPr>
            <w:tcW w:w="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gridSpan w:val="3"/>
            <w:shd w:val="clear" w:color="auto" w:fill="CCEEFF"/>
          </w:tcPr>
          <w:p>
            <w:pPr>
              <w:ind w:left="20"/>
              <w:spacing w:after="0" w:line="190" w:lineRule="exact"/>
              <w:rPr>
                <w:sz w:val="20"/>
                <w:szCs w:val="20"/>
                <w:color w:val="auto"/>
              </w:rPr>
            </w:pPr>
            <w:r>
              <w:rPr>
                <w:rFonts w:ascii="Arial" w:cs="Arial" w:eastAsia="Arial" w:hAnsi="Arial"/>
                <w:sz w:val="18"/>
                <w:szCs w:val="18"/>
                <w:color w:val="auto"/>
              </w:rPr>
              <w:t>Real estate held for sale:</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3,478,254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4,400,553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real estate held for sale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7,878,807</w:t>
            </w:r>
          </w:p>
        </w:tc>
        <w:tc>
          <w:tcPr>
            <w:tcW w:w="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gridSpan w:val="3"/>
            <w:shd w:val="clear" w:color="auto" w:fill="CCEEFF"/>
          </w:tcPr>
          <w:p>
            <w:pPr>
              <w:ind w:left="20"/>
              <w:spacing w:after="0" w:line="190" w:lineRule="exact"/>
              <w:rPr>
                <w:sz w:val="20"/>
                <w:szCs w:val="20"/>
                <w:color w:val="auto"/>
              </w:rPr>
            </w:pPr>
            <w:r>
              <w:rPr>
                <w:rFonts w:ascii="Arial" w:cs="Arial" w:eastAsia="Arial" w:hAnsi="Arial"/>
                <w:sz w:val="18"/>
                <w:szCs w:val="18"/>
                <w:color w:val="auto"/>
              </w:rPr>
              <w:t>Other investments and policy loans at amortized cost: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gridSpan w:val="2"/>
          </w:tcPr>
          <w:p>
            <w:pPr>
              <w:ind w:left="360"/>
              <w:spacing w:after="0"/>
              <w:rPr>
                <w:sz w:val="20"/>
                <w:szCs w:val="20"/>
                <w:color w:val="auto"/>
              </w:rPr>
            </w:pPr>
            <w:r>
              <w:rPr>
                <w:rFonts w:ascii="Arial" w:cs="Arial" w:eastAsia="Arial" w:hAnsi="Arial"/>
                <w:sz w:val="18"/>
                <w:szCs w:val="18"/>
                <w:color w:val="auto"/>
              </w:rPr>
              <w:t>Policy loans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14,171,589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Insurance assignments</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53,231,131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gridSpan w:val="2"/>
          </w:tcPr>
          <w:p>
            <w:pPr>
              <w:ind w:left="360"/>
              <w:spacing w:after="0"/>
              <w:rPr>
                <w:sz w:val="20"/>
                <w:szCs w:val="20"/>
                <w:color w:val="auto"/>
              </w:rPr>
            </w:pPr>
            <w:r>
              <w:rPr>
                <w:rFonts w:ascii="Arial" w:cs="Arial" w:eastAsia="Arial" w:hAnsi="Arial"/>
                <w:sz w:val="18"/>
                <w:szCs w:val="18"/>
                <w:color w:val="auto"/>
              </w:rPr>
              <w:t>Federal Home Loan Bank stock (1)</w:t>
            </w: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2,506,600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investments</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5,432,816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gridSpan w:val="2"/>
          </w:tcPr>
          <w:p>
            <w:pPr>
              <w:ind w:left="360"/>
              <w:spacing w:after="0"/>
              <w:rPr>
                <w:sz w:val="20"/>
                <w:szCs w:val="20"/>
                <w:color w:val="auto"/>
              </w:rPr>
            </w:pPr>
            <w:r>
              <w:rPr>
                <w:rFonts w:ascii="Arial" w:cs="Arial" w:eastAsia="Arial" w:hAnsi="Arial"/>
                <w:sz w:val="18"/>
                <w:szCs w:val="18"/>
                <w:color w:val="auto"/>
              </w:rPr>
              <w:t>Less: Allowance for doubtful accounts</w:t>
            </w:r>
          </w:p>
        </w:tc>
        <w:tc>
          <w:tcPr>
            <w:tcW w:w="140" w:type="dxa"/>
            <w:vAlign w:val="bottom"/>
          </w:tcPr>
          <w:p>
            <w:pPr>
              <w:spacing w:after="0"/>
              <w:rPr>
                <w:sz w:val="20"/>
                <w:szCs w:val="20"/>
                <w:color w:val="auto"/>
              </w:rPr>
            </w:pPr>
          </w:p>
        </w:tc>
        <w:tc>
          <w:tcPr>
            <w:tcW w:w="1120" w:type="dxa"/>
            <w:vAlign w:val="bottom"/>
            <w:gridSpan w:val="3"/>
          </w:tcPr>
          <w:p>
            <w:pPr>
              <w:ind w:left="240"/>
              <w:spacing w:after="0"/>
              <w:rPr>
                <w:sz w:val="20"/>
                <w:szCs w:val="20"/>
                <w:color w:val="auto"/>
              </w:rPr>
            </w:pPr>
            <w:r>
              <w:rPr>
                <w:rFonts w:ascii="Arial" w:cs="Arial" w:eastAsia="Arial" w:hAnsi="Arial"/>
                <w:sz w:val="18"/>
                <w:szCs w:val="18"/>
                <w:color w:val="auto"/>
                <w:w w:val="93"/>
              </w:rPr>
              <w:t>(1,645,475)</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policy loans and other investments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73,696,661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ind w:left="20"/>
              <w:spacing w:after="0"/>
              <w:rPr>
                <w:sz w:val="20"/>
                <w:szCs w:val="20"/>
                <w:color w:val="auto"/>
              </w:rPr>
            </w:pPr>
            <w:r>
              <w:rPr>
                <w:rFonts w:ascii="Arial" w:cs="Arial" w:eastAsia="Arial" w:hAnsi="Arial"/>
                <w:sz w:val="18"/>
                <w:szCs w:val="18"/>
                <w:color w:val="auto"/>
              </w:rPr>
              <w:t>Accrued investment income</w:t>
            </w: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60" w:type="dxa"/>
            <w:vAlign w:val="bottom"/>
            <w:tcBorders>
              <w:bottom w:val="single" w:sz="8" w:color="CCEEFF"/>
            </w:tcBorders>
            <w:gridSpan w:val="3"/>
            <w:vMerge w:val="continue"/>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5,360,523</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gridSpan w:val="3"/>
            <w:shd w:val="clear" w:color="auto" w:fill="CCEEFF"/>
          </w:tcPr>
          <w:p>
            <w:pPr>
              <w:ind w:left="20"/>
              <w:spacing w:after="0" w:line="190" w:lineRule="exact"/>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773,945,298</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60" w:hanging="360"/>
        <w:spacing w:after="0"/>
        <w:tabs>
          <w:tab w:leader="none" w:pos="36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Includes $866,900 of Membership stock and $1,639,700 of Activity stock due to short-term borrowings.</w:t>
      </w:r>
    </w:p>
    <w:p>
      <w:pPr>
        <w:spacing w:after="0" w:line="254" w:lineRule="exact"/>
        <w:rPr>
          <w:rFonts w:ascii="Arial" w:cs="Arial" w:eastAsia="Arial" w:hAnsi="Arial"/>
          <w:sz w:val="19"/>
          <w:szCs w:val="19"/>
          <w:color w:val="auto"/>
        </w:rPr>
      </w:pPr>
    </w:p>
    <w:p>
      <w:pPr>
        <w:ind w:left="4440"/>
        <w:spacing w:after="0"/>
        <w:rPr>
          <w:rFonts w:ascii="Arial" w:cs="Arial" w:eastAsia="Arial" w:hAnsi="Arial"/>
          <w:sz w:val="19"/>
          <w:szCs w:val="19"/>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13" w:name="page14"/>
    <w:bookmarkEnd w:id="13"/>
    <w:p>
      <w:pPr>
        <w:jc w:val="center"/>
        <w:ind w:right="79"/>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118" w:lineRule="exact"/>
        <w:rPr>
          <w:sz w:val="20"/>
          <w:szCs w:val="20"/>
          <w:color w:val="auto"/>
        </w:rPr>
      </w:pPr>
    </w:p>
    <w:p>
      <w:pPr>
        <w:ind w:left="480" w:hanging="480"/>
        <w:spacing w:after="0"/>
        <w:tabs>
          <w:tab w:leader="none" w:pos="48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Fixed Maturity Securities</w:t>
      </w:r>
    </w:p>
    <w:p>
      <w:pPr>
        <w:spacing w:after="0" w:line="235" w:lineRule="exact"/>
        <w:rPr>
          <w:sz w:val="20"/>
          <w:szCs w:val="20"/>
          <w:color w:val="auto"/>
        </w:rPr>
      </w:pPr>
    </w:p>
    <w:p>
      <w:pPr>
        <w:jc w:val="both"/>
        <w:ind w:right="99"/>
        <w:spacing w:after="0" w:line="246" w:lineRule="auto"/>
        <w:rPr>
          <w:sz w:val="20"/>
          <w:szCs w:val="20"/>
          <w:color w:val="auto"/>
        </w:rPr>
      </w:pPr>
      <w:r>
        <w:rPr>
          <w:rFonts w:ascii="Arial" w:cs="Arial" w:eastAsia="Arial" w:hAnsi="Arial"/>
          <w:sz w:val="20"/>
          <w:szCs w:val="20"/>
          <w:color w:val="auto"/>
        </w:rPr>
        <w:t>The following tables summarize unrealized losses on fixed maturity securities available for sale, which were carried at estimated fair value, at March 31, 2021 and December 31, 2020. The unrealized losses were primarily related to interest rate fluctuations and uncertainties relating to COVID-19. The tables set forth unrealized losses by duration with the fair value of the related fixed maturity securities: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ind w:left="120"/>
              <w:spacing w:after="0"/>
              <w:rPr>
                <w:sz w:val="20"/>
                <w:szCs w:val="20"/>
                <w:color w:val="auto"/>
              </w:rPr>
            </w:pPr>
            <w:r>
              <w:rPr>
                <w:rFonts w:ascii="Arial" w:cs="Arial" w:eastAsia="Arial" w:hAnsi="Arial"/>
                <w:sz w:val="18"/>
                <w:szCs w:val="18"/>
                <w:color w:val="auto"/>
              </w:rPr>
              <w:t>Unrealized</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Unrealized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Losses for</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Arial" w:cs="Arial" w:eastAsia="Arial" w:hAnsi="Arial"/>
                <w:sz w:val="18"/>
                <w:szCs w:val="18"/>
                <w:color w:val="auto"/>
              </w:rPr>
              <w:t>Losses for</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Less than</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Arial" w:cs="Arial" w:eastAsia="Arial" w:hAnsi="Arial"/>
                <w:sz w:val="18"/>
                <w:szCs w:val="18"/>
                <w:color w:val="auto"/>
              </w:rPr>
              <w:t>More than</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Twelve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Twelve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Unrealized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Months</w:t>
            </w:r>
          </w:p>
        </w:tc>
        <w:tc>
          <w:tcPr>
            <w:tcW w:w="24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Fair Value</w:t>
            </w:r>
          </w:p>
        </w:tc>
        <w:tc>
          <w:tcPr>
            <w:tcW w:w="24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Months</w:t>
            </w:r>
          </w:p>
        </w:tc>
        <w:tc>
          <w:tcPr>
            <w:tcW w:w="2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Fair Value</w:t>
            </w:r>
          </w:p>
        </w:tc>
        <w:tc>
          <w:tcPr>
            <w:tcW w:w="28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Loss</w:t>
            </w:r>
          </w:p>
        </w:tc>
        <w:tc>
          <w:tcPr>
            <w:tcW w:w="16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03"/>
        </w:trPr>
        <w:tc>
          <w:tcPr>
            <w:tcW w:w="1800" w:type="dxa"/>
            <w:vAlign w:val="bottom"/>
            <w:tcBorders>
              <w:top w:val="single" w:sz="8" w:color="CCEEFF"/>
            </w:tcBorders>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At March 31, 2021</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800" w:type="dxa"/>
            <w:vAlign w:val="bottom"/>
            <w:gridSpan w:val="5"/>
          </w:tcPr>
          <w:p>
            <w:pPr>
              <w:ind w:left="20"/>
              <w:spacing w:after="0"/>
              <w:rPr>
                <w:sz w:val="20"/>
                <w:szCs w:val="20"/>
                <w:color w:val="auto"/>
              </w:rPr>
            </w:pPr>
            <w:r>
              <w:rPr>
                <w:rFonts w:ascii="Arial" w:cs="Arial" w:eastAsia="Arial" w:hAnsi="Arial"/>
                <w:sz w:val="18"/>
                <w:szCs w:val="18"/>
                <w:color w:val="auto"/>
              </w:rPr>
              <w:t>Obligations of States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5"/>
          </w:tcPr>
          <w:p>
            <w:pPr>
              <w:ind w:left="20"/>
              <w:spacing w:after="0"/>
              <w:rPr>
                <w:sz w:val="20"/>
                <w:szCs w:val="20"/>
                <w:color w:val="auto"/>
              </w:rPr>
            </w:pPr>
            <w:r>
              <w:rPr>
                <w:rFonts w:ascii="Arial" w:cs="Arial" w:eastAsia="Arial" w:hAnsi="Arial"/>
                <w:sz w:val="18"/>
                <w:szCs w:val="18"/>
                <w:color w:val="auto"/>
              </w:rPr>
              <w:t>and Political</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00" w:type="dxa"/>
            <w:vAlign w:val="bottom"/>
            <w:gridSpan w:val="5"/>
          </w:tcPr>
          <w:p>
            <w:pPr>
              <w:ind w:left="20"/>
              <w:spacing w:after="0"/>
              <w:rPr>
                <w:sz w:val="20"/>
                <w:szCs w:val="20"/>
                <w:color w:val="auto"/>
              </w:rPr>
            </w:pPr>
            <w:r>
              <w:rPr>
                <w:rFonts w:ascii="Arial" w:cs="Arial" w:eastAsia="Arial" w:hAnsi="Arial"/>
                <w:sz w:val="18"/>
                <w:szCs w:val="18"/>
                <w:color w:val="auto"/>
              </w:rPr>
              <w:t>Subdivisions</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24,569</w:t>
            </w:r>
          </w:p>
        </w:tc>
        <w:tc>
          <w:tcPr>
            <w:tcW w:w="1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778,979</w:t>
            </w:r>
          </w:p>
        </w:tc>
        <w:tc>
          <w:tcPr>
            <w:tcW w:w="80" w:type="dxa"/>
            <w:vAlign w:val="bottom"/>
          </w:tcPr>
          <w:p>
            <w:pPr>
              <w:spacing w:after="0"/>
              <w:rPr>
                <w:sz w:val="20"/>
                <w:szCs w:val="20"/>
                <w:color w:val="auto"/>
              </w:rPr>
            </w:pP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24,569</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778,979</w:t>
            </w:r>
          </w:p>
        </w:tc>
        <w:tc>
          <w:tcPr>
            <w:tcW w:w="0" w:type="dxa"/>
            <w:vAlign w:val="bottom"/>
          </w:tcPr>
          <w:p>
            <w:pPr>
              <w:spacing w:after="0"/>
              <w:rPr>
                <w:sz w:val="1"/>
                <w:szCs w:val="1"/>
                <w:color w:val="auto"/>
              </w:rPr>
            </w:pPr>
          </w:p>
        </w:tc>
      </w:tr>
      <w:tr>
        <w:trPr>
          <w:trHeight w:val="250"/>
        </w:trPr>
        <w:tc>
          <w:tcPr>
            <w:tcW w:w="18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Corporate Securities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137,661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9,760,180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363,697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9,199,818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501,358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18,959,998</w:t>
            </w:r>
          </w:p>
        </w:tc>
        <w:tc>
          <w:tcPr>
            <w:tcW w:w="0" w:type="dxa"/>
            <w:vAlign w:val="bottom"/>
          </w:tcPr>
          <w:p>
            <w:pPr>
              <w:spacing w:after="0"/>
              <w:rPr>
                <w:sz w:val="1"/>
                <w:szCs w:val="1"/>
                <w:color w:val="auto"/>
              </w:rPr>
            </w:pPr>
          </w:p>
        </w:tc>
      </w:tr>
      <w:tr>
        <w:trPr>
          <w:trHeight w:val="215"/>
        </w:trPr>
        <w:tc>
          <w:tcPr>
            <w:tcW w:w="1800" w:type="dxa"/>
            <w:vAlign w:val="bottom"/>
            <w:gridSpan w:val="5"/>
          </w:tcPr>
          <w:p>
            <w:pPr>
              <w:ind w:left="20"/>
              <w:spacing w:after="0"/>
              <w:rPr>
                <w:sz w:val="20"/>
                <w:szCs w:val="20"/>
                <w:color w:val="auto"/>
              </w:rPr>
            </w:pPr>
            <w:r>
              <w:rPr>
                <w:rFonts w:ascii="Arial" w:cs="Arial" w:eastAsia="Arial" w:hAnsi="Arial"/>
                <w:sz w:val="18"/>
                <w:szCs w:val="18"/>
                <w:color w:val="auto"/>
              </w:rPr>
              <w:t>Mortgage and other</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5"/>
          </w:tcPr>
          <w:p>
            <w:pPr>
              <w:ind w:left="20"/>
              <w:spacing w:after="0"/>
              <w:rPr>
                <w:sz w:val="20"/>
                <w:szCs w:val="20"/>
                <w:color w:val="auto"/>
              </w:rPr>
            </w:pPr>
            <w:r>
              <w:rPr>
                <w:rFonts w:ascii="Arial" w:cs="Arial" w:eastAsia="Arial" w:hAnsi="Arial"/>
                <w:sz w:val="18"/>
                <w:szCs w:val="18"/>
                <w:color w:val="auto"/>
              </w:rPr>
              <w:t>asset-backed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0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securities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90,713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5,235,918</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145,834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2,026,009</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236,547</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7,261,927</w:t>
            </w:r>
          </w:p>
        </w:tc>
        <w:tc>
          <w:tcPr>
            <w:tcW w:w="0" w:type="dxa"/>
            <w:vAlign w:val="bottom"/>
          </w:tcPr>
          <w:p>
            <w:pPr>
              <w:spacing w:after="0"/>
              <w:rPr>
                <w:sz w:val="1"/>
                <w:szCs w:val="1"/>
                <w:color w:val="auto"/>
              </w:rPr>
            </w:pPr>
          </w:p>
        </w:tc>
      </w:tr>
      <w:tr>
        <w:trPr>
          <w:trHeight w:val="202"/>
        </w:trPr>
        <w:tc>
          <w:tcPr>
            <w:tcW w:w="1800" w:type="dxa"/>
            <w:vAlign w:val="bottom"/>
            <w:gridSpan w:val="5"/>
            <w:shd w:val="clear" w:color="auto" w:fill="CCEEFF"/>
          </w:tcPr>
          <w:p>
            <w:pPr>
              <w:ind w:left="20"/>
              <w:spacing w:after="0" w:line="201" w:lineRule="exact"/>
              <w:rPr>
                <w:sz w:val="20"/>
                <w:szCs w:val="20"/>
                <w:color w:val="auto"/>
              </w:rPr>
            </w:pPr>
            <w:r>
              <w:rPr>
                <w:rFonts w:ascii="Arial" w:cs="Arial" w:eastAsia="Arial" w:hAnsi="Arial"/>
                <w:sz w:val="18"/>
                <w:szCs w:val="18"/>
                <w:color w:val="auto"/>
              </w:rPr>
              <w:t>Total unrealized</w:t>
            </w:r>
          </w:p>
        </w:tc>
        <w:tc>
          <w:tcPr>
            <w:tcW w:w="24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252,943</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15,775,077</w:t>
            </w:r>
          </w:p>
        </w:tc>
        <w:tc>
          <w:tcPr>
            <w:tcW w:w="8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509,531</w:t>
            </w:r>
          </w:p>
        </w:tc>
        <w:tc>
          <w:tcPr>
            <w:tcW w:w="8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11,225,827</w:t>
            </w:r>
          </w:p>
        </w:tc>
        <w:tc>
          <w:tcPr>
            <w:tcW w:w="8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762,474</w:t>
            </w:r>
          </w:p>
        </w:tc>
        <w:tc>
          <w:tcPr>
            <w:tcW w:w="8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27,000,904</w:t>
            </w:r>
          </w:p>
        </w:tc>
        <w:tc>
          <w:tcPr>
            <w:tcW w:w="0" w:type="dxa"/>
            <w:vAlign w:val="bottom"/>
          </w:tcPr>
          <w:p>
            <w:pPr>
              <w:spacing w:after="0"/>
              <w:rPr>
                <w:sz w:val="1"/>
                <w:szCs w:val="1"/>
                <w:color w:val="auto"/>
              </w:rPr>
            </w:pPr>
          </w:p>
        </w:tc>
      </w:tr>
      <w:tr>
        <w:trPr>
          <w:trHeight w:val="230"/>
        </w:trPr>
        <w:tc>
          <w:tcPr>
            <w:tcW w:w="18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losses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0" w:type="dxa"/>
            <w:vAlign w:val="bottom"/>
            <w:gridSpan w:val="5"/>
            <w:vMerge w:val="restart"/>
          </w:tcPr>
          <w:p>
            <w:pPr>
              <w:ind w:left="20"/>
              <w:spacing w:after="0"/>
              <w:rPr>
                <w:sz w:val="20"/>
                <w:szCs w:val="20"/>
                <w:color w:val="auto"/>
              </w:rPr>
            </w:pPr>
            <w:r>
              <w:rPr>
                <w:rFonts w:ascii="Arial" w:cs="Arial" w:eastAsia="Arial" w:hAnsi="Arial"/>
                <w:sz w:val="18"/>
                <w:szCs w:val="18"/>
                <w:color w:val="auto"/>
              </w:rPr>
              <w:t>At December 31,</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0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4"/>
              </w:rPr>
              <w:t>2020</w:t>
            </w: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8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Obligations of States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and Political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8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206,812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206,812</w:t>
            </w:r>
          </w:p>
        </w:tc>
        <w:tc>
          <w:tcPr>
            <w:tcW w:w="0" w:type="dxa"/>
            <w:vAlign w:val="bottom"/>
          </w:tcPr>
          <w:p>
            <w:pPr>
              <w:spacing w:after="0"/>
              <w:rPr>
                <w:sz w:val="1"/>
                <w:szCs w:val="1"/>
                <w:color w:val="auto"/>
              </w:rPr>
            </w:pPr>
          </w:p>
        </w:tc>
      </w:tr>
      <w:tr>
        <w:trPr>
          <w:trHeight w:val="237"/>
        </w:trPr>
        <w:tc>
          <w:tcPr>
            <w:tcW w:w="1800" w:type="dxa"/>
            <w:vAlign w:val="bottom"/>
            <w:gridSpan w:val="5"/>
          </w:tcPr>
          <w:p>
            <w:pPr>
              <w:ind w:left="20"/>
              <w:spacing w:after="0"/>
              <w:rPr>
                <w:sz w:val="20"/>
                <w:szCs w:val="20"/>
                <w:color w:val="auto"/>
              </w:rPr>
            </w:pPr>
            <w:r>
              <w:rPr>
                <w:rFonts w:ascii="Arial" w:cs="Arial" w:eastAsia="Arial" w:hAnsi="Arial"/>
                <w:sz w:val="18"/>
                <w:szCs w:val="18"/>
                <w:color w:val="auto"/>
              </w:rPr>
              <w:t>Corporate Securities</w:t>
            </w:r>
          </w:p>
        </w:tc>
        <w:tc>
          <w:tcPr>
            <w:tcW w:w="2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242,596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9,919,298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438,882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2,593,026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681,478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12,512,324</w:t>
            </w:r>
          </w:p>
        </w:tc>
        <w:tc>
          <w:tcPr>
            <w:tcW w:w="0" w:type="dxa"/>
            <w:vAlign w:val="bottom"/>
          </w:tcPr>
          <w:p>
            <w:pPr>
              <w:spacing w:after="0"/>
              <w:rPr>
                <w:sz w:val="1"/>
                <w:szCs w:val="1"/>
                <w:color w:val="auto"/>
              </w:rPr>
            </w:pPr>
          </w:p>
        </w:tc>
      </w:tr>
      <w:tr>
        <w:trPr>
          <w:trHeight w:val="221"/>
        </w:trPr>
        <w:tc>
          <w:tcPr>
            <w:tcW w:w="18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Mortgage and other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asset-backed</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8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266,522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3,455,574</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51,961</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267,106</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3,507,535</w:t>
            </w:r>
          </w:p>
        </w:tc>
        <w:tc>
          <w:tcPr>
            <w:tcW w:w="0" w:type="dxa"/>
            <w:vAlign w:val="bottom"/>
          </w:tcPr>
          <w:p>
            <w:pPr>
              <w:spacing w:after="0"/>
              <w:rPr>
                <w:sz w:val="1"/>
                <w:szCs w:val="1"/>
                <w:color w:val="auto"/>
              </w:rPr>
            </w:pPr>
          </w:p>
        </w:tc>
      </w:tr>
      <w:tr>
        <w:trPr>
          <w:trHeight w:val="195"/>
        </w:trPr>
        <w:tc>
          <w:tcPr>
            <w:tcW w:w="1800" w:type="dxa"/>
            <w:vAlign w:val="bottom"/>
            <w:gridSpan w:val="5"/>
          </w:tcPr>
          <w:p>
            <w:pPr>
              <w:ind w:left="20"/>
              <w:spacing w:after="0" w:line="195" w:lineRule="exact"/>
              <w:rPr>
                <w:sz w:val="20"/>
                <w:szCs w:val="20"/>
                <w:color w:val="auto"/>
              </w:rPr>
            </w:pPr>
            <w:r>
              <w:rPr>
                <w:rFonts w:ascii="Arial" w:cs="Arial" w:eastAsia="Arial" w:hAnsi="Arial"/>
                <w:sz w:val="18"/>
                <w:szCs w:val="18"/>
                <w:color w:val="auto"/>
              </w:rPr>
              <w:t>Total unrealized</w:t>
            </w:r>
          </w:p>
        </w:tc>
        <w:tc>
          <w:tcPr>
            <w:tcW w:w="240" w:type="dxa"/>
            <w:vAlign w:val="bottom"/>
            <w:vMerge w:val="restart"/>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0"/>
              <w:spacing w:after="0"/>
              <w:rPr>
                <w:sz w:val="20"/>
                <w:szCs w:val="20"/>
                <w:color w:val="auto"/>
              </w:rPr>
            </w:pPr>
            <w:r>
              <w:rPr>
                <w:rFonts w:ascii="Arial" w:cs="Arial" w:eastAsia="Arial" w:hAnsi="Arial"/>
                <w:sz w:val="18"/>
                <w:szCs w:val="18"/>
                <w:color w:val="auto"/>
              </w:rPr>
              <w:t>510,379</w:t>
            </w:r>
          </w:p>
        </w:tc>
        <w:tc>
          <w:tcPr>
            <w:tcW w:w="100" w:type="dxa"/>
            <w:vAlign w:val="bottom"/>
          </w:tcPr>
          <w:p>
            <w:pPr>
              <w:spacing w:after="0"/>
              <w:rPr>
                <w:sz w:val="16"/>
                <w:szCs w:val="16"/>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13,581,684</w:t>
            </w:r>
          </w:p>
        </w:tc>
        <w:tc>
          <w:tcPr>
            <w:tcW w:w="80" w:type="dxa"/>
            <w:vAlign w:val="bottom"/>
          </w:tcPr>
          <w:p>
            <w:pPr>
              <w:spacing w:after="0"/>
              <w:rPr>
                <w:sz w:val="16"/>
                <w:szCs w:val="16"/>
                <w:color w:val="auto"/>
              </w:rPr>
            </w:pPr>
          </w:p>
        </w:tc>
        <w:tc>
          <w:tcPr>
            <w:tcW w:w="240" w:type="dxa"/>
            <w:vAlign w:val="bottom"/>
            <w:vMerge w:val="restart"/>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0"/>
              <w:spacing w:after="0"/>
              <w:rPr>
                <w:sz w:val="20"/>
                <w:szCs w:val="20"/>
                <w:color w:val="auto"/>
              </w:rPr>
            </w:pPr>
            <w:r>
              <w:rPr>
                <w:rFonts w:ascii="Arial" w:cs="Arial" w:eastAsia="Arial" w:hAnsi="Arial"/>
                <w:sz w:val="18"/>
                <w:szCs w:val="18"/>
                <w:color w:val="auto"/>
              </w:rPr>
              <w:t>439,466</w:t>
            </w:r>
          </w:p>
        </w:tc>
        <w:tc>
          <w:tcPr>
            <w:tcW w:w="80" w:type="dxa"/>
            <w:vAlign w:val="bottom"/>
          </w:tcPr>
          <w:p>
            <w:pPr>
              <w:spacing w:after="0"/>
              <w:rPr>
                <w:sz w:val="16"/>
                <w:szCs w:val="16"/>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2,644,987</w:t>
            </w:r>
          </w:p>
        </w:tc>
        <w:tc>
          <w:tcPr>
            <w:tcW w:w="80" w:type="dxa"/>
            <w:vAlign w:val="bottom"/>
          </w:tcPr>
          <w:p>
            <w:pPr>
              <w:spacing w:after="0"/>
              <w:rPr>
                <w:sz w:val="16"/>
                <w:szCs w:val="16"/>
                <w:color w:val="auto"/>
              </w:rPr>
            </w:pPr>
          </w:p>
        </w:tc>
        <w:tc>
          <w:tcPr>
            <w:tcW w:w="28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949,845</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5"/>
              </w:rPr>
              <w:t>16,226,671</w:t>
            </w:r>
          </w:p>
        </w:tc>
        <w:tc>
          <w:tcPr>
            <w:tcW w:w="0" w:type="dxa"/>
            <w:vAlign w:val="bottom"/>
          </w:tcPr>
          <w:p>
            <w:pPr>
              <w:spacing w:after="0"/>
              <w:rPr>
                <w:sz w:val="1"/>
                <w:szCs w:val="1"/>
                <w:color w:val="auto"/>
              </w:rPr>
            </w:pPr>
          </w:p>
        </w:tc>
      </w:tr>
      <w:tr>
        <w:trPr>
          <w:trHeight w:val="235"/>
        </w:trPr>
        <w:tc>
          <w:tcPr>
            <w:tcW w:w="1800" w:type="dxa"/>
            <w:vAlign w:val="bottom"/>
            <w:gridSpan w:val="5"/>
          </w:tcPr>
          <w:p>
            <w:pPr>
              <w:ind w:left="20"/>
              <w:spacing w:after="0"/>
              <w:rPr>
                <w:sz w:val="20"/>
                <w:szCs w:val="20"/>
                <w:color w:val="auto"/>
              </w:rPr>
            </w:pPr>
            <w:r>
              <w:rPr>
                <w:rFonts w:ascii="Arial" w:cs="Arial" w:eastAsia="Arial" w:hAnsi="Arial"/>
                <w:sz w:val="18"/>
                <w:szCs w:val="18"/>
                <w:color w:val="auto"/>
              </w:rPr>
              <w:t>losses</w:t>
            </w:r>
          </w:p>
        </w:tc>
        <w:tc>
          <w:tcPr>
            <w:tcW w:w="24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99"/>
        <w:spacing w:after="0" w:line="250" w:lineRule="auto"/>
        <w:rPr>
          <w:sz w:val="20"/>
          <w:szCs w:val="20"/>
          <w:color w:val="auto"/>
        </w:rPr>
      </w:pPr>
      <w:r>
        <w:rPr>
          <w:rFonts w:ascii="Arial" w:cs="Arial" w:eastAsia="Arial" w:hAnsi="Arial"/>
          <w:sz w:val="20"/>
          <w:szCs w:val="20"/>
          <w:color w:val="auto"/>
        </w:rPr>
        <w:t>There were 79 securities with fair value of 97.3% of amortized cost at March 31, 2021. There were 63 securities with fair value of 94.7% of amortized cost at December 31, 2020. No credit losses have been recognized for the three months ended March 31, 2021 and 2020.</w:t>
      </w:r>
    </w:p>
    <w:p>
      <w:pPr>
        <w:spacing w:after="0" w:line="199" w:lineRule="exact"/>
        <w:rPr>
          <w:sz w:val="20"/>
          <w:szCs w:val="20"/>
          <w:color w:val="auto"/>
        </w:rPr>
      </w:pPr>
    </w:p>
    <w:p>
      <w:pPr>
        <w:jc w:val="both"/>
        <w:ind w:right="99"/>
        <w:spacing w:after="0" w:line="255" w:lineRule="auto"/>
        <w:rPr>
          <w:sz w:val="20"/>
          <w:szCs w:val="20"/>
          <w:color w:val="auto"/>
        </w:rPr>
      </w:pPr>
      <w:r>
        <w:rPr>
          <w:rFonts w:ascii="Arial" w:cs="Arial" w:eastAsia="Arial" w:hAnsi="Arial"/>
          <w:sz w:val="19"/>
          <w:szCs w:val="19"/>
          <w:color w:val="auto"/>
        </w:rPr>
        <w:t>On a quarterly basis, the Company evaluates its fixed maturity securities available for sale. This evaluation includes a review of current ratings by the National Association of Insurance Commissions (NAIC). Securities with a rating of 1 or 2 are considered investment grade and are not reviewed for impairment.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w:t>
      </w:r>
    </w:p>
    <w:p>
      <w:pPr>
        <w:spacing w:after="0" w:line="200" w:lineRule="exact"/>
        <w:rPr>
          <w:sz w:val="20"/>
          <w:szCs w:val="20"/>
          <w:color w:val="auto"/>
        </w:rPr>
      </w:pPr>
    </w:p>
    <w:p>
      <w:pPr>
        <w:jc w:val="both"/>
        <w:ind w:right="79"/>
        <w:spacing w:after="0" w:line="263" w:lineRule="auto"/>
        <w:rPr>
          <w:sz w:val="20"/>
          <w:szCs w:val="20"/>
          <w:color w:val="auto"/>
        </w:rPr>
      </w:pPr>
      <w:r>
        <w:rPr>
          <w:rFonts w:ascii="Arial" w:cs="Arial" w:eastAsia="Arial" w:hAnsi="Arial"/>
          <w:sz w:val="19"/>
          <w:szCs w:val="19"/>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14" w:name="page15"/>
    <w:bookmarkEnd w:id="14"/>
    <w:p>
      <w:pPr>
        <w:jc w:val="center"/>
        <w:ind w:left="1320" w:right="130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118" w:lineRule="exact"/>
        <w:rPr>
          <w:sz w:val="20"/>
          <w:szCs w:val="20"/>
          <w:color w:val="auto"/>
        </w:rPr>
      </w:pPr>
    </w:p>
    <w:p>
      <w:pPr>
        <w:ind w:left="480" w:hanging="480"/>
        <w:spacing w:after="0"/>
        <w:tabs>
          <w:tab w:leader="none" w:pos="48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56" w:lineRule="exact"/>
        <w:rPr>
          <w:sz w:val="20"/>
          <w:szCs w:val="20"/>
          <w:color w:val="auto"/>
        </w:rPr>
      </w:pPr>
    </w:p>
    <w:p>
      <w:pPr>
        <w:jc w:val="both"/>
        <w:ind w:right="99"/>
        <w:spacing w:after="0" w:line="250" w:lineRule="auto"/>
        <w:rPr>
          <w:sz w:val="20"/>
          <w:szCs w:val="20"/>
          <w:color w:val="auto"/>
        </w:rPr>
      </w:pPr>
      <w:r>
        <w:rPr>
          <w:rFonts w:ascii="Arial" w:cs="Arial" w:eastAsia="Arial" w:hAnsi="Arial"/>
          <w:sz w:val="20"/>
          <w:szCs w:val="20"/>
          <w:color w:val="auto"/>
        </w:rPr>
        <w:t>The following table presents a rollforward of the Company's cumulative other than temporary credit impairments (“OTTI”) recognized in earnings on fixed maturity securities available for sale for the three months ended March 31:</w:t>
      </w:r>
    </w:p>
    <w:p>
      <w:pPr>
        <w:sectPr>
          <w:pgSz w:w="11900" w:h="16838" w:orient="portrait"/>
          <w:cols w:equalWidth="0" w:num="1">
            <w:col w:w="9159"/>
          </w:cols>
          <w:pgMar w:left="1300" w:top="352"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of credit-related OTTI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57607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0720" cy="16319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 for credit impairments recognized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57607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Securities not previously impaired</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Securities previously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57607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Reductions for credit impairments previously recognized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57607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Securities that matured or were sold during the period (realized)</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Securities due to an increase in expected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57607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177800</wp:posOffset>
            </wp:positionV>
            <wp:extent cx="57607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171450"/>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of credit-related OTTI at March 31</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2020</w:t>
            </w:r>
          </w:p>
        </w:tc>
      </w:tr>
      <w:tr>
        <w:trPr>
          <w:trHeight w:val="41"/>
        </w:trPr>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4"/>
        </w:trPr>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370,975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28"/>
        </w:trPr>
        <w:tc>
          <w:tcPr>
            <w:tcW w:w="5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29"/>
        </w:trPr>
        <w:tc>
          <w:tcPr>
            <w:tcW w:w="5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230"/>
        </w:trPr>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370,975</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40" w:space="720"/>
            <w:col w:w="2999"/>
          </w:cols>
          <w:pgMar w:left="1300" w:top="352" w:right="1440" w:bottom="1440" w:gutter="0" w:footer="0" w:header="0"/>
          <w:type w:val="continuous"/>
        </w:sectPr>
      </w:pPr>
    </w:p>
    <w:p>
      <w:pPr>
        <w:spacing w:after="0" w:line="13" w:lineRule="exact"/>
        <w:rPr>
          <w:sz w:val="20"/>
          <w:szCs w:val="20"/>
          <w:color w:val="auto"/>
        </w:rPr>
      </w:pPr>
    </w:p>
    <w:p>
      <w:pPr>
        <w:jc w:val="both"/>
        <w:ind w:right="79"/>
        <w:spacing w:after="0" w:line="291" w:lineRule="auto"/>
        <w:rPr>
          <w:sz w:val="20"/>
          <w:szCs w:val="20"/>
          <w:color w:val="auto"/>
        </w:rPr>
      </w:pPr>
      <w:r>
        <w:rPr>
          <w:rFonts w:ascii="Arial" w:cs="Arial" w:eastAsia="Arial" w:hAnsi="Arial"/>
          <w:sz w:val="18"/>
          <w:szCs w:val="18"/>
          <w:color w:val="auto"/>
        </w:rPr>
        <w:t>The amortized cost and estimated fair value of fixed maturity securities available for sale at March 31, 2021, by contractual maturity, are shown below. Expected maturities may differ from contractual maturities because certain borrowers may have the right to call or prepay obligations with or without call or prepayment penalties.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Amortized</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Estimated Fair</w:t>
            </w:r>
          </w:p>
        </w:tc>
      </w:tr>
      <w:tr>
        <w:trPr>
          <w:trHeight w:val="237"/>
        </w:trPr>
        <w:tc>
          <w:tcPr>
            <w:tcW w:w="6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Cost</w:t>
            </w:r>
          </w:p>
        </w:tc>
        <w:tc>
          <w:tcPr>
            <w:tcW w:w="30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w w:val="99"/>
              </w:rPr>
              <w:t>Value</w:t>
            </w:r>
          </w:p>
        </w:tc>
      </w:tr>
      <w:tr>
        <w:trPr>
          <w:trHeight w:val="243"/>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1 year</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21,362,110</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21,444,660</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Due in 2-5 years</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66,817,800</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71,062,356</w:t>
            </w:r>
          </w:p>
        </w:tc>
      </w:tr>
      <w:tr>
        <w:trPr>
          <w:trHeight w:val="25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5-10 years</w:t>
            </w: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70,609,309</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77,487,611</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Due in more than 10 years</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68,036,255</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78,817,785</w:t>
            </w:r>
          </w:p>
        </w:tc>
      </w:tr>
      <w:tr>
        <w:trPr>
          <w:trHeight w:val="25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29,799,733</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30,455,635</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Redeemable preferred stock</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269,214</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282,481</w:t>
            </w:r>
          </w:p>
        </w:tc>
      </w:tr>
      <w:tr>
        <w:trPr>
          <w:trHeight w:val="237"/>
        </w:trPr>
        <w:tc>
          <w:tcPr>
            <w:tcW w:w="6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256,894,421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279,550,528</w:t>
            </w: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right="99"/>
        <w:spacing w:after="0" w:line="260" w:lineRule="auto"/>
        <w:rPr>
          <w:sz w:val="20"/>
          <w:szCs w:val="20"/>
          <w:color w:val="auto"/>
        </w:rPr>
      </w:pPr>
      <w:r>
        <w:rPr>
          <w:rFonts w:ascii="Arial" w:cs="Arial" w:eastAsia="Arial" w:hAnsi="Arial"/>
          <w:sz w:val="19"/>
          <w:szCs w:val="19"/>
          <w:color w:val="auto"/>
        </w:rPr>
        <w:t>The Company is a member of the Federal Home Loan Bank of Des Moines and Dallas (“FHLB”). The Company pledged a total of $40,000,000, par value, of United States Treasury fixed maturity securities with the FHLB at March 31, 2021. These securities are used as collateral on any cash borrowings from the FHLB. As of March 31, 2021, the Company did not have any amounts outstanding with the FHLB and its estimated remaining maximum borrowing capacity was $38,559,265.</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type w:val="continuous"/>
        </w:sectPr>
      </w:pPr>
    </w:p>
    <w:bookmarkStart w:id="15" w:name="page16"/>
    <w:bookmarkEnd w:id="15"/>
    <w:p>
      <w:pPr>
        <w:jc w:val="center"/>
        <w:ind w:right="79"/>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118" w:lineRule="exact"/>
        <w:rPr>
          <w:sz w:val="20"/>
          <w:szCs w:val="20"/>
          <w:color w:val="auto"/>
        </w:rPr>
      </w:pPr>
    </w:p>
    <w:p>
      <w:pPr>
        <w:ind w:left="480" w:hanging="480"/>
        <w:spacing w:after="0"/>
        <w:tabs>
          <w:tab w:leader="none" w:pos="480"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Related Earnings</w:t>
      </w:r>
    </w:p>
    <w:p>
      <w:pPr>
        <w:spacing w:after="0" w:line="235" w:lineRule="exact"/>
        <w:rPr>
          <w:sz w:val="20"/>
          <w:szCs w:val="20"/>
          <w:color w:val="auto"/>
        </w:rPr>
      </w:pPr>
    </w:p>
    <w:p>
      <w:pPr>
        <w:ind w:right="79"/>
        <w:spacing w:after="0" w:line="260" w:lineRule="auto"/>
        <w:rPr>
          <w:sz w:val="20"/>
          <w:szCs w:val="20"/>
          <w:color w:val="auto"/>
        </w:rPr>
      </w:pPr>
      <w:r>
        <w:rPr>
          <w:rFonts w:ascii="Arial" w:cs="Arial" w:eastAsia="Arial" w:hAnsi="Arial"/>
          <w:sz w:val="20"/>
          <w:szCs w:val="20"/>
          <w:color w:val="auto"/>
        </w:rPr>
        <w:t>The Company’s net realized gains and losses from sales, calls, and maturities, unrealized gains and losses on equity securities, and other than temporary impairments are summarized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w w:val="98"/>
              </w:rPr>
              <w:t>Three Months Ended March 31</w:t>
            </w:r>
          </w:p>
        </w:tc>
      </w:tr>
      <w:tr>
        <w:trPr>
          <w:trHeight w:val="237"/>
        </w:trPr>
        <w:tc>
          <w:tcPr>
            <w:tcW w:w="55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r>
      <w:tr>
        <w:trPr>
          <w:trHeight w:val="22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4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37"/>
        </w:trPr>
        <w:tc>
          <w:tcPr>
            <w:tcW w:w="5580" w:type="dxa"/>
            <w:vAlign w:val="bottom"/>
          </w:tcPr>
          <w:p>
            <w:pPr>
              <w:ind w:left="180"/>
              <w:spacing w:after="0"/>
              <w:rPr>
                <w:sz w:val="20"/>
                <w:szCs w:val="20"/>
                <w:color w:val="auto"/>
              </w:rPr>
            </w:pPr>
            <w:r>
              <w:rPr>
                <w:rFonts w:ascii="Arial" w:cs="Arial" w:eastAsia="Arial" w:hAnsi="Arial"/>
                <w:sz w:val="18"/>
                <w:szCs w:val="18"/>
                <w:color w:val="auto"/>
              </w:rPr>
              <w:t>Gross realized gains</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97,622</w:t>
            </w:r>
          </w:p>
        </w:tc>
        <w:tc>
          <w:tcPr>
            <w:tcW w:w="220" w:type="dxa"/>
            <w:vAlign w:val="bottom"/>
          </w:tcPr>
          <w:p>
            <w:pPr>
              <w:spacing w:after="0"/>
              <w:rPr>
                <w:sz w:val="20"/>
                <w:szCs w:val="20"/>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95,821</w:t>
            </w:r>
          </w:p>
        </w:tc>
      </w:tr>
      <w:tr>
        <w:trPr>
          <w:trHeight w:val="249"/>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realized losses</w:t>
            </w: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(24,997)</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7"/>
        </w:trPr>
        <w:tc>
          <w:tcPr>
            <w:tcW w:w="5580" w:type="dxa"/>
            <w:vAlign w:val="bottom"/>
          </w:tcPr>
          <w:p>
            <w:pPr>
              <w:ind w:left="180"/>
              <w:spacing w:after="0"/>
              <w:rPr>
                <w:sz w:val="20"/>
                <w:szCs w:val="20"/>
                <w:color w:val="auto"/>
              </w:rPr>
            </w:pPr>
            <w:r>
              <w:rPr>
                <w:rFonts w:ascii="Arial" w:cs="Arial" w:eastAsia="Arial" w:hAnsi="Arial"/>
                <w:sz w:val="18"/>
                <w:szCs w:val="18"/>
                <w:color w:val="auto"/>
              </w:rPr>
              <w:t>Gains (losses) on securities sold</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106,569</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(57,442)</w:t>
            </w:r>
          </w:p>
        </w:tc>
      </w:tr>
      <w:tr>
        <w:trPr>
          <w:trHeight w:val="221"/>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and (losses) on securities held at the end of the</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4"/>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952,030</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(2,761,856)</w:t>
            </w:r>
          </w:p>
        </w:tc>
      </w:tr>
      <w:tr>
        <w:trPr>
          <w:trHeight w:val="243"/>
        </w:trPr>
        <w:tc>
          <w:tcPr>
            <w:tcW w:w="5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7"/>
        </w:trPr>
        <w:tc>
          <w:tcPr>
            <w:tcW w:w="5580" w:type="dxa"/>
            <w:vAlign w:val="bottom"/>
          </w:tcPr>
          <w:p>
            <w:pPr>
              <w:ind w:left="180"/>
              <w:spacing w:after="0"/>
              <w:rPr>
                <w:sz w:val="20"/>
                <w:szCs w:val="20"/>
                <w:color w:val="auto"/>
              </w:rPr>
            </w:pPr>
            <w:r>
              <w:rPr>
                <w:rFonts w:ascii="Arial" w:cs="Arial" w:eastAsia="Arial" w:hAnsi="Arial"/>
                <w:sz w:val="18"/>
                <w:szCs w:val="18"/>
                <w:color w:val="auto"/>
              </w:rPr>
              <w:t>Gross realized gains</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1,109,358</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457,028</w:t>
            </w:r>
          </w:p>
        </w:tc>
      </w:tr>
      <w:tr>
        <w:trPr>
          <w:trHeight w:val="249"/>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realized losses</w:t>
            </w:r>
          </w:p>
        </w:tc>
        <w:tc>
          <w:tcPr>
            <w:tcW w:w="4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(280,469)</w:t>
            </w:r>
          </w:p>
        </w:tc>
        <w:tc>
          <w:tcPr>
            <w:tcW w:w="2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(945,798)</w:t>
            </w:r>
          </w:p>
        </w:tc>
      </w:tr>
      <w:tr>
        <w:trPr>
          <w:trHeight w:val="230"/>
        </w:trPr>
        <w:tc>
          <w:tcPr>
            <w:tcW w:w="5580" w:type="dxa"/>
            <w:vAlign w:val="bottom"/>
          </w:tcPr>
          <w:p>
            <w:pPr>
              <w:ind w:left="3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1,960,113</w:t>
            </w:r>
          </w:p>
        </w:tc>
        <w:tc>
          <w:tcPr>
            <w:tcW w:w="220" w:type="dxa"/>
            <w:vAlign w:val="bottom"/>
          </w:tcPr>
          <w:p>
            <w:pPr>
              <w:spacing w:after="0"/>
              <w:rPr>
                <w:sz w:val="20"/>
                <w:szCs w:val="20"/>
                <w:color w:val="auto"/>
              </w:rPr>
            </w:pP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(3,212,247)</w:t>
            </w:r>
          </w:p>
        </w:tc>
      </w:tr>
      <w:tr>
        <w:trPr>
          <w:trHeight w:val="20"/>
        </w:trPr>
        <w:tc>
          <w:tcPr>
            <w:tcW w:w="5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right="79"/>
        <w:spacing w:after="0" w:line="260" w:lineRule="auto"/>
        <w:rPr>
          <w:sz w:val="20"/>
          <w:szCs w:val="20"/>
          <w:color w:val="auto"/>
        </w:rPr>
      </w:pPr>
      <w:r>
        <w:rPr>
          <w:rFonts w:ascii="Arial" w:cs="Arial" w:eastAsia="Arial" w:hAnsi="Arial"/>
          <w:sz w:val="20"/>
          <w:szCs w:val="20"/>
          <w:color w:val="auto"/>
        </w:rPr>
        <w:t>The net realized gains and losses on the sale of securities are recorded on the trade date, and the cost of the securities sold is determined using the specific identification method.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Information regarding sales of fixed maturity securities available for sale is summarized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w w:val="99"/>
              </w:rPr>
              <w:t>Three Months Ended March 31</w:t>
            </w:r>
          </w:p>
        </w:tc>
      </w:tr>
      <w:tr>
        <w:trPr>
          <w:trHeight w:val="237"/>
        </w:trPr>
        <w:tc>
          <w:tcPr>
            <w:tcW w:w="54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819,565</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645,750</w:t>
            </w:r>
          </w:p>
        </w:tc>
      </w:tr>
      <w:tr>
        <w:trPr>
          <w:trHeight w:val="237"/>
        </w:trPr>
        <w:tc>
          <w:tcPr>
            <w:tcW w:w="5460" w:type="dxa"/>
            <w:vAlign w:val="bottom"/>
          </w:tcPr>
          <w:p>
            <w:pPr>
              <w:ind w:left="180"/>
              <w:spacing w:after="0"/>
              <w:rPr>
                <w:sz w:val="20"/>
                <w:szCs w:val="20"/>
                <w:color w:val="auto"/>
              </w:rPr>
            </w:pPr>
            <w:r>
              <w:rPr>
                <w:rFonts w:ascii="Arial" w:cs="Arial" w:eastAsia="Arial" w:hAnsi="Arial"/>
                <w:sz w:val="18"/>
                <w:szCs w:val="18"/>
                <w:color w:val="auto"/>
              </w:rPr>
              <w:t>Gross realized gains</w:t>
            </w:r>
          </w:p>
        </w:tc>
        <w:tc>
          <w:tcPr>
            <w:tcW w:w="4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59,794</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79,411</w:t>
            </w:r>
          </w:p>
        </w:tc>
      </w:tr>
      <w:tr>
        <w:trPr>
          <w:trHeight w:val="249"/>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realized losses</w:t>
            </w:r>
          </w:p>
        </w:tc>
        <w:tc>
          <w:tcPr>
            <w:tcW w:w="4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bl>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16" w:name="page17"/>
    <w:bookmarkEnd w:id="16"/>
    <w:p>
      <w:pPr>
        <w:jc w:val="center"/>
        <w:ind w:right="79"/>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118" w:lineRule="exact"/>
        <w:rPr>
          <w:sz w:val="20"/>
          <w:szCs w:val="20"/>
          <w:color w:val="auto"/>
        </w:rPr>
      </w:pPr>
    </w:p>
    <w:p>
      <w:pPr>
        <w:ind w:left="480" w:hanging="480"/>
        <w:spacing w:after="0"/>
        <w:tabs>
          <w:tab w:leader="none" w:pos="48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160" w:type="dxa"/>
            <w:vAlign w:val="bottom"/>
          </w:tcPr>
          <w:p>
            <w:pPr>
              <w:spacing w:after="0"/>
              <w:rPr>
                <w:sz w:val="20"/>
                <w:szCs w:val="20"/>
                <w:color w:val="auto"/>
              </w:rPr>
            </w:pPr>
            <w:r>
              <w:rPr>
                <w:rFonts w:ascii="Arial" w:cs="Arial" w:eastAsia="Arial" w:hAnsi="Arial"/>
                <w:sz w:val="20"/>
                <w:szCs w:val="20"/>
                <w:color w:val="auto"/>
              </w:rPr>
              <w:t>Major categories of net investment income are as follows: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77"/>
        </w:trPr>
        <w:tc>
          <w:tcPr>
            <w:tcW w:w="6160" w:type="dxa"/>
            <w:vAlign w:val="bottom"/>
          </w:tcPr>
          <w:p>
            <w:pPr>
              <w:spacing w:after="0"/>
              <w:rPr>
                <w:sz w:val="24"/>
                <w:szCs w:val="24"/>
                <w:color w:val="auto"/>
              </w:rPr>
            </w:pPr>
          </w:p>
        </w:tc>
        <w:tc>
          <w:tcPr>
            <w:tcW w:w="2920" w:type="dxa"/>
            <w:vAlign w:val="bottom"/>
            <w:tcBorders>
              <w:bottom w:val="single" w:sz="8" w:color="auto"/>
            </w:tcBorders>
            <w:gridSpan w:val="5"/>
          </w:tcPr>
          <w:p>
            <w:pPr>
              <w:jc w:val="right"/>
              <w:ind w:right="121"/>
              <w:spacing w:after="0"/>
              <w:rPr>
                <w:sz w:val="20"/>
                <w:szCs w:val="20"/>
                <w:color w:val="auto"/>
              </w:rPr>
            </w:pPr>
            <w:r>
              <w:rPr>
                <w:rFonts w:ascii="Arial" w:cs="Arial" w:eastAsia="Arial" w:hAnsi="Arial"/>
                <w:sz w:val="20"/>
                <w:szCs w:val="20"/>
                <w:color w:val="auto"/>
                <w:w w:val="97"/>
              </w:rPr>
              <w:t>Three Months Ended March 31</w:t>
            </w:r>
          </w:p>
        </w:tc>
      </w:tr>
      <w:tr>
        <w:trPr>
          <w:trHeight w:val="252"/>
        </w:trPr>
        <w:tc>
          <w:tcPr>
            <w:tcW w:w="6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2021</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2020</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Fixed maturity securities</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2,824,111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2,924,714</w:t>
            </w:r>
          </w:p>
        </w:tc>
      </w:tr>
      <w:tr>
        <w:trPr>
          <w:trHeight w:val="253"/>
        </w:trPr>
        <w:tc>
          <w:tcPr>
            <w:tcW w:w="6160" w:type="dxa"/>
            <w:vAlign w:val="bottom"/>
          </w:tcPr>
          <w:p>
            <w:pPr>
              <w:ind w:left="20"/>
              <w:spacing w:after="0"/>
              <w:rPr>
                <w:sz w:val="20"/>
                <w:szCs w:val="20"/>
                <w:color w:val="auto"/>
              </w:rPr>
            </w:pPr>
            <w:r>
              <w:rPr>
                <w:rFonts w:ascii="Arial" w:cs="Arial" w:eastAsia="Arial" w:hAnsi="Arial"/>
                <w:sz w:val="20"/>
                <w:szCs w:val="20"/>
                <w:color w:val="auto"/>
              </w:rPr>
              <w:t>Equity securities</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128,229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92,042</w:t>
            </w:r>
          </w:p>
        </w:tc>
      </w:tr>
      <w:tr>
        <w:trPr>
          <w:trHeight w:val="260"/>
        </w:trPr>
        <w:tc>
          <w:tcPr>
            <w:tcW w:w="6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Mortgage loans held for investment</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6,084,417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5,653,890</w:t>
            </w:r>
          </w:p>
        </w:tc>
      </w:tr>
      <w:tr>
        <w:trPr>
          <w:trHeight w:val="253"/>
        </w:trPr>
        <w:tc>
          <w:tcPr>
            <w:tcW w:w="6160" w:type="dxa"/>
            <w:vAlign w:val="bottom"/>
          </w:tcPr>
          <w:p>
            <w:pPr>
              <w:ind w:left="20"/>
              <w:spacing w:after="0"/>
              <w:rPr>
                <w:sz w:val="20"/>
                <w:szCs w:val="20"/>
                <w:color w:val="auto"/>
              </w:rPr>
            </w:pPr>
            <w:r>
              <w:rPr>
                <w:rFonts w:ascii="Arial" w:cs="Arial" w:eastAsia="Arial" w:hAnsi="Arial"/>
                <w:sz w:val="20"/>
                <w:szCs w:val="20"/>
                <w:color w:val="auto"/>
              </w:rPr>
              <w:t>Real estate</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3,042,829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3,153,385</w:t>
            </w:r>
          </w:p>
        </w:tc>
      </w:tr>
      <w:tr>
        <w:trPr>
          <w:trHeight w:val="260"/>
        </w:trPr>
        <w:tc>
          <w:tcPr>
            <w:tcW w:w="6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Policy loans</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232,353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233,966</w:t>
            </w:r>
          </w:p>
        </w:tc>
      </w:tr>
      <w:tr>
        <w:trPr>
          <w:trHeight w:val="253"/>
        </w:trPr>
        <w:tc>
          <w:tcPr>
            <w:tcW w:w="6160" w:type="dxa"/>
            <w:vAlign w:val="bottom"/>
          </w:tcPr>
          <w:p>
            <w:pPr>
              <w:ind w:left="20"/>
              <w:spacing w:after="0"/>
              <w:rPr>
                <w:sz w:val="20"/>
                <w:szCs w:val="20"/>
                <w:color w:val="auto"/>
              </w:rPr>
            </w:pPr>
            <w:r>
              <w:rPr>
                <w:rFonts w:ascii="Arial" w:cs="Arial" w:eastAsia="Arial" w:hAnsi="Arial"/>
                <w:sz w:val="20"/>
                <w:szCs w:val="20"/>
                <w:color w:val="auto"/>
              </w:rPr>
              <w:t>Insurance assignments</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5,345,729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4,299,205</w:t>
            </w:r>
          </w:p>
        </w:tc>
      </w:tr>
      <w:tr>
        <w:trPr>
          <w:trHeight w:val="260"/>
        </w:trPr>
        <w:tc>
          <w:tcPr>
            <w:tcW w:w="6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investments</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13,707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25,023</w:t>
            </w:r>
          </w:p>
        </w:tc>
      </w:tr>
      <w:tr>
        <w:trPr>
          <w:trHeight w:val="25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Cash and cash equivalents</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39,594</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298,005</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Gross investment income</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3"/>
              </w:rPr>
              <w:t>17,710,969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16,680,230</w:t>
            </w:r>
          </w:p>
        </w:tc>
      </w:tr>
      <w:tr>
        <w:trPr>
          <w:trHeight w:val="25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Investment expenses</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7"/>
              </w:rPr>
              <w:t>(3,417,082)</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(3,279,731)</w:t>
            </w: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investment income</w:t>
            </w: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3"/>
              </w:rPr>
              <w:t>14,293,887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9"/>
              </w:rPr>
              <w:t>13,400,499</w:t>
            </w:r>
          </w:p>
        </w:tc>
      </w:tr>
      <w:tr>
        <w:trPr>
          <w:trHeight w:val="20"/>
        </w:trPr>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right="99"/>
        <w:spacing w:after="0" w:line="260" w:lineRule="auto"/>
        <w:rPr>
          <w:sz w:val="20"/>
          <w:szCs w:val="20"/>
          <w:color w:val="auto"/>
        </w:rPr>
      </w:pPr>
      <w:r>
        <w:rPr>
          <w:rFonts w:ascii="Arial" w:cs="Arial" w:eastAsia="Arial" w:hAnsi="Arial"/>
          <w:sz w:val="20"/>
          <w:szCs w:val="20"/>
          <w:color w:val="auto"/>
        </w:rPr>
        <w:t>Net investment income includes income earned by the restricted assets cemeteries and mortuaries of $161,211 and $110,639 for the three months ended March 31, 2021 and 2020,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Net investment income on real estate consists primarily of rental revenue.</w:t>
      </w:r>
    </w:p>
    <w:p>
      <w:pPr>
        <w:spacing w:after="0" w:line="229" w:lineRule="exact"/>
        <w:rPr>
          <w:sz w:val="20"/>
          <w:szCs w:val="20"/>
          <w:color w:val="auto"/>
        </w:rPr>
      </w:pPr>
    </w:p>
    <w:p>
      <w:pPr>
        <w:jc w:val="both"/>
        <w:ind w:right="99"/>
        <w:spacing w:after="0" w:line="260" w:lineRule="auto"/>
        <w:rPr>
          <w:sz w:val="20"/>
          <w:szCs w:val="20"/>
          <w:color w:val="auto"/>
        </w:rPr>
      </w:pPr>
      <w:r>
        <w:rPr>
          <w:rFonts w:ascii="Arial" w:cs="Arial" w:eastAsia="Arial" w:hAnsi="Arial"/>
          <w:sz w:val="20"/>
          <w:szCs w:val="20"/>
          <w:color w:val="auto"/>
        </w:rPr>
        <w:t>Investment expenses consist primarily of depreciation, property taxes, operating expenses of real estate and an estimated portion of administrative expenses relating to investment activities.</w:t>
      </w:r>
    </w:p>
    <w:p>
      <w:pPr>
        <w:spacing w:after="0" w:line="190" w:lineRule="exact"/>
        <w:rPr>
          <w:sz w:val="20"/>
          <w:szCs w:val="20"/>
          <w:color w:val="auto"/>
        </w:rPr>
      </w:pPr>
    </w:p>
    <w:p>
      <w:pPr>
        <w:jc w:val="both"/>
        <w:ind w:right="99"/>
        <w:spacing w:after="0" w:line="250" w:lineRule="auto"/>
        <w:rPr>
          <w:sz w:val="20"/>
          <w:szCs w:val="20"/>
          <w:color w:val="auto"/>
        </w:rPr>
      </w:pPr>
      <w:r>
        <w:rPr>
          <w:rFonts w:ascii="Arial" w:cs="Arial" w:eastAsia="Arial" w:hAnsi="Arial"/>
          <w:sz w:val="20"/>
          <w:szCs w:val="20"/>
          <w:color w:val="auto"/>
        </w:rPr>
        <w:t>Securities on deposit with regulatory authorities as required by law amounted to $9,864,903 at March 31, 2021 and $9,684,409 at December 31, 2020. These restricted securities are included in various assets under investments on the accompanying condensed consolidated balance sheets.</w:t>
      </w:r>
    </w:p>
    <w:p>
      <w:pPr>
        <w:spacing w:after="0" w:line="199" w:lineRule="exact"/>
        <w:rPr>
          <w:sz w:val="20"/>
          <w:szCs w:val="20"/>
          <w:color w:val="auto"/>
        </w:rPr>
      </w:pPr>
    </w:p>
    <w:p>
      <w:pPr>
        <w:jc w:val="both"/>
        <w:ind w:right="99"/>
        <w:spacing w:after="0" w:line="250" w:lineRule="auto"/>
        <w:rPr>
          <w:sz w:val="20"/>
          <w:szCs w:val="20"/>
          <w:color w:val="auto"/>
        </w:rPr>
      </w:pPr>
      <w:r>
        <w:rPr>
          <w:rFonts w:ascii="Arial" w:cs="Arial" w:eastAsia="Arial" w:hAnsi="Arial"/>
          <w:sz w:val="20"/>
          <w:szCs w:val="20"/>
          <w:color w:val="auto"/>
        </w:rPr>
        <w:t>There were no investments, aggregated by issuer, in excess of 10% of shareholders’ equity (before net unrealized gains and losses on equity securities and fixed maturity securities) at March 31, 2021, other than investments issued or guaranteed by the United States Government.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Real Estate Held for Investment and Held for Sale</w:t>
      </w:r>
    </w:p>
    <w:p>
      <w:pPr>
        <w:spacing w:after="0" w:line="235" w:lineRule="exact"/>
        <w:rPr>
          <w:sz w:val="20"/>
          <w:szCs w:val="20"/>
          <w:color w:val="auto"/>
        </w:rPr>
      </w:pPr>
    </w:p>
    <w:p>
      <w:pPr>
        <w:jc w:val="both"/>
        <w:ind w:right="99"/>
        <w:spacing w:after="0" w:line="250" w:lineRule="auto"/>
        <w:rPr>
          <w:sz w:val="20"/>
          <w:szCs w:val="20"/>
          <w:color w:val="auto"/>
        </w:rPr>
      </w:pPr>
      <w:r>
        <w:rPr>
          <w:rFonts w:ascii="Arial" w:cs="Arial" w:eastAsia="Arial" w:hAnsi="Arial"/>
          <w:sz w:val="20"/>
          <w:szCs w:val="20"/>
          <w:color w:val="auto"/>
        </w:rPr>
        <w:t>The Company strategically deploys resources into real estate to match the income and yield durations of its primary obligations. The sources for these real estate assets come through its various business units in the form of acquisition, development and mortgage foreclosures.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Commercial Real Estate Held for Investment and Held for Sale</w:t>
      </w:r>
    </w:p>
    <w:p>
      <w:pPr>
        <w:spacing w:after="0" w:line="229" w:lineRule="exact"/>
        <w:rPr>
          <w:sz w:val="20"/>
          <w:szCs w:val="20"/>
          <w:color w:val="auto"/>
        </w:rPr>
      </w:pPr>
    </w:p>
    <w:p>
      <w:pPr>
        <w:jc w:val="both"/>
        <w:ind w:right="99"/>
        <w:spacing w:after="0" w:line="328" w:lineRule="auto"/>
        <w:rPr>
          <w:sz w:val="20"/>
          <w:szCs w:val="20"/>
          <w:color w:val="auto"/>
        </w:rPr>
      </w:pPr>
      <w:r>
        <w:rPr>
          <w:rFonts w:ascii="Arial" w:cs="Arial" w:eastAsia="Arial" w:hAnsi="Arial"/>
          <w:sz w:val="16"/>
          <w:szCs w:val="16"/>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142" w:lineRule="exact"/>
        <w:rPr>
          <w:sz w:val="20"/>
          <w:szCs w:val="20"/>
          <w:color w:val="auto"/>
        </w:rPr>
      </w:pPr>
    </w:p>
    <w:p>
      <w:pPr>
        <w:jc w:val="both"/>
        <w:ind w:right="79"/>
        <w:spacing w:after="0" w:line="244" w:lineRule="auto"/>
        <w:rPr>
          <w:sz w:val="20"/>
          <w:szCs w:val="20"/>
          <w:color w:val="auto"/>
        </w:rPr>
      </w:pPr>
      <w:r>
        <w:rPr>
          <w:rFonts w:ascii="Arial" w:cs="Arial" w:eastAsia="Arial" w:hAnsi="Arial"/>
          <w:sz w:val="20"/>
          <w:szCs w:val="20"/>
          <w:color w:val="auto"/>
        </w:rPr>
        <w:t>The Company employs full-time employees to attend to the day-to-day operations of those assets within the greater Salt Lake area and close surrounding markets. The Company utilizes third party property managers when the geographic boundary does not warrant full-time staff or through strategic lease-up periods. The Company generally looks to acquire assets in regions that are high growth regions for employment and population and in assets that provide operational efficiencies.</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17" w:name="page18"/>
    <w:bookmarkEnd w:id="17"/>
    <w:p>
      <w:pPr>
        <w:jc w:val="center"/>
        <w:ind w:right="79"/>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118" w:lineRule="exact"/>
        <w:rPr>
          <w:sz w:val="20"/>
          <w:szCs w:val="20"/>
          <w:color w:val="auto"/>
        </w:rPr>
      </w:pPr>
    </w:p>
    <w:p>
      <w:pPr>
        <w:ind w:left="480" w:hanging="480"/>
        <w:spacing w:after="0"/>
        <w:tabs>
          <w:tab w:leader="none" w:pos="480"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56" w:lineRule="exact"/>
        <w:rPr>
          <w:sz w:val="20"/>
          <w:szCs w:val="20"/>
          <w:color w:val="auto"/>
        </w:rPr>
      </w:pPr>
    </w:p>
    <w:p>
      <w:pPr>
        <w:jc w:val="both"/>
        <w:ind w:right="99"/>
        <w:spacing w:after="0" w:line="260" w:lineRule="auto"/>
        <w:rPr>
          <w:sz w:val="20"/>
          <w:szCs w:val="20"/>
          <w:color w:val="auto"/>
        </w:rPr>
      </w:pPr>
      <w:r>
        <w:rPr>
          <w:rFonts w:ascii="Arial" w:cs="Arial" w:eastAsia="Arial" w:hAnsi="Arial"/>
          <w:sz w:val="19"/>
          <w:szCs w:val="19"/>
          <w:color w:val="auto"/>
        </w:rPr>
        <w:t>The Company currently owns and operates 11 commercial properties in 5 states. These properties include office buildings, a funeral home, flex office space, and includes the redevelopment and expansion of its corporate campus (“Center53”) in Salt Lake City, Utah. The Company also holds undeveloped land that may be used for future commercial developments. The Company uses bank debt in strategic cases to leverage established yields or to acquire a higher quality or different class of asset.</w:t>
      </w:r>
    </w:p>
    <w:p>
      <w:pPr>
        <w:spacing w:after="0" w:line="194" w:lineRule="exact"/>
        <w:rPr>
          <w:sz w:val="20"/>
          <w:szCs w:val="20"/>
          <w:color w:val="auto"/>
        </w:rPr>
      </w:pPr>
    </w:p>
    <w:p>
      <w:pPr>
        <w:jc w:val="both"/>
        <w:ind w:right="99"/>
        <w:spacing w:after="0" w:line="246" w:lineRule="auto"/>
        <w:rPr>
          <w:sz w:val="20"/>
          <w:szCs w:val="20"/>
          <w:color w:val="auto"/>
        </w:rPr>
      </w:pPr>
      <w:r>
        <w:rPr>
          <w:rFonts w:ascii="Arial" w:cs="Arial" w:eastAsia="Arial" w:hAnsi="Arial"/>
          <w:sz w:val="20"/>
          <w:szCs w:val="20"/>
          <w:color w:val="auto"/>
        </w:rPr>
        <w:t>The aggregated net ending balance of commercial real estate that serves as collateral for bank loans was $99,547,615 and $71,517,902 as of March 31, 2021 and December 31, 2020, respectively. The associated bank loan carrying values totaled $55,831,600 and $46,153,283 as of March 31, 2021 and December 31, 2020, respectively.</w:t>
      </w:r>
    </w:p>
    <w:p>
      <w:pPr>
        <w:spacing w:after="0" w:line="205" w:lineRule="exact"/>
        <w:rPr>
          <w:sz w:val="20"/>
          <w:szCs w:val="20"/>
          <w:color w:val="auto"/>
        </w:rPr>
      </w:pPr>
    </w:p>
    <w:p>
      <w:pPr>
        <w:jc w:val="both"/>
        <w:ind w:right="99"/>
        <w:spacing w:after="0" w:line="246" w:lineRule="auto"/>
        <w:rPr>
          <w:sz w:val="20"/>
          <w:szCs w:val="20"/>
          <w:color w:val="auto"/>
        </w:rPr>
      </w:pPr>
      <w:r>
        <w:rPr>
          <w:rFonts w:ascii="Arial" w:cs="Arial" w:eastAsia="Arial" w:hAnsi="Arial"/>
          <w:sz w:val="20"/>
          <w:szCs w:val="20"/>
          <w:color w:val="auto"/>
        </w:rPr>
        <w:t>During the three months ended March 31, 2021 and 2020, the Company recorded impairment losses on commercial real estate held for sale of $-0- and $31,429, respectively. These impairment losses relate to an office building held by the life insurance segment. Impairment losses are included in gains (losses) on investment and other assets on the condensed consolidated statements of earnings.</w:t>
      </w:r>
    </w:p>
    <w:p>
      <w:pPr>
        <w:spacing w:after="0" w:line="205" w:lineRule="exact"/>
        <w:rPr>
          <w:sz w:val="20"/>
          <w:szCs w:val="20"/>
          <w:color w:val="auto"/>
        </w:rPr>
      </w:pPr>
    </w:p>
    <w:p>
      <w:pPr>
        <w:jc w:val="both"/>
        <w:ind w:right="99"/>
        <w:spacing w:after="0" w:line="260" w:lineRule="auto"/>
        <w:rPr>
          <w:sz w:val="20"/>
          <w:szCs w:val="20"/>
          <w:color w:val="auto"/>
        </w:rPr>
      </w:pPr>
      <w:r>
        <w:rPr>
          <w:rFonts w:ascii="Arial" w:cs="Arial" w:eastAsia="Arial" w:hAnsi="Arial"/>
          <w:sz w:val="20"/>
          <w:szCs w:val="20"/>
          <w:color w:val="auto"/>
        </w:rPr>
        <w:t>The following is a summary of the Company’s commercial real estate held for investment for the periods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80" w:type="dxa"/>
            <w:vAlign w:val="bottom"/>
            <w:gridSpan w:val="5"/>
          </w:tcPr>
          <w:p>
            <w:pPr>
              <w:jc w:val="right"/>
              <w:ind w:right="1140"/>
              <w:spacing w:after="0"/>
              <w:rPr>
                <w:sz w:val="20"/>
                <w:szCs w:val="20"/>
                <w:color w:val="auto"/>
              </w:rPr>
            </w:pPr>
            <w:r>
              <w:rPr>
                <w:rFonts w:ascii="Arial" w:cs="Arial" w:eastAsia="Arial" w:hAnsi="Arial"/>
                <w:sz w:val="22"/>
                <w:szCs w:val="22"/>
                <w:color w:val="auto"/>
              </w:rPr>
              <w:t>Net Ending Balance</w:t>
            </w:r>
          </w:p>
        </w:tc>
        <w:tc>
          <w:tcPr>
            <w:tcW w:w="3520" w:type="dxa"/>
            <w:vAlign w:val="bottom"/>
            <w:gridSpan w:val="3"/>
          </w:tcPr>
          <w:p>
            <w:pPr>
              <w:jc w:val="right"/>
              <w:ind w:right="732"/>
              <w:spacing w:after="0"/>
              <w:rPr>
                <w:sz w:val="20"/>
                <w:szCs w:val="20"/>
                <w:color w:val="auto"/>
              </w:rPr>
            </w:pPr>
            <w:r>
              <w:rPr>
                <w:rFonts w:ascii="Arial" w:cs="Arial" w:eastAsia="Arial" w:hAnsi="Arial"/>
                <w:sz w:val="22"/>
                <w:szCs w:val="22"/>
                <w:color w:val="auto"/>
              </w:rPr>
              <w:t>Total Square Footage</w:t>
            </w:r>
          </w:p>
        </w:tc>
      </w:tr>
      <w:tr>
        <w:trPr>
          <w:trHeight w:val="243"/>
        </w:trPr>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620"/>
              <w:spacing w:after="0" w:line="243" w:lineRule="exact"/>
              <w:rPr>
                <w:sz w:val="20"/>
                <w:szCs w:val="20"/>
                <w:color w:val="auto"/>
              </w:rPr>
            </w:pPr>
            <w:r>
              <w:rPr>
                <w:rFonts w:ascii="Arial" w:cs="Arial" w:eastAsia="Arial" w:hAnsi="Arial"/>
                <w:sz w:val="22"/>
                <w:szCs w:val="22"/>
                <w:color w:val="auto"/>
              </w:rPr>
              <w:t>March 31</w:t>
            </w:r>
          </w:p>
        </w:tc>
        <w:tc>
          <w:tcPr>
            <w:tcW w:w="240" w:type="dxa"/>
            <w:vAlign w:val="bottom"/>
          </w:tcPr>
          <w:p>
            <w:pPr>
              <w:spacing w:after="0"/>
              <w:rPr>
                <w:sz w:val="21"/>
                <w:szCs w:val="21"/>
                <w:color w:val="auto"/>
              </w:rPr>
            </w:pPr>
          </w:p>
        </w:tc>
        <w:tc>
          <w:tcPr>
            <w:tcW w:w="1680" w:type="dxa"/>
            <w:vAlign w:val="bottom"/>
            <w:gridSpan w:val="2"/>
          </w:tcPr>
          <w:p>
            <w:pPr>
              <w:jc w:val="right"/>
              <w:ind w:right="520"/>
              <w:spacing w:after="0" w:line="243" w:lineRule="exact"/>
              <w:rPr>
                <w:sz w:val="20"/>
                <w:szCs w:val="20"/>
                <w:color w:val="auto"/>
              </w:rPr>
            </w:pPr>
            <w:r>
              <w:rPr>
                <w:rFonts w:ascii="Arial" w:cs="Arial" w:eastAsia="Arial" w:hAnsi="Arial"/>
                <w:sz w:val="22"/>
                <w:szCs w:val="22"/>
                <w:color w:val="auto"/>
                <w:w w:val="86"/>
              </w:rPr>
              <w:t>December 31</w:t>
            </w:r>
          </w:p>
        </w:tc>
        <w:tc>
          <w:tcPr>
            <w:tcW w:w="1840" w:type="dxa"/>
            <w:vAlign w:val="bottom"/>
            <w:gridSpan w:val="2"/>
          </w:tcPr>
          <w:p>
            <w:pPr>
              <w:jc w:val="right"/>
              <w:ind w:right="580"/>
              <w:spacing w:after="0" w:line="243" w:lineRule="exact"/>
              <w:rPr>
                <w:sz w:val="20"/>
                <w:szCs w:val="20"/>
                <w:color w:val="auto"/>
              </w:rPr>
            </w:pPr>
            <w:r>
              <w:rPr>
                <w:rFonts w:ascii="Arial" w:cs="Arial" w:eastAsia="Arial" w:hAnsi="Arial"/>
                <w:sz w:val="22"/>
                <w:szCs w:val="22"/>
                <w:color w:val="auto"/>
              </w:rPr>
              <w:t>March 31</w:t>
            </w:r>
          </w:p>
        </w:tc>
        <w:tc>
          <w:tcPr>
            <w:tcW w:w="168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December 31</w:t>
            </w:r>
          </w:p>
        </w:tc>
      </w:tr>
      <w:tr>
        <w:trPr>
          <w:trHeight w:val="276"/>
        </w:trPr>
        <w:tc>
          <w:tcPr>
            <w:tcW w:w="17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92"/>
              <w:spacing w:after="0"/>
              <w:rPr>
                <w:sz w:val="20"/>
                <w:szCs w:val="20"/>
                <w:color w:val="auto"/>
              </w:rPr>
            </w:pPr>
            <w:r>
              <w:rPr>
                <w:rFonts w:ascii="Arial" w:cs="Arial" w:eastAsia="Arial" w:hAnsi="Arial"/>
                <w:sz w:val="22"/>
                <w:szCs w:val="22"/>
                <w:color w:val="auto"/>
              </w:rPr>
              <w:t>2021</w:t>
            </w: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color w:val="auto"/>
              </w:rPr>
              <w:t>2020</w:t>
            </w:r>
          </w:p>
        </w:tc>
        <w:tc>
          <w:tcPr>
            <w:tcW w:w="20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color w:val="auto"/>
              </w:rPr>
              <w:t>2021</w:t>
            </w:r>
          </w:p>
        </w:tc>
        <w:tc>
          <w:tcPr>
            <w:tcW w:w="8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color w:val="auto"/>
              </w:rPr>
              <w:t>2020</w:t>
            </w:r>
          </w:p>
        </w:tc>
      </w:tr>
      <w:tr>
        <w:trPr>
          <w:trHeight w:val="265"/>
        </w:trPr>
        <w:tc>
          <w:tcPr>
            <w:tcW w:w="1720" w:type="dxa"/>
            <w:vAlign w:val="bottom"/>
            <w:shd w:val="clear" w:color="auto" w:fill="CCEEFF"/>
          </w:tcPr>
          <w:p>
            <w:pPr>
              <w:ind w:left="20"/>
              <w:spacing w:after="0"/>
              <w:rPr>
                <w:sz w:val="20"/>
                <w:szCs w:val="20"/>
                <w:color w:val="auto"/>
              </w:rPr>
            </w:pPr>
            <w:r>
              <w:rPr>
                <w:rFonts w:ascii="Arial" w:cs="Arial" w:eastAsia="Arial" w:hAnsi="Arial"/>
                <w:sz w:val="22"/>
                <w:szCs w:val="22"/>
                <w:color w:val="auto"/>
              </w:rPr>
              <w:t>Utah (1)</w:t>
            </w:r>
          </w:p>
        </w:tc>
        <w:tc>
          <w:tcPr>
            <w:tcW w:w="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111,008,057</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100,927,528</w:t>
            </w:r>
          </w:p>
        </w:tc>
        <w:tc>
          <w:tcPr>
            <w:tcW w:w="20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379,066</w:t>
            </w: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379,066</w:t>
            </w:r>
          </w:p>
        </w:tc>
      </w:tr>
      <w:tr>
        <w:trPr>
          <w:trHeight w:val="270"/>
        </w:trPr>
        <w:tc>
          <w:tcPr>
            <w:tcW w:w="1720" w:type="dxa"/>
            <w:vAlign w:val="bottom"/>
          </w:tcPr>
          <w:p>
            <w:pPr>
              <w:ind w:left="20"/>
              <w:spacing w:after="0"/>
              <w:rPr>
                <w:sz w:val="20"/>
                <w:szCs w:val="20"/>
                <w:color w:val="auto"/>
              </w:rPr>
            </w:pPr>
            <w:r>
              <w:rPr>
                <w:rFonts w:ascii="Arial" w:cs="Arial" w:eastAsia="Arial" w:hAnsi="Arial"/>
                <w:sz w:val="22"/>
                <w:szCs w:val="22"/>
                <w:color w:val="auto"/>
              </w:rPr>
              <w:t>Louisiana</w:t>
            </w:r>
          </w:p>
        </w:tc>
        <w:tc>
          <w:tcPr>
            <w:tcW w:w="360" w:type="dxa"/>
            <w:vAlign w:val="bottom"/>
          </w:tcPr>
          <w:p>
            <w:pPr>
              <w:spacing w:after="0"/>
              <w:rPr>
                <w:sz w:val="23"/>
                <w:szCs w:val="23"/>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22"/>
                <w:szCs w:val="22"/>
                <w:color w:val="auto"/>
              </w:rPr>
              <w:t>2,981,296</w:t>
            </w:r>
          </w:p>
        </w:tc>
        <w:tc>
          <w:tcPr>
            <w:tcW w:w="240" w:type="dxa"/>
            <w:vAlign w:val="bottom"/>
          </w:tcPr>
          <w:p>
            <w:pPr>
              <w:spacing w:after="0"/>
              <w:rPr>
                <w:sz w:val="23"/>
                <w:szCs w:val="23"/>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22"/>
                <w:szCs w:val="22"/>
                <w:color w:val="auto"/>
              </w:rPr>
              <w:t>2,998,684</w:t>
            </w:r>
          </w:p>
        </w:tc>
        <w:tc>
          <w:tcPr>
            <w:tcW w:w="1840" w:type="dxa"/>
            <w:vAlign w:val="bottom"/>
            <w:gridSpan w:val="2"/>
          </w:tcPr>
          <w:p>
            <w:pPr>
              <w:jc w:val="right"/>
              <w:ind w:right="80"/>
              <w:spacing w:after="0"/>
              <w:rPr>
                <w:sz w:val="20"/>
                <w:szCs w:val="20"/>
                <w:color w:val="auto"/>
              </w:rPr>
            </w:pPr>
            <w:r>
              <w:rPr>
                <w:rFonts w:ascii="Arial" w:cs="Arial" w:eastAsia="Arial" w:hAnsi="Arial"/>
                <w:sz w:val="22"/>
                <w:szCs w:val="22"/>
                <w:color w:val="auto"/>
              </w:rPr>
              <w:t>84,841</w:t>
            </w:r>
          </w:p>
        </w:tc>
        <w:tc>
          <w:tcPr>
            <w:tcW w:w="1680" w:type="dxa"/>
            <w:vAlign w:val="bottom"/>
          </w:tcPr>
          <w:p>
            <w:pPr>
              <w:jc w:val="right"/>
              <w:spacing w:after="0"/>
              <w:rPr>
                <w:sz w:val="20"/>
                <w:szCs w:val="20"/>
                <w:color w:val="auto"/>
              </w:rPr>
            </w:pPr>
            <w:r>
              <w:rPr>
                <w:rFonts w:ascii="Arial" w:cs="Arial" w:eastAsia="Arial" w:hAnsi="Arial"/>
                <w:sz w:val="22"/>
                <w:szCs w:val="22"/>
                <w:color w:val="auto"/>
              </w:rPr>
              <w:t>84,841</w:t>
            </w:r>
          </w:p>
        </w:tc>
      </w:tr>
      <w:tr>
        <w:trPr>
          <w:trHeight w:val="270"/>
        </w:trPr>
        <w:tc>
          <w:tcPr>
            <w:tcW w:w="1720" w:type="dxa"/>
            <w:vAlign w:val="bottom"/>
            <w:shd w:val="clear" w:color="auto" w:fill="CCEEFF"/>
          </w:tcPr>
          <w:p>
            <w:pPr>
              <w:ind w:left="20"/>
              <w:spacing w:after="0"/>
              <w:rPr>
                <w:sz w:val="20"/>
                <w:szCs w:val="20"/>
                <w:color w:val="auto"/>
              </w:rPr>
            </w:pPr>
            <w:r>
              <w:rPr>
                <w:rFonts w:ascii="Arial" w:cs="Arial" w:eastAsia="Arial" w:hAnsi="Arial"/>
                <w:sz w:val="22"/>
                <w:szCs w:val="22"/>
                <w:color w:val="auto"/>
              </w:rPr>
              <w:t>Mississippi</w:t>
            </w:r>
          </w:p>
        </w:tc>
        <w:tc>
          <w:tcPr>
            <w:tcW w:w="36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2,909,508</w:t>
            </w:r>
          </w:p>
        </w:tc>
        <w:tc>
          <w:tcPr>
            <w:tcW w:w="24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2,914,498</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21,521</w:t>
            </w:r>
          </w:p>
        </w:tc>
        <w:tc>
          <w:tcPr>
            <w:tcW w:w="1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21,521</w:t>
            </w:r>
          </w:p>
        </w:tc>
      </w:tr>
      <w:tr>
        <w:trPr>
          <w:trHeight w:val="270"/>
        </w:trPr>
        <w:tc>
          <w:tcPr>
            <w:tcW w:w="1720" w:type="dxa"/>
            <w:vAlign w:val="bottom"/>
          </w:tcPr>
          <w:p>
            <w:pPr>
              <w:ind w:left="20"/>
              <w:spacing w:after="0"/>
              <w:rPr>
                <w:sz w:val="20"/>
                <w:szCs w:val="20"/>
                <w:color w:val="auto"/>
              </w:rPr>
            </w:pPr>
            <w:r>
              <w:rPr>
                <w:rFonts w:ascii="Arial" w:cs="Arial" w:eastAsia="Arial" w:hAnsi="Arial"/>
                <w:sz w:val="22"/>
                <w:szCs w:val="22"/>
                <w:color w:val="auto"/>
              </w:rPr>
              <w:t>California</w:t>
            </w:r>
          </w:p>
        </w:tc>
        <w:tc>
          <w:tcPr>
            <w:tcW w:w="360" w:type="dxa"/>
            <w:vAlign w:val="bottom"/>
          </w:tcPr>
          <w:p>
            <w:pPr>
              <w:spacing w:after="0"/>
              <w:rPr>
                <w:sz w:val="23"/>
                <w:szCs w:val="23"/>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22"/>
                <w:szCs w:val="22"/>
                <w:color w:val="auto"/>
              </w:rPr>
              <w:t>389,145</w:t>
            </w:r>
          </w:p>
        </w:tc>
        <w:tc>
          <w:tcPr>
            <w:tcW w:w="240" w:type="dxa"/>
            <w:vAlign w:val="bottom"/>
          </w:tcPr>
          <w:p>
            <w:pPr>
              <w:spacing w:after="0"/>
              <w:rPr>
                <w:sz w:val="23"/>
                <w:szCs w:val="23"/>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22"/>
                <w:szCs w:val="22"/>
                <w:color w:val="auto"/>
              </w:rPr>
              <w:t>-</w:t>
            </w:r>
          </w:p>
        </w:tc>
        <w:tc>
          <w:tcPr>
            <w:tcW w:w="1840" w:type="dxa"/>
            <w:vAlign w:val="bottom"/>
            <w:gridSpan w:val="2"/>
          </w:tcPr>
          <w:p>
            <w:pPr>
              <w:jc w:val="right"/>
              <w:ind w:right="80"/>
              <w:spacing w:after="0"/>
              <w:rPr>
                <w:sz w:val="20"/>
                <w:szCs w:val="20"/>
                <w:color w:val="auto"/>
              </w:rPr>
            </w:pPr>
            <w:r>
              <w:rPr>
                <w:rFonts w:ascii="Arial" w:cs="Arial" w:eastAsia="Arial" w:hAnsi="Arial"/>
                <w:sz w:val="22"/>
                <w:szCs w:val="22"/>
                <w:color w:val="auto"/>
              </w:rPr>
              <w:t>2,872</w:t>
            </w:r>
          </w:p>
        </w:tc>
        <w:tc>
          <w:tcPr>
            <w:tcW w:w="16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17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spacing w:after="0"/>
              <w:rPr>
                <w:sz w:val="23"/>
                <w:szCs w:val="23"/>
                <w:color w:val="auto"/>
              </w:rPr>
            </w:pPr>
          </w:p>
        </w:tc>
      </w:tr>
      <w:tr>
        <w:trPr>
          <w:trHeight w:val="263"/>
        </w:trPr>
        <w:tc>
          <w:tcPr>
            <w:tcW w:w="1720" w:type="dxa"/>
            <w:vAlign w:val="bottom"/>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117,288,006</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106,840,710</w:t>
            </w:r>
          </w:p>
        </w:tc>
        <w:tc>
          <w:tcPr>
            <w:tcW w:w="200" w:type="dxa"/>
            <w:vAlign w:val="bottom"/>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488,300</w:t>
            </w:r>
          </w:p>
        </w:tc>
        <w:tc>
          <w:tcPr>
            <w:tcW w:w="8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485,428</w:t>
            </w:r>
          </w:p>
        </w:tc>
      </w:tr>
      <w:tr>
        <w:trPr>
          <w:trHeight w:val="20"/>
        </w:trPr>
        <w:tc>
          <w:tcPr>
            <w:tcW w:w="1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(1) Includes Center53 phase 1 and phase 2 which is under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2255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commercial real estate held for sale for the periods presented: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40" w:type="dxa"/>
            <w:vAlign w:val="bottom"/>
            <w:gridSpan w:val="5"/>
          </w:tcPr>
          <w:p>
            <w:pPr>
              <w:jc w:val="right"/>
              <w:ind w:right="1160"/>
              <w:spacing w:after="0"/>
              <w:rPr>
                <w:sz w:val="20"/>
                <w:szCs w:val="20"/>
                <w:color w:val="auto"/>
              </w:rPr>
            </w:pPr>
            <w:r>
              <w:rPr>
                <w:rFonts w:ascii="Arial" w:cs="Arial" w:eastAsia="Arial" w:hAnsi="Arial"/>
                <w:sz w:val="20"/>
                <w:szCs w:val="20"/>
                <w:color w:val="auto"/>
              </w:rPr>
              <w:t>Net Ending Balance</w:t>
            </w:r>
          </w:p>
        </w:tc>
        <w:tc>
          <w:tcPr>
            <w:tcW w:w="3680" w:type="dxa"/>
            <w:vAlign w:val="bottom"/>
            <w:gridSpan w:val="4"/>
          </w:tcPr>
          <w:p>
            <w:pPr>
              <w:jc w:val="right"/>
              <w:ind w:right="1000"/>
              <w:spacing w:after="0"/>
              <w:rPr>
                <w:sz w:val="20"/>
                <w:szCs w:val="20"/>
                <w:color w:val="auto"/>
              </w:rPr>
            </w:pPr>
            <w:r>
              <w:rPr>
                <w:rFonts w:ascii="Arial" w:cs="Arial" w:eastAsia="Arial" w:hAnsi="Arial"/>
                <w:sz w:val="20"/>
                <w:szCs w:val="20"/>
                <w:color w:val="auto"/>
              </w:rPr>
              <w:t>Total Square Footage</w:t>
            </w:r>
          </w:p>
        </w:tc>
      </w:tr>
      <w:tr>
        <w:trPr>
          <w:trHeight w:val="236"/>
        </w:trPr>
        <w:tc>
          <w:tcPr>
            <w:tcW w:w="1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20"/>
                <w:szCs w:val="20"/>
                <w:color w:val="auto"/>
              </w:rPr>
              <w:t>March 31</w:t>
            </w:r>
          </w:p>
        </w:tc>
        <w:tc>
          <w:tcPr>
            <w:tcW w:w="240" w:type="dxa"/>
            <w:vAlign w:val="bottom"/>
          </w:tcPr>
          <w:p>
            <w:pPr>
              <w:spacing w:after="0"/>
              <w:rPr>
                <w:sz w:val="20"/>
                <w:szCs w:val="20"/>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20"/>
                <w:szCs w:val="20"/>
                <w:color w:val="auto"/>
                <w:w w:val="86"/>
              </w:rPr>
              <w:t>December 31</w:t>
            </w:r>
          </w:p>
        </w:tc>
        <w:tc>
          <w:tcPr>
            <w:tcW w:w="1940" w:type="dxa"/>
            <w:vAlign w:val="bottom"/>
            <w:gridSpan w:val="2"/>
          </w:tcPr>
          <w:p>
            <w:pPr>
              <w:jc w:val="right"/>
              <w:ind w:right="660"/>
              <w:spacing w:after="0"/>
              <w:rPr>
                <w:sz w:val="20"/>
                <w:szCs w:val="20"/>
                <w:color w:val="auto"/>
              </w:rPr>
            </w:pPr>
            <w:r>
              <w:rPr>
                <w:rFonts w:ascii="Arial" w:cs="Arial" w:eastAsia="Arial" w:hAnsi="Arial"/>
                <w:sz w:val="20"/>
                <w:szCs w:val="20"/>
                <w:color w:val="auto"/>
              </w:rPr>
              <w:t>March 31</w:t>
            </w:r>
          </w:p>
        </w:tc>
        <w:tc>
          <w:tcPr>
            <w:tcW w:w="1740" w:type="dxa"/>
            <w:vAlign w:val="bottom"/>
            <w:gridSpan w:val="2"/>
          </w:tcPr>
          <w:p>
            <w:pPr>
              <w:jc w:val="right"/>
              <w:ind w:right="380"/>
              <w:spacing w:after="0"/>
              <w:rPr>
                <w:sz w:val="20"/>
                <w:szCs w:val="20"/>
                <w:color w:val="auto"/>
              </w:rPr>
            </w:pPr>
            <w:r>
              <w:rPr>
                <w:rFonts w:ascii="Arial" w:cs="Arial" w:eastAsia="Arial" w:hAnsi="Arial"/>
                <w:sz w:val="20"/>
                <w:szCs w:val="20"/>
                <w:color w:val="auto"/>
              </w:rPr>
              <w:t>December 31</w:t>
            </w:r>
          </w:p>
        </w:tc>
      </w:tr>
      <w:tr>
        <w:trPr>
          <w:trHeight w:val="255"/>
        </w:trPr>
        <w:tc>
          <w:tcPr>
            <w:tcW w:w="17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rPr>
              <w:t>2021</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20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rPr>
              <w:t>2021</w:t>
            </w:r>
          </w:p>
        </w:tc>
        <w:tc>
          <w:tcPr>
            <w:tcW w:w="8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2020</w:t>
            </w:r>
          </w:p>
        </w:tc>
        <w:tc>
          <w:tcPr>
            <w:tcW w:w="20" w:type="dxa"/>
            <w:vAlign w:val="bottom"/>
          </w:tcPr>
          <w:p>
            <w:pPr>
              <w:spacing w:after="0"/>
              <w:rPr>
                <w:sz w:val="22"/>
                <w:szCs w:val="22"/>
                <w:color w:val="auto"/>
              </w:rPr>
            </w:pPr>
          </w:p>
        </w:tc>
      </w:tr>
      <w:tr>
        <w:trPr>
          <w:trHeight w:val="255"/>
        </w:trPr>
        <w:tc>
          <w:tcPr>
            <w:tcW w:w="1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Kansas</w:t>
            </w:r>
          </w:p>
        </w:tc>
        <w:tc>
          <w:tcPr>
            <w:tcW w:w="3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4,000,000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4,000,000</w:t>
            </w: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222,679</w:t>
            </w:r>
          </w:p>
        </w:tc>
        <w:tc>
          <w:tcPr>
            <w:tcW w:w="8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222,679</w:t>
            </w:r>
          </w:p>
        </w:tc>
        <w:tc>
          <w:tcPr>
            <w:tcW w:w="20" w:type="dxa"/>
            <w:vAlign w:val="bottom"/>
          </w:tcPr>
          <w:p>
            <w:pPr>
              <w:spacing w:after="0"/>
              <w:rPr>
                <w:sz w:val="22"/>
                <w:szCs w:val="22"/>
                <w:color w:val="auto"/>
              </w:rPr>
            </w:pPr>
          </w:p>
        </w:tc>
      </w:tr>
      <w:tr>
        <w:trPr>
          <w:trHeight w:val="250"/>
        </w:trPr>
        <w:tc>
          <w:tcPr>
            <w:tcW w:w="2080" w:type="dxa"/>
            <w:vAlign w:val="bottom"/>
            <w:gridSpan w:val="2"/>
          </w:tcPr>
          <w:p>
            <w:pPr>
              <w:ind w:left="20"/>
              <w:spacing w:after="0"/>
              <w:rPr>
                <w:sz w:val="20"/>
                <w:szCs w:val="20"/>
                <w:color w:val="auto"/>
              </w:rPr>
            </w:pPr>
            <w:r>
              <w:rPr>
                <w:rFonts w:ascii="Arial" w:cs="Arial" w:eastAsia="Arial" w:hAnsi="Arial"/>
                <w:sz w:val="20"/>
                <w:szCs w:val="20"/>
                <w:color w:val="auto"/>
              </w:rPr>
              <w:t>Texas (1)</w:t>
            </w:r>
          </w:p>
        </w:tc>
        <w:tc>
          <w:tcPr>
            <w:tcW w:w="1560" w:type="dxa"/>
            <w:vAlign w:val="bottom"/>
            <w:gridSpan w:val="2"/>
          </w:tcPr>
          <w:p>
            <w:pPr>
              <w:jc w:val="right"/>
              <w:ind w:right="80"/>
              <w:spacing w:after="0"/>
              <w:rPr>
                <w:sz w:val="20"/>
                <w:szCs w:val="20"/>
                <w:color w:val="auto"/>
              </w:rPr>
            </w:pPr>
            <w:r>
              <w:rPr>
                <w:rFonts w:ascii="Arial" w:cs="Arial" w:eastAsia="Arial" w:hAnsi="Arial"/>
                <w:sz w:val="20"/>
                <w:szCs w:val="20"/>
                <w:color w:val="auto"/>
              </w:rPr>
              <w:t>249,000</w:t>
            </w:r>
          </w:p>
        </w:tc>
        <w:tc>
          <w:tcPr>
            <w:tcW w:w="24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20"/>
                <w:szCs w:val="20"/>
                <w:color w:val="auto"/>
              </w:rPr>
              <w:t>249,000</w:t>
            </w:r>
          </w:p>
        </w:tc>
        <w:tc>
          <w:tcPr>
            <w:tcW w:w="19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74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253"/>
        </w:trPr>
        <w:tc>
          <w:tcPr>
            <w:tcW w:w="2080" w:type="dxa"/>
            <w:vAlign w:val="bottom"/>
            <w:gridSpan w:val="2"/>
          </w:tcPr>
          <w:p>
            <w:pPr>
              <w:ind w:left="20"/>
              <w:spacing w:after="0"/>
              <w:rPr>
                <w:sz w:val="20"/>
                <w:szCs w:val="20"/>
                <w:color w:val="auto"/>
              </w:rPr>
            </w:pPr>
            <w:r>
              <w:rPr>
                <w:rFonts w:ascii="Arial" w:cs="Arial" w:eastAsia="Arial" w:hAnsi="Arial"/>
                <w:sz w:val="20"/>
                <w:szCs w:val="20"/>
                <w:color w:val="auto"/>
              </w:rPr>
              <w:t>Mississippi</w:t>
            </w:r>
          </w:p>
        </w:tc>
        <w:tc>
          <w:tcPr>
            <w:tcW w:w="1560" w:type="dxa"/>
            <w:vAlign w:val="bottom"/>
            <w:gridSpan w:val="2"/>
          </w:tcPr>
          <w:p>
            <w:pPr>
              <w:jc w:val="right"/>
              <w:ind w:right="80"/>
              <w:spacing w:after="0"/>
              <w:rPr>
                <w:sz w:val="20"/>
                <w:szCs w:val="20"/>
                <w:color w:val="auto"/>
              </w:rPr>
            </w:pPr>
            <w:r>
              <w:rPr>
                <w:rFonts w:ascii="Arial" w:cs="Arial" w:eastAsia="Arial" w:hAnsi="Arial"/>
                <w:sz w:val="20"/>
                <w:szCs w:val="20"/>
                <w:color w:val="auto"/>
              </w:rPr>
              <w:t>151,553</w:t>
            </w:r>
          </w:p>
        </w:tc>
        <w:tc>
          <w:tcPr>
            <w:tcW w:w="24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20"/>
                <w:szCs w:val="20"/>
                <w:color w:val="auto"/>
              </w:rPr>
              <w:t>151,553</w:t>
            </w:r>
          </w:p>
        </w:tc>
        <w:tc>
          <w:tcPr>
            <w:tcW w:w="19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74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266"/>
        </w:trPr>
        <w:tc>
          <w:tcPr>
            <w:tcW w:w="1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gridSpan w:val="2"/>
          </w:tcPr>
          <w:p>
            <w:pPr>
              <w:spacing w:after="0"/>
              <w:rPr>
                <w:sz w:val="23"/>
                <w:szCs w:val="23"/>
                <w:color w:val="auto"/>
              </w:rPr>
            </w:pPr>
          </w:p>
        </w:tc>
      </w:tr>
      <w:tr>
        <w:trPr>
          <w:trHeight w:val="247"/>
        </w:trPr>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4,400,553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4,400,553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222,679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222,679</w:t>
            </w:r>
          </w:p>
        </w:tc>
        <w:tc>
          <w:tcPr>
            <w:tcW w:w="20" w:type="dxa"/>
            <w:vAlign w:val="bottom"/>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-521970</wp:posOffset>
            </wp:positionV>
            <wp:extent cx="57607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16256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 Improved commercial 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2255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09" w:lineRule="exact"/>
        <w:rPr>
          <w:sz w:val="20"/>
          <w:szCs w:val="20"/>
          <w:color w:val="auto"/>
        </w:rPr>
      </w:pPr>
    </w:p>
    <w:p>
      <w:pPr>
        <w:ind w:right="519"/>
        <w:spacing w:after="0" w:line="250" w:lineRule="auto"/>
        <w:rPr>
          <w:sz w:val="20"/>
          <w:szCs w:val="20"/>
          <w:color w:val="auto"/>
        </w:rPr>
      </w:pPr>
      <w:r>
        <w:rPr>
          <w:rFonts w:ascii="Arial" w:cs="Arial" w:eastAsia="Arial" w:hAnsi="Arial"/>
          <w:sz w:val="20"/>
          <w:szCs w:val="20"/>
          <w:color w:val="auto"/>
        </w:rPr>
        <w:t>These properties are all actively being marketed with the assistance of commercial real estate brokers in the markets where the properties are located. The Company expects these properties to sell within the coming 12 months.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Residential Real Estate Held for Investment and Held for Sale</w:t>
      </w:r>
    </w:p>
    <w:p>
      <w:pPr>
        <w:spacing w:after="0" w:line="121" w:lineRule="exact"/>
        <w:rPr>
          <w:sz w:val="20"/>
          <w:szCs w:val="20"/>
          <w:color w:val="auto"/>
        </w:rPr>
      </w:pPr>
    </w:p>
    <w:p>
      <w:pPr>
        <w:jc w:val="both"/>
        <w:ind w:right="99"/>
        <w:spacing w:after="0" w:line="250" w:lineRule="auto"/>
        <w:rPr>
          <w:sz w:val="20"/>
          <w:szCs w:val="20"/>
          <w:color w:val="auto"/>
        </w:rPr>
      </w:pPr>
      <w:r>
        <w:rPr>
          <w:rFonts w:ascii="Arial" w:cs="Arial" w:eastAsia="Arial" w:hAnsi="Arial"/>
          <w:sz w:val="20"/>
          <w:szCs w:val="20"/>
          <w:color w:val="auto"/>
        </w:rPr>
        <w:t>The Company owns a small portfolio of residential homes primarily as a result of loan foreclosures. The Company has the option to sell them or to continue to hold them for cash flow and acceptable returns. The Company also invests in residential subdivision land developments.</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18" w:name="page19"/>
    <w:bookmarkEnd w:id="18"/>
    <w:p>
      <w:pPr>
        <w:jc w:val="center"/>
        <w:ind w:right="79"/>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118" w:lineRule="exact"/>
        <w:rPr>
          <w:sz w:val="20"/>
          <w:szCs w:val="20"/>
          <w:color w:val="auto"/>
        </w:rPr>
      </w:pPr>
    </w:p>
    <w:p>
      <w:pPr>
        <w:ind w:left="480" w:hanging="480"/>
        <w:spacing w:after="0"/>
        <w:tabs>
          <w:tab w:leader="none" w:pos="48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56" w:lineRule="exact"/>
        <w:rPr>
          <w:sz w:val="20"/>
          <w:szCs w:val="20"/>
          <w:color w:val="auto"/>
        </w:rPr>
      </w:pPr>
    </w:p>
    <w:p>
      <w:pPr>
        <w:jc w:val="both"/>
        <w:ind w:right="99"/>
        <w:spacing w:after="0" w:line="250" w:lineRule="auto"/>
        <w:rPr>
          <w:sz w:val="20"/>
          <w:szCs w:val="20"/>
          <w:color w:val="auto"/>
        </w:rPr>
      </w:pPr>
      <w:r>
        <w:rPr>
          <w:rFonts w:ascii="Arial" w:cs="Arial" w:eastAsia="Arial" w:hAnsi="Arial"/>
          <w:sz w:val="20"/>
          <w:szCs w:val="20"/>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As of March 31, 2021, SNRE manages 5 residential properties in 4 states across the United States.</w:t>
      </w:r>
    </w:p>
    <w:p>
      <w:pPr>
        <w:spacing w:after="0" w:line="229" w:lineRule="exact"/>
        <w:rPr>
          <w:sz w:val="20"/>
          <w:szCs w:val="20"/>
          <w:color w:val="auto"/>
        </w:rPr>
      </w:pPr>
    </w:p>
    <w:p>
      <w:pPr>
        <w:jc w:val="both"/>
        <w:ind w:right="99"/>
        <w:spacing w:after="0" w:line="316" w:lineRule="auto"/>
        <w:rPr>
          <w:sz w:val="20"/>
          <w:szCs w:val="20"/>
          <w:color w:val="auto"/>
        </w:rPr>
      </w:pPr>
      <w:r>
        <w:rPr>
          <w:rFonts w:ascii="Arial" w:cs="Arial" w:eastAsia="Arial" w:hAnsi="Arial"/>
          <w:sz w:val="18"/>
          <w:szCs w:val="18"/>
          <w:color w:val="auto"/>
        </w:rPr>
        <w:t>The net ending balance of foreclosed residential real estate included in residential real estate held for investment and sale is $1,657,285 and $4,327,079 as of March 31, 2021 and December 31, 2020, respectively.</w:t>
      </w:r>
    </w:p>
    <w:p>
      <w:pPr>
        <w:spacing w:after="0" w:line="143" w:lineRule="exact"/>
        <w:rPr>
          <w:sz w:val="20"/>
          <w:szCs w:val="20"/>
          <w:color w:val="auto"/>
        </w:rPr>
      </w:pPr>
    </w:p>
    <w:p>
      <w:pPr>
        <w:jc w:val="both"/>
        <w:ind w:right="99"/>
        <w:spacing w:after="0" w:line="269" w:lineRule="auto"/>
        <w:rPr>
          <w:sz w:val="20"/>
          <w:szCs w:val="20"/>
          <w:color w:val="auto"/>
        </w:rPr>
      </w:pPr>
      <w:r>
        <w:rPr>
          <w:rFonts w:ascii="Arial" w:cs="Arial" w:eastAsia="Arial" w:hAnsi="Arial"/>
          <w:sz w:val="19"/>
          <w:szCs w:val="19"/>
          <w:color w:val="auto"/>
        </w:rPr>
        <w:t>During the three months ended March 31, 2021 and 2020 the Company did not record any impairment losses on residential real estate held for investment or held for sale. Impairment losses, if any, are included in gains (losses) on investment and other assets on the condensed consolidated statements of earnings.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residential real estate held for investment for the periods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4"/>
          </w:tcPr>
          <w:p>
            <w:pPr>
              <w:jc w:val="right"/>
              <w:ind w:right="521"/>
              <w:spacing w:after="0"/>
              <w:rPr>
                <w:sz w:val="20"/>
                <w:szCs w:val="20"/>
                <w:color w:val="auto"/>
              </w:rPr>
            </w:pPr>
            <w:r>
              <w:rPr>
                <w:rFonts w:ascii="Arial" w:cs="Arial" w:eastAsia="Arial" w:hAnsi="Arial"/>
                <w:sz w:val="20"/>
                <w:szCs w:val="20"/>
                <w:color w:val="auto"/>
              </w:rPr>
              <w:t>Net Ending Balance</w:t>
            </w: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20"/>
                <w:szCs w:val="20"/>
                <w:color w:val="auto"/>
              </w:rPr>
              <w:t>March 31</w:t>
            </w:r>
          </w:p>
        </w:tc>
        <w:tc>
          <w:tcPr>
            <w:tcW w:w="1360" w:type="dxa"/>
            <w:vAlign w:val="bottom"/>
            <w:gridSpan w:val="2"/>
          </w:tcPr>
          <w:p>
            <w:pPr>
              <w:ind w:left="140"/>
              <w:spacing w:after="0"/>
              <w:rPr>
                <w:sz w:val="20"/>
                <w:szCs w:val="20"/>
                <w:color w:val="auto"/>
              </w:rPr>
            </w:pPr>
            <w:r>
              <w:rPr>
                <w:rFonts w:ascii="Arial" w:cs="Arial" w:eastAsia="Arial" w:hAnsi="Arial"/>
                <w:sz w:val="20"/>
                <w:szCs w:val="20"/>
                <w:color w:val="auto"/>
                <w:w w:val="99"/>
              </w:rPr>
              <w:t>December 31</w:t>
            </w:r>
          </w:p>
        </w:tc>
        <w:tc>
          <w:tcPr>
            <w:tcW w:w="0" w:type="dxa"/>
            <w:vAlign w:val="bottom"/>
          </w:tcPr>
          <w:p>
            <w:pPr>
              <w:spacing w:after="0"/>
              <w:rPr>
                <w:sz w:val="1"/>
                <w:szCs w:val="1"/>
                <w:color w:val="auto"/>
              </w:rPr>
            </w:pPr>
          </w:p>
        </w:tc>
      </w:tr>
      <w:tr>
        <w:trPr>
          <w:trHeight w:val="255"/>
        </w:trPr>
        <w:tc>
          <w:tcPr>
            <w:tcW w:w="26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43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2021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2020</w:t>
            </w:r>
          </w:p>
        </w:tc>
        <w:tc>
          <w:tcPr>
            <w:tcW w:w="0" w:type="dxa"/>
            <w:vAlign w:val="bottom"/>
          </w:tcPr>
          <w:p>
            <w:pPr>
              <w:spacing w:after="0"/>
              <w:rPr>
                <w:sz w:val="1"/>
                <w:szCs w:val="1"/>
                <w:color w:val="auto"/>
              </w:rPr>
            </w:pPr>
          </w:p>
        </w:tc>
      </w:tr>
      <w:tr>
        <w:trPr>
          <w:trHeight w:val="255"/>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20"/>
                <w:szCs w:val="20"/>
                <w:color w:val="auto"/>
              </w:rPr>
              <w:t>Utah (1)</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97"/>
              </w:rPr>
              <w:t>39,466,349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93"/>
              </w:rPr>
              <w:t>24,557,562</w:t>
            </w:r>
          </w:p>
        </w:tc>
        <w:tc>
          <w:tcPr>
            <w:tcW w:w="0" w:type="dxa"/>
            <w:vAlign w:val="bottom"/>
          </w:tcPr>
          <w:p>
            <w:pPr>
              <w:spacing w:after="0"/>
              <w:rPr>
                <w:sz w:val="1"/>
                <w:szCs w:val="1"/>
                <w:color w:val="auto"/>
              </w:rPr>
            </w:pPr>
          </w:p>
        </w:tc>
      </w:tr>
      <w:tr>
        <w:trPr>
          <w:trHeight w:val="253"/>
        </w:trPr>
        <w:tc>
          <w:tcPr>
            <w:tcW w:w="6520" w:type="dxa"/>
            <w:vAlign w:val="bottom"/>
            <w:gridSpan w:val="4"/>
          </w:tcPr>
          <w:p>
            <w:pPr>
              <w:ind w:left="20"/>
              <w:spacing w:after="0"/>
              <w:rPr>
                <w:sz w:val="20"/>
                <w:szCs w:val="20"/>
                <w:color w:val="auto"/>
              </w:rPr>
            </w:pPr>
            <w:r>
              <w:rPr>
                <w:rFonts w:ascii="Arial" w:cs="Arial" w:eastAsia="Arial" w:hAnsi="Arial"/>
                <w:sz w:val="20"/>
                <w:szCs w:val="20"/>
                <w:color w:val="auto"/>
              </w:rPr>
              <w:t>Washington (2)</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286,181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286,181</w:t>
            </w:r>
          </w:p>
        </w:tc>
        <w:tc>
          <w:tcPr>
            <w:tcW w:w="0" w:type="dxa"/>
            <w:vAlign w:val="bottom"/>
          </w:tcPr>
          <w:p>
            <w:pPr>
              <w:spacing w:after="0"/>
              <w:rPr>
                <w:sz w:val="1"/>
                <w:szCs w:val="1"/>
                <w:color w:val="auto"/>
              </w:rPr>
            </w:pPr>
          </w:p>
        </w:tc>
      </w:tr>
      <w:tr>
        <w:trPr>
          <w:trHeight w:val="250"/>
        </w:trPr>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CCEEFF"/>
              <w:bottom w:val="single" w:sz="8" w:color="CCEEFF"/>
            </w:tcBorders>
            <w:shd w:val="clear" w:color="auto" w:fill="CCEEFF"/>
          </w:tcPr>
          <w:p>
            <w:pPr>
              <w:spacing w:after="0"/>
              <w:rPr>
                <w:sz w:val="21"/>
                <w:szCs w:val="21"/>
                <w:color w:val="auto"/>
              </w:rPr>
            </w:pPr>
          </w:p>
        </w:tc>
        <w:tc>
          <w:tcPr>
            <w:tcW w:w="43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97"/>
              </w:rPr>
              <w:t>39,752,530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93"/>
              </w:rPr>
              <w:t>24,843,743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580" w:type="dxa"/>
            <w:vAlign w:val="bottom"/>
            <w:gridSpan w:val="2"/>
            <w:vMerge w:val="restart"/>
          </w:tcPr>
          <w:p>
            <w:pPr>
              <w:jc w:val="right"/>
              <w:ind w:right="2961"/>
              <w:spacing w:after="0"/>
              <w:rPr>
                <w:sz w:val="20"/>
                <w:szCs w:val="20"/>
                <w:color w:val="auto"/>
              </w:rPr>
            </w:pPr>
            <w:r>
              <w:rPr>
                <w:rFonts w:ascii="Arial" w:cs="Arial" w:eastAsia="Arial" w:hAnsi="Arial"/>
                <w:sz w:val="20"/>
                <w:szCs w:val="20"/>
                <w:color w:val="auto"/>
                <w:w w:val="89"/>
              </w:rPr>
              <w:t>land developments</w:t>
            </w: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line="207" w:lineRule="exact"/>
              <w:rPr>
                <w:sz w:val="20"/>
                <w:szCs w:val="20"/>
                <w:color w:val="auto"/>
              </w:rPr>
            </w:pPr>
            <w:r>
              <w:rPr>
                <w:rFonts w:ascii="Arial" w:cs="Arial" w:eastAsia="Arial" w:hAnsi="Arial"/>
                <w:sz w:val="20"/>
                <w:szCs w:val="20"/>
                <w:color w:val="auto"/>
                <w:w w:val="97"/>
              </w:rPr>
              <w:t>(1)</w:t>
            </w:r>
          </w:p>
        </w:tc>
        <w:tc>
          <w:tcPr>
            <w:tcW w:w="1680" w:type="dxa"/>
            <w:vAlign w:val="bottom"/>
          </w:tcPr>
          <w:p>
            <w:pPr>
              <w:ind w:left="20"/>
              <w:spacing w:after="0" w:line="207" w:lineRule="exact"/>
              <w:rPr>
                <w:sz w:val="20"/>
                <w:szCs w:val="20"/>
                <w:color w:val="auto"/>
              </w:rPr>
            </w:pPr>
            <w:r>
              <w:rPr>
                <w:rFonts w:ascii="Arial" w:cs="Arial" w:eastAsia="Arial" w:hAnsi="Arial"/>
                <w:sz w:val="20"/>
                <w:szCs w:val="20"/>
                <w:color w:val="auto"/>
                <w:w w:val="91"/>
              </w:rPr>
              <w:t>Includes subdivision</w:t>
            </w:r>
          </w:p>
        </w:tc>
        <w:tc>
          <w:tcPr>
            <w:tcW w:w="458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0"/>
                <w:szCs w:val="20"/>
                <w:color w:val="auto"/>
              </w:rPr>
            </w:pPr>
            <w:r>
              <w:rPr>
                <w:rFonts w:ascii="Arial" w:cs="Arial" w:eastAsia="Arial" w:hAnsi="Arial"/>
                <w:sz w:val="20"/>
                <w:szCs w:val="20"/>
                <w:color w:val="auto"/>
                <w:w w:val="97"/>
              </w:rPr>
              <w:t>(2)</w:t>
            </w:r>
          </w:p>
        </w:tc>
        <w:tc>
          <w:tcPr>
            <w:tcW w:w="6260" w:type="dxa"/>
            <w:vAlign w:val="bottom"/>
            <w:gridSpan w:val="3"/>
          </w:tcPr>
          <w:p>
            <w:pPr>
              <w:ind w:left="20"/>
              <w:spacing w:after="0"/>
              <w:rPr>
                <w:sz w:val="20"/>
                <w:szCs w:val="20"/>
                <w:color w:val="auto"/>
              </w:rPr>
            </w:pPr>
            <w:r>
              <w:rPr>
                <w:rFonts w:ascii="Arial" w:cs="Arial" w:eastAsia="Arial" w:hAnsi="Arial"/>
                <w:sz w:val="20"/>
                <w:szCs w:val="20"/>
                <w:color w:val="auto"/>
              </w:rPr>
              <w:t>Improved residential lots</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right="99"/>
        <w:spacing w:after="0" w:line="260" w:lineRule="auto"/>
        <w:rPr>
          <w:sz w:val="20"/>
          <w:szCs w:val="20"/>
          <w:color w:val="auto"/>
        </w:rPr>
      </w:pPr>
      <w:r>
        <w:rPr>
          <w:rFonts w:ascii="Arial" w:cs="Arial" w:eastAsia="Arial" w:hAnsi="Arial"/>
          <w:sz w:val="20"/>
          <w:szCs w:val="20"/>
          <w:color w:val="auto"/>
        </w:rPr>
        <w:t>Additional information regarding the Company’s subdivision land developments in Utah is summarized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19"/>
                <w:szCs w:val="19"/>
                <w:color w:val="auto"/>
              </w:rPr>
            </w:pPr>
          </w:p>
        </w:tc>
        <w:tc>
          <w:tcPr>
            <w:tcW w:w="1460" w:type="dxa"/>
            <w:vAlign w:val="bottom"/>
            <w:gridSpan w:val="2"/>
          </w:tcPr>
          <w:p>
            <w:pPr>
              <w:ind w:left="280"/>
              <w:spacing w:after="0"/>
              <w:rPr>
                <w:sz w:val="20"/>
                <w:szCs w:val="20"/>
                <w:color w:val="auto"/>
              </w:rPr>
            </w:pPr>
            <w:r>
              <w:rPr>
                <w:rFonts w:ascii="Arial" w:cs="Arial" w:eastAsia="Arial" w:hAnsi="Arial"/>
                <w:sz w:val="20"/>
                <w:szCs w:val="20"/>
                <w:color w:val="auto"/>
              </w:rPr>
              <w:t>March 31</w:t>
            </w:r>
          </w:p>
        </w:tc>
        <w:tc>
          <w:tcPr>
            <w:tcW w:w="1360" w:type="dxa"/>
            <w:vAlign w:val="bottom"/>
          </w:tcPr>
          <w:p>
            <w:pPr>
              <w:jc w:val="right"/>
              <w:ind w:right="61"/>
              <w:spacing w:after="0"/>
              <w:rPr>
                <w:sz w:val="20"/>
                <w:szCs w:val="20"/>
                <w:color w:val="auto"/>
              </w:rPr>
            </w:pPr>
            <w:r>
              <w:rPr>
                <w:rFonts w:ascii="Arial" w:cs="Arial" w:eastAsia="Arial" w:hAnsi="Arial"/>
                <w:sz w:val="20"/>
                <w:szCs w:val="20"/>
                <w:color w:val="auto"/>
                <w:w w:val="98"/>
              </w:rPr>
              <w:t>December 31</w:t>
            </w:r>
          </w:p>
        </w:tc>
      </w:tr>
      <w:tr>
        <w:trPr>
          <w:trHeight w:val="255"/>
        </w:trPr>
        <w:tc>
          <w:tcPr>
            <w:tcW w:w="626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2021</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2020</w:t>
            </w:r>
          </w:p>
        </w:tc>
      </w:tr>
      <w:tr>
        <w:trPr>
          <w:trHeight w:val="255"/>
        </w:trPr>
        <w:tc>
          <w:tcPr>
            <w:tcW w:w="6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Lots available for sale</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81</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36</w:t>
            </w:r>
          </w:p>
        </w:tc>
      </w:tr>
      <w:tr>
        <w:trPr>
          <w:trHeight w:val="253"/>
        </w:trPr>
        <w:tc>
          <w:tcPr>
            <w:tcW w:w="6260" w:type="dxa"/>
            <w:vAlign w:val="bottom"/>
          </w:tcPr>
          <w:p>
            <w:pPr>
              <w:ind w:left="20"/>
              <w:spacing w:after="0"/>
              <w:rPr>
                <w:sz w:val="20"/>
                <w:szCs w:val="20"/>
                <w:color w:val="auto"/>
              </w:rPr>
            </w:pPr>
            <w:r>
              <w:rPr>
                <w:rFonts w:ascii="Arial" w:cs="Arial" w:eastAsia="Arial" w:hAnsi="Arial"/>
                <w:sz w:val="20"/>
                <w:szCs w:val="20"/>
                <w:color w:val="auto"/>
              </w:rPr>
              <w:t>Lots to be developed</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369</w:t>
            </w:r>
          </w:p>
        </w:tc>
        <w:tc>
          <w:tcPr>
            <w:tcW w:w="100" w:type="dxa"/>
            <w:vAlign w:val="bottom"/>
          </w:tcPr>
          <w:p>
            <w:pPr>
              <w:spacing w:after="0"/>
              <w:rPr>
                <w:sz w:val="22"/>
                <w:szCs w:val="22"/>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350</w:t>
            </w:r>
          </w:p>
        </w:tc>
      </w:tr>
      <w:tr>
        <w:trPr>
          <w:trHeight w:val="260"/>
        </w:trPr>
        <w:tc>
          <w:tcPr>
            <w:tcW w:w="6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Ending Balance (1)</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  39,251,557</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  23,777,478</w:t>
            </w:r>
          </w:p>
        </w:tc>
      </w:tr>
    </w:tbl>
    <w:p>
      <w:pPr>
        <w:spacing w:after="0" w:line="51" w:lineRule="exact"/>
        <w:rPr>
          <w:sz w:val="20"/>
          <w:szCs w:val="20"/>
          <w:color w:val="auto"/>
        </w:rPr>
      </w:pPr>
    </w:p>
    <w:p>
      <w:pPr>
        <w:ind w:right="299"/>
        <w:spacing w:after="0" w:line="260" w:lineRule="auto"/>
        <w:tabs>
          <w:tab w:leader="none" w:pos="2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estimated remaining cost to complete the undeveloped lots is $15,613,000 and $17,354,000 as of March 31, 2021 and December 31,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-313690</wp:posOffset>
            </wp:positionV>
            <wp:extent cx="1225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a summary of the Company’s residential real estate held for sale for the periods presented: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4"/>
          </w:tcPr>
          <w:p>
            <w:pPr>
              <w:jc w:val="right"/>
              <w:ind w:right="521"/>
              <w:spacing w:after="0"/>
              <w:rPr>
                <w:sz w:val="20"/>
                <w:szCs w:val="20"/>
                <w:color w:val="auto"/>
              </w:rPr>
            </w:pPr>
            <w:r>
              <w:rPr>
                <w:rFonts w:ascii="Arial" w:cs="Arial" w:eastAsia="Arial" w:hAnsi="Arial"/>
                <w:sz w:val="20"/>
                <w:szCs w:val="20"/>
                <w:color w:val="auto"/>
              </w:rPr>
              <w:t>Net Ending Balance</w:t>
            </w:r>
          </w:p>
        </w:tc>
      </w:tr>
      <w:tr>
        <w:trPr>
          <w:trHeight w:val="236"/>
        </w:trPr>
        <w:tc>
          <w:tcPr>
            <w:tcW w:w="6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20"/>
                <w:szCs w:val="20"/>
                <w:color w:val="auto"/>
              </w:rPr>
              <w:t>March 31</w:t>
            </w:r>
          </w:p>
        </w:tc>
        <w:tc>
          <w:tcPr>
            <w:tcW w:w="1360" w:type="dxa"/>
            <w:vAlign w:val="bottom"/>
            <w:gridSpan w:val="2"/>
          </w:tcPr>
          <w:p>
            <w:pPr>
              <w:ind w:left="140"/>
              <w:spacing w:after="0"/>
              <w:rPr>
                <w:sz w:val="20"/>
                <w:szCs w:val="20"/>
                <w:color w:val="auto"/>
              </w:rPr>
            </w:pPr>
            <w:r>
              <w:rPr>
                <w:rFonts w:ascii="Arial" w:cs="Arial" w:eastAsia="Arial" w:hAnsi="Arial"/>
                <w:sz w:val="20"/>
                <w:szCs w:val="20"/>
                <w:color w:val="auto"/>
                <w:w w:val="99"/>
              </w:rPr>
              <w:t>December 31</w:t>
            </w:r>
          </w:p>
        </w:tc>
      </w:tr>
      <w:tr>
        <w:trPr>
          <w:trHeight w:val="255"/>
        </w:trPr>
        <w:tc>
          <w:tcPr>
            <w:tcW w:w="6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2020</w:t>
            </w:r>
          </w:p>
        </w:tc>
      </w:tr>
      <w:tr>
        <w:trPr>
          <w:trHeight w:val="255"/>
        </w:trPr>
        <w:tc>
          <w:tcPr>
            <w:tcW w:w="6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Nevada</w:t>
            </w:r>
          </w:p>
        </w:tc>
        <w:tc>
          <w:tcPr>
            <w:tcW w:w="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979,640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979,640</w:t>
            </w:r>
          </w:p>
        </w:tc>
      </w:tr>
      <w:tr>
        <w:trPr>
          <w:trHeight w:val="253"/>
        </w:trPr>
        <w:tc>
          <w:tcPr>
            <w:tcW w:w="6260" w:type="dxa"/>
            <w:vAlign w:val="bottom"/>
          </w:tcPr>
          <w:p>
            <w:pPr>
              <w:ind w:left="20"/>
              <w:spacing w:after="0"/>
              <w:rPr>
                <w:sz w:val="20"/>
                <w:szCs w:val="20"/>
                <w:color w:val="auto"/>
              </w:rPr>
            </w:pPr>
            <w:r>
              <w:rPr>
                <w:rFonts w:ascii="Arial" w:cs="Arial" w:eastAsia="Arial" w:hAnsi="Arial"/>
                <w:sz w:val="20"/>
                <w:szCs w:val="20"/>
                <w:color w:val="auto"/>
              </w:rPr>
              <w:t>Florida</w:t>
            </w:r>
          </w:p>
        </w:tc>
        <w:tc>
          <w:tcPr>
            <w:tcW w:w="260" w:type="dxa"/>
            <w:vAlign w:val="bottom"/>
          </w:tcPr>
          <w:p>
            <w:pPr>
              <w:spacing w:after="0"/>
              <w:rPr>
                <w:sz w:val="22"/>
                <w:szCs w:val="22"/>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166,673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744,322</w:t>
            </w:r>
          </w:p>
        </w:tc>
      </w:tr>
      <w:tr>
        <w:trPr>
          <w:trHeight w:val="260"/>
        </w:trPr>
        <w:tc>
          <w:tcPr>
            <w:tcW w:w="6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Ohio</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10,000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10,000</w:t>
            </w:r>
          </w:p>
        </w:tc>
      </w:tr>
      <w:tr>
        <w:trPr>
          <w:trHeight w:val="25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Utah</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98"/>
              </w:rPr>
              <w:t>1,744,292</w:t>
            </w:r>
          </w:p>
        </w:tc>
      </w:tr>
      <w:tr>
        <w:trPr>
          <w:trHeight w:val="250"/>
        </w:trPr>
        <w:tc>
          <w:tcPr>
            <w:tcW w:w="6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1,156,313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98"/>
              </w:rPr>
              <w:t>3,478,254</w:t>
            </w:r>
          </w:p>
        </w:tc>
      </w:tr>
      <w:tr>
        <w:trPr>
          <w:trHeight w:val="20"/>
        </w:trPr>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right="519"/>
        <w:spacing w:after="0" w:line="250" w:lineRule="auto"/>
        <w:rPr>
          <w:sz w:val="20"/>
          <w:szCs w:val="20"/>
          <w:color w:val="auto"/>
        </w:rPr>
      </w:pPr>
      <w:r>
        <w:rPr>
          <w:rFonts w:ascii="Arial" w:cs="Arial" w:eastAsia="Arial" w:hAnsi="Arial"/>
          <w:sz w:val="20"/>
          <w:szCs w:val="20"/>
          <w:color w:val="auto"/>
        </w:rPr>
        <w:t>These properties are all actively being marketed with the assistance of residential real estate brokers in the markets where the properties are located. The Company expects these properties to sell within the coming 12 months.</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19" w:name="page20"/>
    <w:bookmarkEnd w:id="19"/>
    <w:p>
      <w:pPr>
        <w:jc w:val="center"/>
        <w:ind w:right="79"/>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118" w:lineRule="exact"/>
        <w:rPr>
          <w:sz w:val="20"/>
          <w:szCs w:val="20"/>
          <w:color w:val="auto"/>
        </w:rPr>
      </w:pPr>
    </w:p>
    <w:p>
      <w:pPr>
        <w:ind w:left="480" w:hanging="480"/>
        <w:spacing w:after="0"/>
        <w:tabs>
          <w:tab w:leader="none" w:pos="48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Real Estate Owned and Occupied by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primary business units of the Company occupy a portion of the real estate owned by the Company.  As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March 31, 2021, real estate owned and occupied by the Company is summarized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20"/>
                <w:szCs w:val="20"/>
                <w:color w:val="auto"/>
                <w:w w:val="86"/>
              </w:rPr>
              <w:t>Square</w:t>
            </w:r>
          </w:p>
        </w:tc>
      </w:tr>
      <w:tr>
        <w:trPr>
          <w:trHeight w:val="229"/>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20"/>
                <w:szCs w:val="20"/>
                <w:color w:val="auto"/>
                <w:w w:val="87"/>
              </w:rPr>
              <w:t>Footage</w:t>
            </w:r>
          </w:p>
        </w:tc>
      </w:tr>
      <w:tr>
        <w:trPr>
          <w:trHeight w:val="229"/>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20"/>
                <w:szCs w:val="20"/>
                <w:color w:val="auto"/>
                <w:w w:val="92"/>
              </w:rPr>
              <w:t>Approximate</w:t>
            </w:r>
          </w:p>
        </w:tc>
        <w:tc>
          <w:tcPr>
            <w:tcW w:w="920" w:type="dxa"/>
            <w:vAlign w:val="bottom"/>
          </w:tcPr>
          <w:p>
            <w:pPr>
              <w:jc w:val="center"/>
              <w:spacing w:after="0"/>
              <w:rPr>
                <w:sz w:val="20"/>
                <w:szCs w:val="20"/>
                <w:color w:val="auto"/>
              </w:rPr>
            </w:pPr>
            <w:r>
              <w:rPr>
                <w:rFonts w:ascii="Arial" w:cs="Arial" w:eastAsia="Arial" w:hAnsi="Arial"/>
                <w:sz w:val="20"/>
                <w:szCs w:val="20"/>
                <w:color w:val="auto"/>
                <w:w w:val="89"/>
              </w:rPr>
              <w:t>Occupied</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20"/>
                <w:szCs w:val="20"/>
                <w:color w:val="auto"/>
                <w:w w:val="83"/>
              </w:rPr>
              <w:t>Square</w:t>
            </w:r>
          </w:p>
        </w:tc>
        <w:tc>
          <w:tcPr>
            <w:tcW w:w="920" w:type="dxa"/>
            <w:vAlign w:val="bottom"/>
          </w:tcPr>
          <w:p>
            <w:pPr>
              <w:jc w:val="center"/>
              <w:spacing w:after="0"/>
              <w:rPr>
                <w:sz w:val="20"/>
                <w:szCs w:val="20"/>
                <w:color w:val="auto"/>
              </w:rPr>
            </w:pPr>
            <w:r>
              <w:rPr>
                <w:rFonts w:ascii="Arial" w:cs="Arial" w:eastAsia="Arial" w:hAnsi="Arial"/>
                <w:sz w:val="20"/>
                <w:szCs w:val="20"/>
                <w:color w:val="auto"/>
                <w:w w:val="88"/>
              </w:rPr>
              <w:t>by the</w:t>
            </w:r>
          </w:p>
        </w:tc>
      </w:tr>
      <w:tr>
        <w:trPr>
          <w:trHeight w:val="255"/>
        </w:trPr>
        <w:tc>
          <w:tcPr>
            <w:tcW w:w="3860" w:type="dxa"/>
            <w:vAlign w:val="bottom"/>
            <w:gridSpan w:val="3"/>
          </w:tcPr>
          <w:p>
            <w:pPr>
              <w:ind w:left="20"/>
              <w:spacing w:after="0"/>
              <w:rPr>
                <w:sz w:val="20"/>
                <w:szCs w:val="20"/>
                <w:color w:val="auto"/>
              </w:rPr>
            </w:pPr>
            <w:r>
              <w:rPr>
                <w:rFonts w:ascii="Arial" w:cs="Arial" w:eastAsia="Arial" w:hAnsi="Arial"/>
                <w:sz w:val="20"/>
                <w:szCs w:val="20"/>
                <w:color w:val="auto"/>
              </w:rPr>
              <w:t>Location</w:t>
            </w:r>
          </w:p>
        </w:tc>
        <w:tc>
          <w:tcPr>
            <w:tcW w:w="3020" w:type="dxa"/>
            <w:vAlign w:val="bottom"/>
            <w:gridSpan w:val="2"/>
          </w:tcPr>
          <w:p>
            <w:pPr>
              <w:ind w:left="20"/>
              <w:spacing w:after="0"/>
              <w:rPr>
                <w:sz w:val="20"/>
                <w:szCs w:val="20"/>
                <w:color w:val="auto"/>
              </w:rPr>
            </w:pPr>
            <w:r>
              <w:rPr>
                <w:rFonts w:ascii="Arial" w:cs="Arial" w:eastAsia="Arial" w:hAnsi="Arial"/>
                <w:sz w:val="20"/>
                <w:szCs w:val="20"/>
                <w:color w:val="auto"/>
              </w:rPr>
              <w:t>Business Segment</w:t>
            </w:r>
          </w:p>
        </w:tc>
        <w:tc>
          <w:tcPr>
            <w:tcW w:w="1280" w:type="dxa"/>
            <w:vAlign w:val="bottom"/>
            <w:gridSpan w:val="2"/>
          </w:tcPr>
          <w:p>
            <w:pPr>
              <w:jc w:val="center"/>
              <w:ind w:right="200"/>
              <w:spacing w:after="0"/>
              <w:rPr>
                <w:sz w:val="20"/>
                <w:szCs w:val="20"/>
                <w:color w:val="auto"/>
              </w:rPr>
            </w:pPr>
            <w:r>
              <w:rPr>
                <w:rFonts w:ascii="Arial" w:cs="Arial" w:eastAsia="Arial" w:hAnsi="Arial"/>
                <w:sz w:val="20"/>
                <w:szCs w:val="20"/>
                <w:color w:val="auto"/>
                <w:w w:val="87"/>
              </w:rPr>
              <w:t>Footage</w:t>
            </w:r>
          </w:p>
        </w:tc>
        <w:tc>
          <w:tcPr>
            <w:tcW w:w="920" w:type="dxa"/>
            <w:vAlign w:val="bottom"/>
          </w:tcPr>
          <w:p>
            <w:pPr>
              <w:jc w:val="center"/>
              <w:spacing w:after="0"/>
              <w:rPr>
                <w:sz w:val="20"/>
                <w:szCs w:val="20"/>
                <w:color w:val="auto"/>
              </w:rPr>
            </w:pPr>
            <w:r>
              <w:rPr>
                <w:rFonts w:ascii="Arial" w:cs="Arial" w:eastAsia="Arial" w:hAnsi="Arial"/>
                <w:sz w:val="20"/>
                <w:szCs w:val="20"/>
                <w:color w:val="auto"/>
                <w:w w:val="88"/>
              </w:rPr>
              <w:t>Company</w:t>
            </w:r>
          </w:p>
        </w:tc>
      </w:tr>
      <w:tr>
        <w:trPr>
          <w:trHeight w:val="224"/>
        </w:trPr>
        <w:tc>
          <w:tcPr>
            <w:tcW w:w="3680" w:type="dxa"/>
            <w:vAlign w:val="bottom"/>
            <w:tcBorders>
              <w:top w:val="single" w:sz="8" w:color="auto"/>
            </w:tcBorders>
            <w:gridSpan w:val="2"/>
            <w:shd w:val="clear" w:color="auto" w:fill="CCEEFF"/>
          </w:tcPr>
          <w:p>
            <w:pPr>
              <w:ind w:left="20"/>
              <w:spacing w:after="0" w:line="225" w:lineRule="exact"/>
              <w:rPr>
                <w:sz w:val="20"/>
                <w:szCs w:val="20"/>
                <w:color w:val="auto"/>
              </w:rPr>
            </w:pPr>
            <w:r>
              <w:rPr>
                <w:rFonts w:ascii="Arial" w:cs="Arial" w:eastAsia="Arial" w:hAnsi="Arial"/>
                <w:sz w:val="20"/>
                <w:szCs w:val="20"/>
                <w:color w:val="auto"/>
              </w:rPr>
              <w:t>121 W. Election Rd., Draper, UT</w:t>
            </w:r>
          </w:p>
        </w:tc>
        <w:tc>
          <w:tcPr>
            <w:tcW w:w="180" w:type="dxa"/>
            <w:vAlign w:val="bottom"/>
            <w:tcBorders>
              <w:top w:val="single" w:sz="8" w:color="CCEEFF"/>
            </w:tcBorders>
            <w:shd w:val="clear" w:color="auto" w:fill="CCEEFF"/>
          </w:tcPr>
          <w:p>
            <w:pPr>
              <w:spacing w:after="0"/>
              <w:rPr>
                <w:sz w:val="19"/>
                <w:szCs w:val="19"/>
                <w:color w:val="auto"/>
              </w:rPr>
            </w:pPr>
          </w:p>
        </w:tc>
        <w:tc>
          <w:tcPr>
            <w:tcW w:w="2800" w:type="dxa"/>
            <w:vAlign w:val="bottom"/>
            <w:tcBorders>
              <w:top w:val="single" w:sz="8" w:color="auto"/>
            </w:tcBorders>
            <w:shd w:val="clear" w:color="auto" w:fill="CCEEFF"/>
          </w:tcPr>
          <w:p>
            <w:pPr>
              <w:ind w:left="20"/>
              <w:spacing w:after="0" w:line="225" w:lineRule="exact"/>
              <w:rPr>
                <w:sz w:val="20"/>
                <w:szCs w:val="20"/>
                <w:color w:val="auto"/>
              </w:rPr>
            </w:pPr>
            <w:r>
              <w:rPr>
                <w:rFonts w:ascii="Arial" w:cs="Arial" w:eastAsia="Arial" w:hAnsi="Arial"/>
                <w:sz w:val="20"/>
                <w:szCs w:val="20"/>
                <w:color w:val="auto"/>
                <w:w w:val="94"/>
              </w:rPr>
              <w:t>Corporate Offices, Life Insurance</w:t>
            </w:r>
          </w:p>
        </w:tc>
        <w:tc>
          <w:tcPr>
            <w:tcW w:w="2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line="225" w:lineRule="exact"/>
              <w:rPr>
                <w:sz w:val="20"/>
                <w:szCs w:val="20"/>
                <w:color w:val="auto"/>
              </w:rPr>
            </w:pPr>
            <w:r>
              <w:rPr>
                <w:rFonts w:ascii="Arial" w:cs="Arial" w:eastAsia="Arial" w:hAnsi="Arial"/>
                <w:sz w:val="20"/>
                <w:szCs w:val="20"/>
                <w:color w:val="auto"/>
              </w:rPr>
              <w:t>78,979</w:t>
            </w:r>
          </w:p>
        </w:tc>
        <w:tc>
          <w:tcPr>
            <w:tcW w:w="2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line="225" w:lineRule="exact"/>
              <w:rPr>
                <w:sz w:val="20"/>
                <w:szCs w:val="20"/>
                <w:color w:val="auto"/>
              </w:rPr>
            </w:pPr>
            <w:r>
              <w:rPr>
                <w:rFonts w:ascii="Arial" w:cs="Arial" w:eastAsia="Arial" w:hAnsi="Arial"/>
                <w:sz w:val="20"/>
                <w:szCs w:val="20"/>
                <w:color w:val="auto"/>
              </w:rPr>
              <w:t>18%</w:t>
            </w:r>
          </w:p>
        </w:tc>
      </w:tr>
      <w:tr>
        <w:trPr>
          <w:trHeight w:val="230"/>
        </w:trPr>
        <w:tc>
          <w:tcPr>
            <w:tcW w:w="44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and</w:t>
            </w: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60"/>
        </w:trPr>
        <w:tc>
          <w:tcPr>
            <w:tcW w:w="44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020" w:type="dxa"/>
            <w:vAlign w:val="bottom"/>
            <w:gridSpan w:val="2"/>
            <w:shd w:val="clear" w:color="auto" w:fill="CCEEFF"/>
          </w:tcPr>
          <w:p>
            <w:pPr>
              <w:ind w:left="220"/>
              <w:spacing w:after="0"/>
              <w:rPr>
                <w:sz w:val="20"/>
                <w:szCs w:val="20"/>
                <w:color w:val="auto"/>
              </w:rPr>
            </w:pPr>
            <w:r>
              <w:rPr>
                <w:rFonts w:ascii="Arial" w:cs="Arial" w:eastAsia="Arial" w:hAnsi="Arial"/>
                <w:sz w:val="20"/>
                <w:szCs w:val="20"/>
                <w:color w:val="auto"/>
              </w:rPr>
              <w:t>Cemetery/Mortuary Operations</w:t>
            </w:r>
          </w:p>
        </w:tc>
        <w:tc>
          <w:tcPr>
            <w:tcW w:w="10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26"/>
        </w:trPr>
        <w:tc>
          <w:tcPr>
            <w:tcW w:w="440" w:type="dxa"/>
            <w:vAlign w:val="bottom"/>
          </w:tcPr>
          <w:p>
            <w:pPr>
              <w:ind w:left="20"/>
              <w:spacing w:after="0" w:line="227" w:lineRule="exact"/>
              <w:rPr>
                <w:sz w:val="20"/>
                <w:szCs w:val="20"/>
                <w:color w:val="auto"/>
              </w:rPr>
            </w:pPr>
            <w:r>
              <w:rPr>
                <w:rFonts w:ascii="Arial" w:cs="Arial" w:eastAsia="Arial" w:hAnsi="Arial"/>
                <w:sz w:val="20"/>
                <w:szCs w:val="20"/>
                <w:color w:val="auto"/>
                <w:w w:val="89"/>
              </w:rPr>
              <w:t>5201</w:t>
            </w:r>
          </w:p>
        </w:tc>
        <w:tc>
          <w:tcPr>
            <w:tcW w:w="3420" w:type="dxa"/>
            <w:vAlign w:val="bottom"/>
            <w:gridSpan w:val="2"/>
          </w:tcPr>
          <w:p>
            <w:pPr>
              <w:ind w:left="20"/>
              <w:spacing w:after="0" w:line="227" w:lineRule="exact"/>
              <w:rPr>
                <w:sz w:val="20"/>
                <w:szCs w:val="20"/>
                <w:color w:val="auto"/>
              </w:rPr>
            </w:pPr>
            <w:r>
              <w:rPr>
                <w:rFonts w:ascii="Arial" w:cs="Arial" w:eastAsia="Arial" w:hAnsi="Arial"/>
                <w:sz w:val="20"/>
                <w:szCs w:val="20"/>
                <w:color w:val="auto"/>
              </w:rPr>
              <w:t>Green Street, Salt Lake City, UT (1)</w:t>
            </w:r>
          </w:p>
        </w:tc>
        <w:tc>
          <w:tcPr>
            <w:tcW w:w="3020" w:type="dxa"/>
            <w:vAlign w:val="bottom"/>
            <w:gridSpan w:val="2"/>
          </w:tcPr>
          <w:p>
            <w:pPr>
              <w:ind w:left="20"/>
              <w:spacing w:after="0" w:line="227" w:lineRule="exact"/>
              <w:rPr>
                <w:sz w:val="20"/>
                <w:szCs w:val="20"/>
                <w:color w:val="auto"/>
              </w:rPr>
            </w:pPr>
            <w:r>
              <w:rPr>
                <w:rFonts w:ascii="Arial" w:cs="Arial" w:eastAsia="Arial" w:hAnsi="Arial"/>
                <w:sz w:val="20"/>
                <w:szCs w:val="20"/>
                <w:color w:val="auto"/>
              </w:rPr>
              <w:t>Life Insurance and Mortgage</w:t>
            </w:r>
          </w:p>
        </w:tc>
        <w:tc>
          <w:tcPr>
            <w:tcW w:w="1080" w:type="dxa"/>
            <w:vAlign w:val="bottom"/>
          </w:tcPr>
          <w:p>
            <w:pPr>
              <w:jc w:val="right"/>
              <w:spacing w:after="0" w:line="227" w:lineRule="exact"/>
              <w:rPr>
                <w:sz w:val="20"/>
                <w:szCs w:val="20"/>
                <w:color w:val="auto"/>
              </w:rPr>
            </w:pPr>
            <w:r>
              <w:rPr>
                <w:rFonts w:ascii="Arial" w:cs="Arial" w:eastAsia="Arial" w:hAnsi="Arial"/>
                <w:sz w:val="20"/>
                <w:szCs w:val="20"/>
                <w:color w:val="auto"/>
              </w:rPr>
              <w:t>39,157</w:t>
            </w:r>
          </w:p>
        </w:tc>
        <w:tc>
          <w:tcPr>
            <w:tcW w:w="200" w:type="dxa"/>
            <w:vAlign w:val="bottom"/>
          </w:tcPr>
          <w:p>
            <w:pPr>
              <w:spacing w:after="0"/>
              <w:rPr>
                <w:sz w:val="19"/>
                <w:szCs w:val="19"/>
                <w:color w:val="auto"/>
              </w:rPr>
            </w:pPr>
          </w:p>
        </w:tc>
        <w:tc>
          <w:tcPr>
            <w:tcW w:w="920" w:type="dxa"/>
            <w:vAlign w:val="bottom"/>
          </w:tcPr>
          <w:p>
            <w:pPr>
              <w:jc w:val="right"/>
              <w:spacing w:after="0" w:line="227" w:lineRule="exact"/>
              <w:rPr>
                <w:sz w:val="20"/>
                <w:szCs w:val="20"/>
                <w:color w:val="auto"/>
              </w:rPr>
            </w:pPr>
            <w:r>
              <w:rPr>
                <w:rFonts w:ascii="Arial" w:cs="Arial" w:eastAsia="Arial" w:hAnsi="Arial"/>
                <w:sz w:val="20"/>
                <w:szCs w:val="20"/>
                <w:color w:val="auto"/>
              </w:rPr>
              <w:t>73%</w:t>
            </w:r>
          </w:p>
        </w:tc>
      </w:tr>
      <w:tr>
        <w:trPr>
          <w:trHeight w:val="255"/>
        </w:trPr>
        <w:tc>
          <w:tcPr>
            <w:tcW w:w="4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20" w:type="dxa"/>
            <w:vAlign w:val="bottom"/>
            <w:gridSpan w:val="2"/>
          </w:tcPr>
          <w:p>
            <w:pPr>
              <w:ind w:left="20"/>
              <w:spacing w:after="0"/>
              <w:rPr>
                <w:sz w:val="20"/>
                <w:szCs w:val="20"/>
                <w:color w:val="auto"/>
              </w:rPr>
            </w:pPr>
            <w:r>
              <w:rPr>
                <w:rFonts w:ascii="Arial" w:cs="Arial" w:eastAsia="Arial" w:hAnsi="Arial"/>
                <w:sz w:val="20"/>
                <w:szCs w:val="20"/>
                <w:color w:val="auto"/>
              </w:rPr>
              <w:t>Operations</w:t>
            </w: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1"/>
        </w:trPr>
        <w:tc>
          <w:tcPr>
            <w:tcW w:w="440" w:type="dxa"/>
            <w:vAlign w:val="bottom"/>
            <w:shd w:val="clear" w:color="auto" w:fill="CCEEFF"/>
          </w:tcPr>
          <w:p>
            <w:pPr>
              <w:ind w:left="20"/>
              <w:spacing w:after="0"/>
              <w:rPr>
                <w:sz w:val="20"/>
                <w:szCs w:val="20"/>
                <w:color w:val="auto"/>
              </w:rPr>
            </w:pPr>
            <w:r>
              <w:rPr>
                <w:rFonts w:ascii="Arial" w:cs="Arial" w:eastAsia="Arial" w:hAnsi="Arial"/>
                <w:sz w:val="20"/>
                <w:szCs w:val="20"/>
                <w:color w:val="auto"/>
                <w:w w:val="89"/>
              </w:rPr>
              <w:t>1044</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River Oaks Dr., Flowood, MS</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Life Insurance Operations</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19,694</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w:t>
            </w:r>
          </w:p>
        </w:tc>
      </w:tr>
      <w:tr>
        <w:trPr>
          <w:trHeight w:val="253"/>
        </w:trPr>
        <w:tc>
          <w:tcPr>
            <w:tcW w:w="440" w:type="dxa"/>
            <w:vAlign w:val="bottom"/>
          </w:tcPr>
          <w:p>
            <w:pPr>
              <w:ind w:left="20"/>
              <w:spacing w:after="0"/>
              <w:rPr>
                <w:sz w:val="20"/>
                <w:szCs w:val="20"/>
                <w:color w:val="auto"/>
              </w:rPr>
            </w:pPr>
            <w:r>
              <w:rPr>
                <w:rFonts w:ascii="Arial" w:cs="Arial" w:eastAsia="Arial" w:hAnsi="Arial"/>
                <w:sz w:val="20"/>
                <w:szCs w:val="20"/>
                <w:color w:val="auto"/>
                <w:w w:val="89"/>
              </w:rPr>
              <w:t>1818</w:t>
            </w:r>
          </w:p>
        </w:tc>
        <w:tc>
          <w:tcPr>
            <w:tcW w:w="3420" w:type="dxa"/>
            <w:vAlign w:val="bottom"/>
            <w:gridSpan w:val="2"/>
          </w:tcPr>
          <w:p>
            <w:pPr>
              <w:ind w:left="20"/>
              <w:spacing w:after="0"/>
              <w:rPr>
                <w:sz w:val="20"/>
                <w:szCs w:val="20"/>
                <w:color w:val="auto"/>
              </w:rPr>
            </w:pPr>
            <w:r>
              <w:rPr>
                <w:rFonts w:ascii="Arial" w:cs="Arial" w:eastAsia="Arial" w:hAnsi="Arial"/>
                <w:sz w:val="20"/>
                <w:szCs w:val="20"/>
                <w:color w:val="auto"/>
              </w:rPr>
              <w:t>Marshall Street, Shreveport, LA (1)</w:t>
            </w:r>
          </w:p>
        </w:tc>
        <w:tc>
          <w:tcPr>
            <w:tcW w:w="3020" w:type="dxa"/>
            <w:vAlign w:val="bottom"/>
            <w:gridSpan w:val="2"/>
          </w:tcPr>
          <w:p>
            <w:pPr>
              <w:ind w:left="20"/>
              <w:spacing w:after="0"/>
              <w:rPr>
                <w:sz w:val="20"/>
                <w:szCs w:val="20"/>
                <w:color w:val="auto"/>
              </w:rPr>
            </w:pPr>
            <w:r>
              <w:rPr>
                <w:rFonts w:ascii="Arial" w:cs="Arial" w:eastAsia="Arial" w:hAnsi="Arial"/>
                <w:sz w:val="20"/>
                <w:szCs w:val="20"/>
                <w:color w:val="auto"/>
              </w:rPr>
              <w:t>Life Insurance Operations</w:t>
            </w:r>
          </w:p>
        </w:tc>
        <w:tc>
          <w:tcPr>
            <w:tcW w:w="1080" w:type="dxa"/>
            <w:vAlign w:val="bottom"/>
          </w:tcPr>
          <w:p>
            <w:pPr>
              <w:jc w:val="right"/>
              <w:spacing w:after="0"/>
              <w:rPr>
                <w:sz w:val="20"/>
                <w:szCs w:val="20"/>
                <w:color w:val="auto"/>
              </w:rPr>
            </w:pPr>
            <w:r>
              <w:rPr>
                <w:rFonts w:ascii="Arial" w:cs="Arial" w:eastAsia="Arial" w:hAnsi="Arial"/>
                <w:sz w:val="20"/>
                <w:szCs w:val="20"/>
                <w:color w:val="auto"/>
              </w:rPr>
              <w:t>12,274</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60"/>
        </w:trPr>
        <w:tc>
          <w:tcPr>
            <w:tcW w:w="3860" w:type="dxa"/>
            <w:vAlign w:val="bottom"/>
            <w:gridSpan w:val="3"/>
            <w:shd w:val="clear" w:color="auto" w:fill="CCEEFF"/>
          </w:tcPr>
          <w:p>
            <w:pPr>
              <w:ind w:left="20"/>
              <w:spacing w:after="0"/>
              <w:rPr>
                <w:sz w:val="20"/>
                <w:szCs w:val="20"/>
                <w:color w:val="auto"/>
              </w:rPr>
            </w:pPr>
            <w:r>
              <w:rPr>
                <w:rFonts w:ascii="Arial" w:cs="Arial" w:eastAsia="Arial" w:hAnsi="Arial"/>
                <w:sz w:val="20"/>
                <w:szCs w:val="20"/>
                <w:color w:val="auto"/>
              </w:rPr>
              <w:t>909 Foisy Street, Alexandria, LA (1)</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Life Insurance Sales</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8,059</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r>
      <w:tr>
        <w:trPr>
          <w:trHeight w:val="253"/>
        </w:trPr>
        <w:tc>
          <w:tcPr>
            <w:tcW w:w="3860" w:type="dxa"/>
            <w:vAlign w:val="bottom"/>
            <w:gridSpan w:val="3"/>
          </w:tcPr>
          <w:p>
            <w:pPr>
              <w:ind w:left="20"/>
              <w:spacing w:after="0"/>
              <w:rPr>
                <w:sz w:val="20"/>
                <w:szCs w:val="20"/>
                <w:color w:val="auto"/>
              </w:rPr>
            </w:pPr>
            <w:r>
              <w:rPr>
                <w:rFonts w:ascii="Arial" w:cs="Arial" w:eastAsia="Arial" w:hAnsi="Arial"/>
                <w:sz w:val="20"/>
                <w:szCs w:val="20"/>
                <w:color w:val="auto"/>
              </w:rPr>
              <w:t>812 Sheppard Street, Minden, LA (1)</w:t>
            </w:r>
          </w:p>
        </w:tc>
        <w:tc>
          <w:tcPr>
            <w:tcW w:w="3020" w:type="dxa"/>
            <w:vAlign w:val="bottom"/>
            <w:gridSpan w:val="2"/>
          </w:tcPr>
          <w:p>
            <w:pPr>
              <w:ind w:left="20"/>
              <w:spacing w:after="0"/>
              <w:rPr>
                <w:sz w:val="20"/>
                <w:szCs w:val="20"/>
                <w:color w:val="auto"/>
              </w:rPr>
            </w:pPr>
            <w:r>
              <w:rPr>
                <w:rFonts w:ascii="Arial" w:cs="Arial" w:eastAsia="Arial" w:hAnsi="Arial"/>
                <w:sz w:val="20"/>
                <w:szCs w:val="20"/>
                <w:color w:val="auto"/>
              </w:rPr>
              <w:t>Life Insurance Sales</w:t>
            </w:r>
          </w:p>
        </w:tc>
        <w:tc>
          <w:tcPr>
            <w:tcW w:w="1080" w:type="dxa"/>
            <w:vAlign w:val="bottom"/>
          </w:tcPr>
          <w:p>
            <w:pPr>
              <w:jc w:val="right"/>
              <w:spacing w:after="0"/>
              <w:rPr>
                <w:sz w:val="20"/>
                <w:szCs w:val="20"/>
                <w:color w:val="auto"/>
              </w:rPr>
            </w:pPr>
            <w:r>
              <w:rPr>
                <w:rFonts w:ascii="Arial" w:cs="Arial" w:eastAsia="Arial" w:hAnsi="Arial"/>
                <w:sz w:val="20"/>
                <w:szCs w:val="20"/>
                <w:color w:val="auto"/>
              </w:rPr>
              <w:t>1,560</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60"/>
        </w:trPr>
        <w:tc>
          <w:tcPr>
            <w:tcW w:w="440" w:type="dxa"/>
            <w:vAlign w:val="bottom"/>
            <w:shd w:val="clear" w:color="auto" w:fill="CCEEFF"/>
          </w:tcPr>
          <w:p>
            <w:pPr>
              <w:ind w:left="20"/>
              <w:spacing w:after="0"/>
              <w:rPr>
                <w:sz w:val="20"/>
                <w:szCs w:val="20"/>
                <w:color w:val="auto"/>
              </w:rPr>
            </w:pPr>
            <w:r>
              <w:rPr>
                <w:rFonts w:ascii="Arial" w:cs="Arial" w:eastAsia="Arial" w:hAnsi="Arial"/>
                <w:sz w:val="20"/>
                <w:szCs w:val="20"/>
                <w:color w:val="auto"/>
                <w:w w:val="89"/>
              </w:rPr>
              <w:t>1550</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N 3rd Street, Jena, LA (1)</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Life Insurance Sales</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1,737</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(1) Included in property and equipment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2255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Loans Held for Investment</w:t>
      </w:r>
    </w:p>
    <w:p>
      <w:pPr>
        <w:spacing w:after="0" w:line="235" w:lineRule="exact"/>
        <w:rPr>
          <w:sz w:val="20"/>
          <w:szCs w:val="20"/>
          <w:color w:val="auto"/>
        </w:rPr>
      </w:pPr>
    </w:p>
    <w:p>
      <w:pPr>
        <w:jc w:val="both"/>
        <w:ind w:right="79"/>
        <w:spacing w:after="0" w:line="255" w:lineRule="auto"/>
        <w:rPr>
          <w:sz w:val="20"/>
          <w:szCs w:val="20"/>
          <w:color w:val="auto"/>
        </w:rPr>
      </w:pPr>
      <w:r>
        <w:rPr>
          <w:rFonts w:ascii="Arial" w:cs="Arial" w:eastAsia="Arial" w:hAnsi="Arial"/>
          <w:sz w:val="19"/>
          <w:szCs w:val="19"/>
          <w:color w:val="auto"/>
        </w:rPr>
        <w:t>Mortgage loans held for investment consist of first and second mortgages. The mortgage loans bear interest at rates ranging from 2.0% 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March 31, 2021, the Company had 54%, 14%, 9%, 3%, 3% and 3% of its mortgage loans from borrowers located in the states of Utah, Florida, Texas, California, Nevada, and Arizona, respectively. At December 31, 2020, the Company had 57%, 13%, 9%, 4%, 3% and 3% of its mortgage loans from borrowers located in the states of Utah, Florida, Texas, California, Nevada and Arizona, respectively.</w:t>
      </w:r>
    </w:p>
    <w:p>
      <w:pPr>
        <w:spacing w:after="0" w:line="198" w:lineRule="exact"/>
        <w:rPr>
          <w:sz w:val="20"/>
          <w:szCs w:val="20"/>
          <w:color w:val="auto"/>
        </w:rPr>
      </w:pPr>
    </w:p>
    <w:p>
      <w:pPr>
        <w:jc w:val="both"/>
        <w:ind w:right="99"/>
        <w:spacing w:after="0" w:line="243" w:lineRule="auto"/>
        <w:rPr>
          <w:sz w:val="20"/>
          <w:szCs w:val="20"/>
          <w:color w:val="auto"/>
        </w:rPr>
      </w:pPr>
      <w:r>
        <w:rPr>
          <w:rFonts w:ascii="Arial" w:cs="Arial" w:eastAsia="Arial" w:hAnsi="Arial"/>
          <w:sz w:val="20"/>
          <w:szCs w:val="20"/>
          <w:color w:val="auto"/>
        </w:rPr>
        <w:t>Mortgage loans held for investment are carried at their unpaid principal balances adjusted for net deferred fees, charge-offs, premiums, discounts and the related allowance for loan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condensed consolidated statements of earnings.</w:t>
      </w:r>
    </w:p>
    <w:p>
      <w:pPr>
        <w:spacing w:after="0" w:line="209" w:lineRule="exact"/>
        <w:rPr>
          <w:sz w:val="20"/>
          <w:szCs w:val="20"/>
          <w:color w:val="auto"/>
        </w:rPr>
      </w:pPr>
    </w:p>
    <w:p>
      <w:pPr>
        <w:jc w:val="both"/>
        <w:ind w:right="99"/>
        <w:spacing w:after="0" w:line="291" w:lineRule="auto"/>
        <w:rPr>
          <w:sz w:val="20"/>
          <w:szCs w:val="20"/>
          <w:color w:val="auto"/>
        </w:rPr>
      </w:pPr>
      <w:r>
        <w:rPr>
          <w:rFonts w:ascii="Arial" w:cs="Arial" w:eastAsia="Arial" w:hAnsi="Arial"/>
          <w:sz w:val="18"/>
          <w:szCs w:val="18"/>
          <w:color w:val="auto"/>
        </w:rPr>
        <w:t>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165" w:lineRule="exact"/>
        <w:rPr>
          <w:sz w:val="20"/>
          <w:szCs w:val="20"/>
          <w:color w:val="auto"/>
        </w:rPr>
      </w:pPr>
    </w:p>
    <w:p>
      <w:pPr>
        <w:jc w:val="both"/>
        <w:ind w:right="99"/>
        <w:spacing w:after="0" w:line="243" w:lineRule="auto"/>
        <w:rPr>
          <w:sz w:val="20"/>
          <w:szCs w:val="20"/>
          <w:color w:val="auto"/>
        </w:rPr>
      </w:pPr>
      <w:r>
        <w:rPr>
          <w:rFonts w:ascii="Arial" w:cs="Arial" w:eastAsia="Arial" w:hAnsi="Arial"/>
          <w:sz w:val="20"/>
          <w:szCs w:val="20"/>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Upon determining impairment, the Company establishes an individual impairment allowance based upon an</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20" w:name="page21"/>
    <w:bookmarkEnd w:id="20"/>
    <w:p>
      <w:pPr>
        <w:jc w:val="center"/>
        <w:ind w:right="79"/>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118" w:lineRule="exact"/>
        <w:rPr>
          <w:sz w:val="20"/>
          <w:szCs w:val="20"/>
          <w:color w:val="auto"/>
        </w:rPr>
      </w:pPr>
    </w:p>
    <w:p>
      <w:pPr>
        <w:ind w:left="480" w:hanging="480"/>
        <w:spacing w:after="0"/>
        <w:tabs>
          <w:tab w:leader="none" w:pos="48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56" w:lineRule="exact"/>
        <w:rPr>
          <w:sz w:val="20"/>
          <w:szCs w:val="20"/>
          <w:color w:val="auto"/>
        </w:rPr>
      </w:pPr>
    </w:p>
    <w:p>
      <w:pPr>
        <w:jc w:val="both"/>
        <w:ind w:right="99"/>
        <w:spacing w:after="0" w:line="244" w:lineRule="auto"/>
        <w:rPr>
          <w:sz w:val="20"/>
          <w:szCs w:val="20"/>
          <w:color w:val="auto"/>
        </w:rPr>
      </w:pPr>
      <w:r>
        <w:rPr>
          <w:rFonts w:ascii="Arial" w:cs="Arial" w:eastAsia="Arial" w:hAnsi="Arial"/>
          <w:sz w:val="20"/>
          <w:szCs w:val="20"/>
          <w:color w:val="auto"/>
        </w:rPr>
        <w:t>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or held for sale.</w:t>
      </w:r>
    </w:p>
    <w:p>
      <w:pPr>
        <w:spacing w:after="0" w:line="208" w:lineRule="exact"/>
        <w:rPr>
          <w:sz w:val="20"/>
          <w:szCs w:val="20"/>
          <w:color w:val="auto"/>
        </w:rPr>
      </w:pPr>
    </w:p>
    <w:p>
      <w:pPr>
        <w:jc w:val="both"/>
        <w:ind w:right="79"/>
        <w:spacing w:after="0" w:line="246" w:lineRule="auto"/>
        <w:rPr>
          <w:sz w:val="20"/>
          <w:szCs w:val="20"/>
          <w:color w:val="auto"/>
        </w:rPr>
      </w:pPr>
      <w:r>
        <w:rPr>
          <w:rFonts w:ascii="Arial" w:cs="Arial" w:eastAsia="Arial" w:hAnsi="Arial"/>
          <w:sz w:val="20"/>
          <w:szCs w:val="20"/>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205" w:lineRule="exact"/>
        <w:rPr>
          <w:sz w:val="20"/>
          <w:szCs w:val="20"/>
          <w:color w:val="auto"/>
        </w:rPr>
      </w:pPr>
    </w:p>
    <w:p>
      <w:pPr>
        <w:jc w:val="both"/>
        <w:ind w:right="99"/>
        <w:spacing w:after="0" w:line="269" w:lineRule="auto"/>
        <w:rPr>
          <w:sz w:val="20"/>
          <w:szCs w:val="20"/>
          <w:color w:val="auto"/>
        </w:rPr>
      </w:pPr>
      <w:r>
        <w:rPr>
          <w:rFonts w:ascii="Arial" w:cs="Arial" w:eastAsia="Arial" w:hAnsi="Arial"/>
          <w:sz w:val="19"/>
          <w:szCs w:val="19"/>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83" w:lineRule="exact"/>
        <w:rPr>
          <w:sz w:val="20"/>
          <w:szCs w:val="20"/>
          <w:color w:val="auto"/>
        </w:rPr>
      </w:pPr>
    </w:p>
    <w:p>
      <w:pPr>
        <w:jc w:val="both"/>
        <w:ind w:right="99"/>
        <w:spacing w:after="0" w:line="263" w:lineRule="auto"/>
        <w:rPr>
          <w:sz w:val="20"/>
          <w:szCs w:val="20"/>
          <w:color w:val="auto"/>
        </w:rPr>
      </w:pPr>
      <w:r>
        <w:rPr>
          <w:rFonts w:ascii="Arial" w:cs="Arial" w:eastAsia="Arial" w:hAnsi="Arial"/>
          <w:sz w:val="19"/>
          <w:szCs w:val="19"/>
          <w:u w:val="single" w:color="auto"/>
          <w:color w:val="auto"/>
        </w:rPr>
        <w:t>Commercial</w:t>
      </w:r>
      <w:r>
        <w:rPr>
          <w:rFonts w:ascii="Arial" w:cs="Arial" w:eastAsia="Arial" w:hAnsi="Arial"/>
          <w:sz w:val="19"/>
          <w:szCs w:val="19"/>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190" w:lineRule="exact"/>
        <w:rPr>
          <w:sz w:val="20"/>
          <w:szCs w:val="20"/>
          <w:color w:val="auto"/>
        </w:rPr>
      </w:pPr>
    </w:p>
    <w:p>
      <w:pPr>
        <w:jc w:val="both"/>
        <w:ind w:right="99"/>
        <w:spacing w:after="0" w:line="316" w:lineRule="auto"/>
        <w:rPr>
          <w:sz w:val="20"/>
          <w:szCs w:val="20"/>
          <w:color w:val="auto"/>
        </w:rPr>
      </w:pPr>
      <w:r>
        <w:rPr>
          <w:rFonts w:ascii="Arial" w:cs="Arial" w:eastAsia="Arial" w:hAnsi="Arial"/>
          <w:sz w:val="18"/>
          <w:szCs w:val="18"/>
          <w:u w:val="single" w:color="auto"/>
          <w:color w:val="auto"/>
        </w:rPr>
        <w:t>Residential</w:t>
      </w:r>
      <w:r>
        <w:rPr>
          <w:rFonts w:ascii="Arial" w:cs="Arial" w:eastAsia="Arial" w:hAnsi="Arial"/>
          <w:sz w:val="18"/>
          <w:szCs w:val="18"/>
          <w:color w:val="auto"/>
        </w:rPr>
        <w:t xml:space="preserve"> – Secured by family dwelling units. These loans are secured by first mortgages on the unit, which are generally the primary residence of the borrower, generally at a loan-to-value ratio (“LTV”) of 80% or less.</w:t>
      </w:r>
    </w:p>
    <w:p>
      <w:pPr>
        <w:spacing w:after="0" w:line="143" w:lineRule="exact"/>
        <w:rPr>
          <w:sz w:val="20"/>
          <w:szCs w:val="20"/>
          <w:color w:val="auto"/>
        </w:rPr>
      </w:pPr>
    </w:p>
    <w:p>
      <w:pPr>
        <w:jc w:val="both"/>
        <w:ind w:right="79"/>
        <w:spacing w:after="0" w:line="271" w:lineRule="auto"/>
        <w:rPr>
          <w:sz w:val="20"/>
          <w:szCs w:val="20"/>
          <w:color w:val="auto"/>
        </w:rPr>
      </w:pPr>
      <w:r>
        <w:rPr>
          <w:rFonts w:ascii="Arial" w:cs="Arial" w:eastAsia="Arial" w:hAnsi="Arial"/>
          <w:sz w:val="18"/>
          <w:szCs w:val="18"/>
          <w:u w:val="single" w:color="auto"/>
          <w:color w:val="auto"/>
        </w:rPr>
        <w:t>Residential construction (including land acquisition and development)</w:t>
      </w:r>
      <w:r>
        <w:rPr>
          <w:rFonts w:ascii="Arial" w:cs="Arial" w:eastAsia="Arial" w:hAnsi="Arial"/>
          <w:sz w:val="18"/>
          <w:szCs w:val="18"/>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21" w:name="page22"/>
    <w:bookmarkEnd w:id="21"/>
    <w:p>
      <w:pPr>
        <w:jc w:val="center"/>
        <w:ind w:right="79"/>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118" w:lineRule="exact"/>
        <w:rPr>
          <w:sz w:val="20"/>
          <w:szCs w:val="20"/>
          <w:color w:val="auto"/>
        </w:rPr>
      </w:pPr>
    </w:p>
    <w:p>
      <w:pPr>
        <w:ind w:left="480" w:hanging="480"/>
        <w:spacing w:after="0"/>
        <w:tabs>
          <w:tab w:leader="none" w:pos="48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56" w:lineRule="exact"/>
        <w:rPr>
          <w:sz w:val="20"/>
          <w:szCs w:val="20"/>
          <w:color w:val="auto"/>
        </w:rPr>
      </w:pPr>
    </w:p>
    <w:p>
      <w:pPr>
        <w:jc w:val="both"/>
        <w:ind w:right="99"/>
        <w:spacing w:after="0" w:line="250" w:lineRule="auto"/>
        <w:rPr>
          <w:sz w:val="20"/>
          <w:szCs w:val="20"/>
          <w:color w:val="auto"/>
        </w:rPr>
      </w:pPr>
      <w:r>
        <w:rPr>
          <w:rFonts w:ascii="Arial" w:cs="Arial" w:eastAsia="Arial" w:hAnsi="Arial"/>
          <w:sz w:val="20"/>
          <w:szCs w:val="20"/>
          <w:color w:val="auto"/>
        </w:rPr>
        <w:t>The Company establishes a valuation allowance for credit losses in its mortgage loans held for investment portfolio. The following is a summary of the allowance for loan losses as a contra-asset account for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color w:val="auto"/>
                <w:w w:val="90"/>
              </w:rPr>
              <w:t>Residential</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1"/>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Commercial</w:t>
            </w:r>
          </w:p>
        </w:tc>
        <w:tc>
          <w:tcPr>
            <w:tcW w:w="2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color w:val="auto"/>
              </w:rPr>
              <w:t>Residential</w:t>
            </w: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color w:val="auto"/>
                <w:w w:val="90"/>
              </w:rPr>
              <w:t>Construction</w:t>
            </w:r>
          </w:p>
        </w:tc>
        <w:tc>
          <w:tcPr>
            <w:tcW w:w="280" w:type="dxa"/>
            <w:vAlign w:val="bottom"/>
          </w:tcPr>
          <w:p>
            <w:pPr>
              <w:spacing w:after="0"/>
              <w:rPr>
                <w:sz w:val="14"/>
                <w:szCs w:val="14"/>
                <w:color w:val="auto"/>
              </w:rPr>
            </w:pPr>
          </w:p>
        </w:tc>
        <w:tc>
          <w:tcPr>
            <w:tcW w:w="860" w:type="dxa"/>
            <w:vAlign w:val="bottom"/>
          </w:tcPr>
          <w:p>
            <w:pPr>
              <w:jc w:val="right"/>
              <w:ind w:right="369"/>
              <w:spacing w:after="0"/>
              <w:rPr>
                <w:sz w:val="20"/>
                <w:szCs w:val="20"/>
                <w:color w:val="auto"/>
              </w:rPr>
            </w:pPr>
            <w:r>
              <w:rPr>
                <w:rFonts w:ascii="Arial" w:cs="Arial" w:eastAsia="Arial" w:hAnsi="Arial"/>
                <w:sz w:val="13"/>
                <w:szCs w:val="13"/>
                <w:color w:val="auto"/>
              </w:rPr>
              <w:t>Total</w:t>
            </w:r>
          </w:p>
        </w:tc>
      </w:tr>
      <w:tr>
        <w:trPr>
          <w:trHeight w:val="170"/>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76"/>
        </w:trPr>
        <w:tc>
          <w:tcPr>
            <w:tcW w:w="4180" w:type="dxa"/>
            <w:vAlign w:val="bottom"/>
          </w:tcPr>
          <w:p>
            <w:pPr>
              <w:ind w:left="20"/>
              <w:spacing w:after="0"/>
              <w:rPr>
                <w:sz w:val="20"/>
                <w:szCs w:val="20"/>
                <w:color w:val="auto"/>
              </w:rPr>
            </w:pPr>
            <w:r>
              <w:rPr>
                <w:rFonts w:ascii="Arial" w:cs="Arial" w:eastAsia="Arial" w:hAnsi="Arial"/>
                <w:sz w:val="14"/>
                <w:szCs w:val="14"/>
                <w:color w:val="auto"/>
              </w:rPr>
              <w:t>Allowance for credit losses: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 - January 1, 2021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1,774,796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2,005,127</w:t>
            </w:r>
          </w:p>
        </w:tc>
      </w:tr>
      <w:tr>
        <w:trPr>
          <w:trHeight w:val="176"/>
        </w:trPr>
        <w:tc>
          <w:tcPr>
            <w:tcW w:w="4180" w:type="dxa"/>
            <w:vAlign w:val="bottom"/>
          </w:tcPr>
          <w:p>
            <w:pPr>
              <w:ind w:left="180"/>
              <w:spacing w:after="0"/>
              <w:rPr>
                <w:sz w:val="20"/>
                <w:szCs w:val="20"/>
                <w:color w:val="auto"/>
              </w:rPr>
            </w:pPr>
            <w:r>
              <w:rPr>
                <w:rFonts w:ascii="Arial" w:cs="Arial" w:eastAsia="Arial" w:hAnsi="Arial"/>
                <w:sz w:val="14"/>
                <w:szCs w:val="14"/>
                <w:color w:val="auto"/>
              </w:rPr>
              <w:t>Charge-offs</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4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(107,972)</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(107,972)</w:t>
            </w:r>
          </w:p>
        </w:tc>
      </w:tr>
      <w:tr>
        <w:trPr>
          <w:trHeight w:val="20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Ending balance - March 31, 2021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187,129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1,666,824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1,897,155</w:t>
            </w:r>
          </w:p>
        </w:tc>
      </w:tr>
      <w:tr>
        <w:trPr>
          <w:trHeight w:val="156"/>
        </w:trPr>
        <w:tc>
          <w:tcPr>
            <w:tcW w:w="4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5"/>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Ending balance: individually evaluated for impairment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207,578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207,578</w:t>
            </w:r>
          </w:p>
        </w:tc>
      </w:tr>
      <w:tr>
        <w:trPr>
          <w:trHeight w:val="156"/>
        </w:trPr>
        <w:tc>
          <w:tcPr>
            <w:tcW w:w="4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Ending balance: collectively evaluated for impairment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187,129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1,459,246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1,689,577</w:t>
            </w:r>
          </w:p>
        </w:tc>
      </w:tr>
      <w:tr>
        <w:trPr>
          <w:trHeight w:val="156"/>
        </w:trPr>
        <w:tc>
          <w:tcPr>
            <w:tcW w:w="4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6"/>
        </w:trPr>
        <w:tc>
          <w:tcPr>
            <w:tcW w:w="4180" w:type="dxa"/>
            <w:vAlign w:val="bottom"/>
          </w:tcPr>
          <w:p>
            <w:pPr>
              <w:ind w:left="20"/>
              <w:spacing w:after="0"/>
              <w:rPr>
                <w:sz w:val="20"/>
                <w:szCs w:val="20"/>
                <w:color w:val="auto"/>
              </w:rPr>
            </w:pPr>
            <w:r>
              <w:rPr>
                <w:rFonts w:ascii="Arial" w:cs="Arial" w:eastAsia="Arial" w:hAnsi="Arial"/>
                <w:sz w:val="14"/>
                <w:szCs w:val="14"/>
                <w:color w:val="auto"/>
              </w:rPr>
              <w:t>Mortgage loans: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55,065,455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88,266,355</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105,450,591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248,782,401</w:t>
            </w: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6"/>
        </w:trPr>
        <w:tc>
          <w:tcPr>
            <w:tcW w:w="4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individually evaluated for impairment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1,068,365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4,436,082</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200,963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5,705,410</w:t>
            </w: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6"/>
        </w:trPr>
        <w:tc>
          <w:tcPr>
            <w:tcW w:w="4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collectively evaluated for impairment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53,997,090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83,830,273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105,249,628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243,076,991</w:t>
            </w: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6"/>
        </w:trPr>
        <w:tc>
          <w:tcPr>
            <w:tcW w:w="4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5"/>
        </w:trPr>
        <w:tc>
          <w:tcPr>
            <w:tcW w:w="4180" w:type="dxa"/>
            <w:vAlign w:val="bottom"/>
          </w:tcPr>
          <w:p>
            <w:pPr>
              <w:ind w:left="20"/>
              <w:spacing w:after="0"/>
              <w:rPr>
                <w:sz w:val="20"/>
                <w:szCs w:val="20"/>
                <w:color w:val="auto"/>
              </w:rPr>
            </w:pPr>
            <w:r>
              <w:rPr>
                <w:rFonts w:ascii="Arial" w:cs="Arial" w:eastAsia="Arial" w:hAnsi="Arial"/>
                <w:sz w:val="14"/>
                <w:szCs w:val="14"/>
                <w:color w:val="auto"/>
              </w:rPr>
              <w:t>Allowance for credit losses: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1,222,706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1,453,037</w:t>
            </w:r>
          </w:p>
        </w:tc>
      </w:tr>
      <w:tr>
        <w:trPr>
          <w:trHeight w:val="176"/>
        </w:trPr>
        <w:tc>
          <w:tcPr>
            <w:tcW w:w="4180" w:type="dxa"/>
            <w:vAlign w:val="bottom"/>
          </w:tcPr>
          <w:p>
            <w:pPr>
              <w:ind w:left="180"/>
              <w:spacing w:after="0"/>
              <w:rPr>
                <w:sz w:val="20"/>
                <w:szCs w:val="20"/>
                <w:color w:val="auto"/>
              </w:rPr>
            </w:pPr>
            <w:r>
              <w:rPr>
                <w:rFonts w:ascii="Arial" w:cs="Arial" w:eastAsia="Arial" w:hAnsi="Arial"/>
                <w:sz w:val="14"/>
                <w:szCs w:val="14"/>
                <w:color w:val="auto"/>
              </w:rPr>
              <w:t>Charge-offs</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4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552,090</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552,090</w:t>
            </w:r>
          </w:p>
        </w:tc>
      </w:tr>
      <w:tr>
        <w:trPr>
          <w:trHeight w:val="20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Ending balance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187,129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1,774,796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2,005,127</w:t>
            </w:r>
          </w:p>
        </w:tc>
      </w:tr>
      <w:tr>
        <w:trPr>
          <w:trHeight w:val="156"/>
        </w:trPr>
        <w:tc>
          <w:tcPr>
            <w:tcW w:w="4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5"/>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Ending balance: individually evaluated for impairment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219,905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219,905</w:t>
            </w:r>
          </w:p>
        </w:tc>
      </w:tr>
      <w:tr>
        <w:trPr>
          <w:trHeight w:val="156"/>
        </w:trPr>
        <w:tc>
          <w:tcPr>
            <w:tcW w:w="4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5"/>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Ending balance: collectively evaluated for impairment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187,129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1,554,891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1,785,222</w:t>
            </w:r>
          </w:p>
        </w:tc>
      </w:tr>
      <w:tr>
        <w:trPr>
          <w:trHeight w:val="156"/>
        </w:trPr>
        <w:tc>
          <w:tcPr>
            <w:tcW w:w="4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5"/>
        </w:trPr>
        <w:tc>
          <w:tcPr>
            <w:tcW w:w="4180" w:type="dxa"/>
            <w:vAlign w:val="bottom"/>
          </w:tcPr>
          <w:p>
            <w:pPr>
              <w:ind w:left="20"/>
              <w:spacing w:after="0"/>
              <w:rPr>
                <w:sz w:val="20"/>
                <w:szCs w:val="20"/>
                <w:color w:val="auto"/>
              </w:rPr>
            </w:pPr>
            <w:r>
              <w:rPr>
                <w:rFonts w:ascii="Arial" w:cs="Arial" w:eastAsia="Arial" w:hAnsi="Arial"/>
                <w:sz w:val="14"/>
                <w:szCs w:val="14"/>
                <w:color w:val="auto"/>
              </w:rPr>
              <w:t>Mortgage loans: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46,836,866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111,111,777</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95,822,448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253,771,091</w:t>
            </w: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6"/>
        </w:trPr>
        <w:tc>
          <w:tcPr>
            <w:tcW w:w="4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individually evaluated for impairment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2,148,827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7,932,680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200,963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10,282,470</w:t>
            </w: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6"/>
        </w:trPr>
        <w:tc>
          <w:tcPr>
            <w:tcW w:w="4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5"/>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collectively evaluated for impairment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44,688,039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103,179,097</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95,621,485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243,488,621</w:t>
            </w: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22" w:name="page23"/>
    <w:bookmarkEnd w:id="22"/>
    <w:p>
      <w:pPr>
        <w:jc w:val="center"/>
        <w:ind w:right="79"/>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118" w:lineRule="exact"/>
        <w:rPr>
          <w:sz w:val="20"/>
          <w:szCs w:val="20"/>
          <w:color w:val="auto"/>
        </w:rPr>
      </w:pPr>
    </w:p>
    <w:p>
      <w:pPr>
        <w:ind w:left="480" w:hanging="480"/>
        <w:spacing w:after="0"/>
        <w:tabs>
          <w:tab w:leader="none" w:pos="48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a summary of the aging of mortgage loans held for investment for the periods presented: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95"/>
              </w:rPr>
              <w:t>Residential</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19"/>
        </w:trPr>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color w:val="auto"/>
              </w:rPr>
              <w:t>Residential</w:t>
            </w:r>
          </w:p>
        </w:tc>
        <w:tc>
          <w:tcPr>
            <w:tcW w:w="26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Construction</w:t>
            </w:r>
          </w:p>
        </w:tc>
        <w:tc>
          <w:tcPr>
            <w:tcW w:w="340" w:type="dxa"/>
            <w:vAlign w:val="bottom"/>
          </w:tcPr>
          <w:p>
            <w:pPr>
              <w:spacing w:after="0"/>
              <w:rPr>
                <w:sz w:val="19"/>
                <w:szCs w:val="19"/>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Total</w:t>
            </w:r>
          </w:p>
        </w:tc>
      </w:tr>
      <w:tr>
        <w:trPr>
          <w:trHeight w:val="243"/>
        </w:trPr>
        <w:tc>
          <w:tcPr>
            <w:tcW w:w="3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2021</w:t>
            </w: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r>
      <w:tr>
        <w:trPr>
          <w:trHeight w:val="220"/>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30-59 Days Past Due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4,352,659</w:t>
            </w: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301,071</w:t>
            </w:r>
          </w:p>
        </w:tc>
        <w:tc>
          <w:tcPr>
            <w:tcW w:w="100" w:type="dxa"/>
            <w:vAlign w:val="bottom"/>
          </w:tcPr>
          <w:p>
            <w:pPr>
              <w:spacing w:after="0"/>
              <w:rPr>
                <w:sz w:val="19"/>
                <w:szCs w:val="19"/>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4,653,730</w:t>
            </w:r>
          </w:p>
        </w:tc>
      </w:tr>
      <w:tr>
        <w:trPr>
          <w:trHeight w:val="23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60-89 Days Past Due</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2,027,048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1,317,057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3,344,105</w:t>
            </w:r>
          </w:p>
        </w:tc>
      </w:tr>
      <w:tr>
        <w:trPr>
          <w:trHeight w:val="220"/>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Greater Than 90 Days (1)</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817,429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2,522,314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3,339,743</w:t>
            </w:r>
          </w:p>
        </w:tc>
      </w:tr>
      <w:tr>
        <w:trPr>
          <w:trHeight w:val="23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 Process of Foreclosure (1)</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250,936</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1,913,768</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200,963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2,365,667</w:t>
            </w:r>
          </w:p>
        </w:tc>
      </w:tr>
      <w:tr>
        <w:trPr>
          <w:trHeight w:val="217"/>
        </w:trPr>
        <w:tc>
          <w:tcPr>
            <w:tcW w:w="3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Past Due</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3,095,413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10,105,798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502,034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13,703,245</w:t>
            </w:r>
          </w:p>
        </w:tc>
      </w:tr>
      <w:tr>
        <w:trPr>
          <w:trHeight w:val="22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51,970,042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78,160,557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104,948,557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235,079,156</w:t>
            </w:r>
          </w:p>
        </w:tc>
      </w:tr>
      <w:tr>
        <w:trPr>
          <w:trHeight w:val="217"/>
        </w:trPr>
        <w:tc>
          <w:tcPr>
            <w:tcW w:w="3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Mortgage Loans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55,065,455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88,266,355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105,450,591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248,782,401</w:t>
            </w:r>
          </w:p>
        </w:tc>
      </w:tr>
      <w:tr>
        <w:trPr>
          <w:trHeight w:val="23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 for Loan Losses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(1,666,824)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(1,897,155)</w:t>
            </w:r>
          </w:p>
        </w:tc>
      </w:tr>
      <w:tr>
        <w:trPr>
          <w:trHeight w:val="220"/>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Unamortized deferred loan fees, net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(115,893)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(951,108)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(1,223,014)</w:t>
            </w:r>
          </w:p>
        </w:tc>
      </w:tr>
      <w:tr>
        <w:trPr>
          <w:trHeight w:val="233"/>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Unamortized discounts, net</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(358,587)</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(351,693)</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(710,280)</w:t>
            </w:r>
          </w:p>
        </w:tc>
      </w:tr>
      <w:tr>
        <w:trPr>
          <w:trHeight w:val="267"/>
        </w:trPr>
        <w:tc>
          <w:tcPr>
            <w:tcW w:w="3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Mortgage Loans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54,403,846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85,296,730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105,251,376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244,951,952</w:t>
            </w:r>
          </w:p>
        </w:tc>
      </w:tr>
      <w:tr>
        <w:trPr>
          <w:trHeight w:val="227"/>
        </w:trPr>
        <w:tc>
          <w:tcPr>
            <w:tcW w:w="19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3"/>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2020</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30-59 Days Past Due</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5,866,505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127,191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6,226,896</w:t>
            </w:r>
          </w:p>
        </w:tc>
      </w:tr>
      <w:tr>
        <w:trPr>
          <w:trHeight w:val="220"/>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60-89 Days Past Due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812,780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2,048,148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2,860,928</w:t>
            </w:r>
          </w:p>
        </w:tc>
      </w:tr>
      <w:tr>
        <w:trPr>
          <w:trHeight w:val="23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Greater Than 90 Days (1)</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2,148,827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5,669,583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7,818,410</w:t>
            </w:r>
          </w:p>
        </w:tc>
      </w:tr>
      <w:tr>
        <w:trPr>
          <w:trHeight w:val="223"/>
        </w:trPr>
        <w:tc>
          <w:tcPr>
            <w:tcW w:w="3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 Process of Foreclosure (1)</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2,263,097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2,464,060</w:t>
            </w:r>
          </w:p>
        </w:tc>
      </w:tr>
      <w:tr>
        <w:trPr>
          <w:trHeight w:val="22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Past Due</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3,194,807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15,847,333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328,154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19,370,294</w:t>
            </w:r>
          </w:p>
        </w:tc>
      </w:tr>
      <w:tr>
        <w:trPr>
          <w:trHeight w:val="217"/>
        </w:trPr>
        <w:tc>
          <w:tcPr>
            <w:tcW w:w="3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Current</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43,642,059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79,975,115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110,783,623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234,400,797</w:t>
            </w:r>
          </w:p>
        </w:tc>
      </w:tr>
      <w:tr>
        <w:trPr>
          <w:trHeight w:val="23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Mortgage Loans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46,836,866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95,822,448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111,111,777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253,771,091</w:t>
            </w:r>
          </w:p>
        </w:tc>
      </w:tr>
      <w:tr>
        <w:trPr>
          <w:trHeight w:val="213"/>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Allowance for Loan Losses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(187,129)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(1,774,796)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(43,202)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(2,005,127)</w:t>
            </w:r>
          </w:p>
        </w:tc>
      </w:tr>
      <w:tr>
        <w:trPr>
          <w:trHeight w:val="23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Unamortized deferred loan fees, net</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(909,864)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(218,711)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(1,161,132)</w:t>
            </w:r>
          </w:p>
        </w:tc>
      </w:tr>
      <w:tr>
        <w:trPr>
          <w:trHeight w:val="223"/>
        </w:trPr>
        <w:tc>
          <w:tcPr>
            <w:tcW w:w="3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Unamortized discounts, net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(880,721)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(380,175)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(1,260,896)</w:t>
            </w:r>
          </w:p>
        </w:tc>
      </w:tr>
      <w:tr>
        <w:trPr>
          <w:trHeight w:val="226"/>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Mortgage Loans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45,736,459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92,757,613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110,849,864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249,343,936</w:t>
            </w:r>
          </w:p>
        </w:tc>
      </w:tr>
      <w:tr>
        <w:trPr>
          <w:trHeight w:val="20"/>
        </w:trPr>
        <w:tc>
          <w:tcPr>
            <w:tcW w:w="1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8"/>
        </w:trPr>
        <w:tc>
          <w:tcPr>
            <w:tcW w:w="1940" w:type="dxa"/>
            <w:vAlign w:val="bottom"/>
            <w:tcBorders>
              <w:bottom w:val="single" w:sz="8" w:color="auto"/>
            </w:tcBorders>
          </w:tcPr>
          <w:p>
            <w:pPr>
              <w:spacing w:after="0"/>
              <w:rPr>
                <w:sz w:val="3"/>
                <w:szCs w:val="3"/>
                <w:color w:val="auto"/>
              </w:rPr>
            </w:pPr>
          </w:p>
        </w:tc>
        <w:tc>
          <w:tcPr>
            <w:tcW w:w="1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bl>
    <w:p>
      <w:pPr>
        <w:ind w:left="260" w:hanging="260"/>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income is not recognized on loans past due greater than 90 days or in foreclosure.</w:t>
      </w:r>
    </w:p>
    <w:p>
      <w:pPr>
        <w:spacing w:after="0" w:line="235"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23" w:name="page24"/>
    <w:bookmarkEnd w:id="23"/>
    <w:p>
      <w:pPr>
        <w:jc w:val="center"/>
        <w:ind w:right="79"/>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118" w:lineRule="exact"/>
        <w:rPr>
          <w:sz w:val="20"/>
          <w:szCs w:val="20"/>
          <w:color w:val="auto"/>
        </w:rPr>
      </w:pPr>
    </w:p>
    <w:p>
      <w:pPr>
        <w:ind w:left="480" w:hanging="480"/>
        <w:spacing w:after="0"/>
        <w:tabs>
          <w:tab w:leader="none" w:pos="480"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Impaired Mortgage Loans Held for Investment</w:t>
      </w:r>
    </w:p>
    <w:p>
      <w:pPr>
        <w:spacing w:after="0" w:line="229" w:lineRule="exact"/>
        <w:rPr>
          <w:sz w:val="20"/>
          <w:szCs w:val="20"/>
          <w:color w:val="auto"/>
        </w:rPr>
      </w:pPr>
    </w:p>
    <w:p>
      <w:pPr>
        <w:jc w:val="both"/>
        <w:ind w:right="79"/>
        <w:spacing w:after="0" w:line="278" w:lineRule="auto"/>
        <w:rPr>
          <w:sz w:val="20"/>
          <w:szCs w:val="20"/>
          <w:color w:val="auto"/>
        </w:rPr>
      </w:pPr>
      <w:r>
        <w:rPr>
          <w:rFonts w:ascii="Arial" w:cs="Arial" w:eastAsia="Arial" w:hAnsi="Arial"/>
          <w:sz w:val="18"/>
          <w:szCs w:val="18"/>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Recorded</w:t>
            </w:r>
          </w:p>
        </w:tc>
        <w:tc>
          <w:tcPr>
            <w:tcW w:w="1300" w:type="dxa"/>
            <w:vAlign w:val="bottom"/>
            <w:gridSpan w:val="3"/>
          </w:tcPr>
          <w:p>
            <w:pPr>
              <w:jc w:val="center"/>
              <w:ind w:right="80"/>
              <w:spacing w:after="0"/>
              <w:rPr>
                <w:sz w:val="20"/>
                <w:szCs w:val="20"/>
                <w:color w:val="auto"/>
              </w:rPr>
            </w:pPr>
            <w:r>
              <w:rPr>
                <w:rFonts w:ascii="Arial" w:cs="Arial" w:eastAsia="Arial" w:hAnsi="Arial"/>
                <w:sz w:val="14"/>
                <w:szCs w:val="14"/>
                <w:color w:val="auto"/>
                <w:w w:val="96"/>
              </w:rPr>
              <w:t>Unpaid Principal</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color w:val="auto"/>
                <w:w w:val="90"/>
              </w:rPr>
              <w:t>Average Recorded</w:t>
            </w: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Interest Income</w:t>
            </w:r>
          </w:p>
        </w:tc>
      </w:tr>
      <w:tr>
        <w:trPr>
          <w:trHeight w:val="181"/>
        </w:trPr>
        <w:tc>
          <w:tcPr>
            <w:tcW w:w="2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Investment</w:t>
            </w:r>
          </w:p>
        </w:tc>
        <w:tc>
          <w:tcPr>
            <w:tcW w:w="30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Balance</w:t>
            </w:r>
          </w:p>
        </w:tc>
        <w:tc>
          <w:tcPr>
            <w:tcW w:w="1260" w:type="dxa"/>
            <w:vAlign w:val="bottom"/>
            <w:gridSpan w:val="3"/>
          </w:tcPr>
          <w:p>
            <w:pPr>
              <w:ind w:left="40"/>
              <w:spacing w:after="0"/>
              <w:rPr>
                <w:sz w:val="20"/>
                <w:szCs w:val="20"/>
                <w:color w:val="auto"/>
              </w:rPr>
            </w:pPr>
            <w:r>
              <w:rPr>
                <w:rFonts w:ascii="Arial" w:cs="Arial" w:eastAsia="Arial" w:hAnsi="Arial"/>
                <w:sz w:val="14"/>
                <w:szCs w:val="14"/>
                <w:color w:val="auto"/>
              </w:rPr>
              <w:t>Related Allowance</w:t>
            </w:r>
          </w:p>
        </w:tc>
        <w:tc>
          <w:tcPr>
            <w:tcW w:w="24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Investment</w:t>
            </w:r>
          </w:p>
        </w:tc>
        <w:tc>
          <w:tcPr>
            <w:tcW w:w="240" w:type="dxa"/>
            <w:vAlign w:val="bottom"/>
          </w:tcPr>
          <w:p>
            <w:pPr>
              <w:spacing w:after="0"/>
              <w:rPr>
                <w:sz w:val="15"/>
                <w:szCs w:val="15"/>
                <w:color w:val="auto"/>
              </w:rPr>
            </w:pPr>
          </w:p>
        </w:tc>
        <w:tc>
          <w:tcPr>
            <w:tcW w:w="960" w:type="dxa"/>
            <w:vAlign w:val="bottom"/>
          </w:tcPr>
          <w:p>
            <w:pPr>
              <w:jc w:val="right"/>
              <w:ind w:right="179"/>
              <w:spacing w:after="0"/>
              <w:rPr>
                <w:sz w:val="20"/>
                <w:szCs w:val="20"/>
                <w:color w:val="auto"/>
              </w:rPr>
            </w:pPr>
            <w:r>
              <w:rPr>
                <w:rFonts w:ascii="Arial" w:cs="Arial" w:eastAsia="Arial" w:hAnsi="Arial"/>
                <w:sz w:val="14"/>
                <w:szCs w:val="14"/>
                <w:color w:val="auto"/>
                <w:w w:val="91"/>
              </w:rPr>
              <w:t>Recognized</w:t>
            </w:r>
          </w:p>
        </w:tc>
      </w:tr>
      <w:tr>
        <w:trPr>
          <w:trHeight w:val="237"/>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2021</w:t>
            </w:r>
          </w:p>
        </w:tc>
        <w:tc>
          <w:tcPr>
            <w:tcW w:w="2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r>
      <w:tr>
        <w:trPr>
          <w:trHeight w:val="233"/>
        </w:trPr>
        <w:tc>
          <w:tcPr>
            <w:tcW w:w="2760" w:type="dxa"/>
            <w:vAlign w:val="bottom"/>
          </w:tcPr>
          <w:p>
            <w:pPr>
              <w:ind w:left="20"/>
              <w:spacing w:after="0"/>
              <w:rPr>
                <w:sz w:val="20"/>
                <w:szCs w:val="20"/>
                <w:color w:val="auto"/>
              </w:rPr>
            </w:pPr>
            <w:r>
              <w:rPr>
                <w:rFonts w:ascii="Arial" w:cs="Arial" w:eastAsia="Arial" w:hAnsi="Arial"/>
                <w:sz w:val="16"/>
                <w:szCs w:val="16"/>
                <w:color w:val="auto"/>
              </w:rPr>
              <w:t>With no related allowance recorded: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9"/>
        </w:trPr>
        <w:tc>
          <w:tcPr>
            <w:tcW w:w="2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1,068,365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1,068,365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1,068,365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3,054,262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3,054,262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3,054,262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2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 construction</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200,963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200,963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 an allowance recorded:</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0"/>
        </w:trPr>
        <w:tc>
          <w:tcPr>
            <w:tcW w:w="276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2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1,381,820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1,381,820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207,578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1,381,820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760" w:type="dxa"/>
            <w:vAlign w:val="bottom"/>
          </w:tcPr>
          <w:p>
            <w:pPr>
              <w:ind w:left="180"/>
              <w:spacing w:after="0"/>
              <w:rPr>
                <w:sz w:val="20"/>
                <w:szCs w:val="20"/>
                <w:color w:val="auto"/>
              </w:rPr>
            </w:pPr>
            <w:r>
              <w:rPr>
                <w:rFonts w:ascii="Arial" w:cs="Arial" w:eastAsia="Arial" w:hAnsi="Arial"/>
                <w:sz w:val="16"/>
                <w:szCs w:val="16"/>
                <w:color w:val="auto"/>
              </w:rPr>
              <w:t>Residential construction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3"/>
        </w:trPr>
        <w:tc>
          <w:tcPr>
            <w:tcW w:w="276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9"/>
        </w:trPr>
        <w:tc>
          <w:tcPr>
            <w:tcW w:w="2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1,068,365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1,068,365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1,068,365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4,436,082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4,436,082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207,578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4,436,082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2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 construction</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200,963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200,963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3"/>
        </w:trPr>
        <w:tc>
          <w:tcPr>
            <w:tcW w:w="2760" w:type="dxa"/>
            <w:vAlign w:val="bottom"/>
          </w:tcPr>
          <w:p>
            <w:pPr>
              <w:ind w:left="20"/>
              <w:spacing w:after="0"/>
              <w:rPr>
                <w:sz w:val="20"/>
                <w:szCs w:val="20"/>
                <w:color w:val="auto"/>
              </w:rPr>
            </w:pPr>
            <w:r>
              <w:rPr>
                <w:rFonts w:ascii="Arial" w:cs="Arial" w:eastAsia="Arial" w:hAnsi="Arial"/>
                <w:sz w:val="16"/>
                <w:szCs w:val="16"/>
                <w:color w:val="auto"/>
              </w:rPr>
              <w:t>With no related allowance recorded: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9"/>
        </w:trPr>
        <w:tc>
          <w:tcPr>
            <w:tcW w:w="2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2,148,827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2,148,827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1,866,819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6,415,419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6,415,419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5,010,078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2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 construction</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200,963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200,963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555,278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 an allowance recorded:</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0"/>
        </w:trPr>
        <w:tc>
          <w:tcPr>
            <w:tcW w:w="276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2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1,517,261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1,517,261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219,905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1,182,368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760" w:type="dxa"/>
            <w:vAlign w:val="bottom"/>
          </w:tcPr>
          <w:p>
            <w:pPr>
              <w:ind w:left="180"/>
              <w:spacing w:after="0"/>
              <w:rPr>
                <w:sz w:val="20"/>
                <w:szCs w:val="20"/>
                <w:color w:val="auto"/>
              </w:rPr>
            </w:pPr>
            <w:r>
              <w:rPr>
                <w:rFonts w:ascii="Arial" w:cs="Arial" w:eastAsia="Arial" w:hAnsi="Arial"/>
                <w:sz w:val="16"/>
                <w:szCs w:val="16"/>
                <w:color w:val="auto"/>
              </w:rPr>
              <w:t>Residential construction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3"/>
        </w:trPr>
        <w:tc>
          <w:tcPr>
            <w:tcW w:w="276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9"/>
        </w:trPr>
        <w:tc>
          <w:tcPr>
            <w:tcW w:w="2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2,148,827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2,148,827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1,866,819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7,932,680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7,932,680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219,905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6,192,446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2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 construction</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200,963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200,963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555,278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24" w:name="page25"/>
    <w:bookmarkEnd w:id="24"/>
    <w:p>
      <w:pPr>
        <w:jc w:val="center"/>
        <w:ind w:right="79"/>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118" w:lineRule="exact"/>
        <w:rPr>
          <w:sz w:val="20"/>
          <w:szCs w:val="20"/>
          <w:color w:val="auto"/>
        </w:rPr>
      </w:pPr>
    </w:p>
    <w:p>
      <w:pPr>
        <w:ind w:left="480" w:hanging="480"/>
        <w:spacing w:after="0"/>
        <w:tabs>
          <w:tab w:leader="none" w:pos="48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(Continued)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Credit Risk Profile Based on Performance Status</w:t>
      </w:r>
    </w:p>
    <w:p>
      <w:pPr>
        <w:spacing w:after="0" w:line="229" w:lineRule="exact"/>
        <w:rPr>
          <w:sz w:val="20"/>
          <w:szCs w:val="20"/>
          <w:color w:val="auto"/>
        </w:rPr>
      </w:pPr>
    </w:p>
    <w:p>
      <w:pPr>
        <w:jc w:val="both"/>
        <w:ind w:right="99"/>
        <w:spacing w:after="0" w:line="246" w:lineRule="auto"/>
        <w:rPr>
          <w:sz w:val="20"/>
          <w:szCs w:val="20"/>
          <w:color w:val="auto"/>
        </w:rPr>
      </w:pPr>
      <w:r>
        <w:rPr>
          <w:rFonts w:ascii="Arial" w:cs="Arial" w:eastAsia="Arial" w:hAnsi="Arial"/>
          <w:sz w:val="20"/>
          <w:szCs w:val="20"/>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Company’s performing and non-performing mortgage loans held for investment were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5"/>
          </w:tcPr>
          <w:p>
            <w:pPr>
              <w:ind w:left="38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15"/>
                <w:szCs w:val="15"/>
                <w:color w:val="auto"/>
              </w:rPr>
            </w:pPr>
          </w:p>
        </w:tc>
        <w:tc>
          <w:tcPr>
            <w:tcW w:w="1800" w:type="dxa"/>
            <w:vAlign w:val="bottom"/>
            <w:gridSpan w:val="5"/>
          </w:tcPr>
          <w:p>
            <w:pPr>
              <w:ind w:left="440"/>
              <w:spacing w:after="0"/>
              <w:rPr>
                <w:sz w:val="20"/>
                <w:szCs w:val="20"/>
                <w:color w:val="auto"/>
              </w:rPr>
            </w:pPr>
            <w:r>
              <w:rPr>
                <w:rFonts w:ascii="Arial" w:cs="Arial" w:eastAsia="Arial" w:hAnsi="Arial"/>
                <w:sz w:val="14"/>
                <w:szCs w:val="14"/>
                <w:color w:val="auto"/>
              </w:rPr>
              <w:t>Residential</w:t>
            </w:r>
          </w:p>
        </w:tc>
        <w:tc>
          <w:tcPr>
            <w:tcW w:w="2040" w:type="dxa"/>
            <w:vAlign w:val="bottom"/>
            <w:gridSpan w:val="5"/>
          </w:tcPr>
          <w:p>
            <w:pPr>
              <w:ind w:left="260"/>
              <w:spacing w:after="0"/>
              <w:rPr>
                <w:sz w:val="20"/>
                <w:szCs w:val="20"/>
                <w:color w:val="auto"/>
              </w:rPr>
            </w:pPr>
            <w:r>
              <w:rPr>
                <w:rFonts w:ascii="Arial" w:cs="Arial" w:eastAsia="Arial" w:hAnsi="Arial"/>
                <w:sz w:val="14"/>
                <w:szCs w:val="14"/>
                <w:color w:val="auto"/>
              </w:rPr>
              <w:t>Residential Construction</w:t>
            </w:r>
          </w:p>
        </w:tc>
        <w:tc>
          <w:tcPr>
            <w:tcW w:w="220" w:type="dxa"/>
            <w:vAlign w:val="bottom"/>
          </w:tcPr>
          <w:p>
            <w:pPr>
              <w:spacing w:after="0"/>
              <w:rPr>
                <w:sz w:val="15"/>
                <w:szCs w:val="15"/>
                <w:color w:val="auto"/>
              </w:rPr>
            </w:pPr>
          </w:p>
        </w:tc>
        <w:tc>
          <w:tcPr>
            <w:tcW w:w="1060" w:type="dxa"/>
            <w:vAlign w:val="bottom"/>
            <w:gridSpan w:val="3"/>
          </w:tcPr>
          <w:p>
            <w:pPr>
              <w:jc w:val="right"/>
              <w:ind w:right="13"/>
              <w:spacing w:after="0"/>
              <w:rPr>
                <w:sz w:val="20"/>
                <w:szCs w:val="20"/>
                <w:color w:val="auto"/>
              </w:rPr>
            </w:pPr>
            <w:r>
              <w:rPr>
                <w:rFonts w:ascii="Arial" w:cs="Arial" w:eastAsia="Arial" w:hAnsi="Arial"/>
                <w:sz w:val="14"/>
                <w:szCs w:val="14"/>
                <w:color w:val="auto"/>
              </w:rPr>
              <w:t>Total</w:t>
            </w:r>
          </w:p>
        </w:tc>
        <w:tc>
          <w:tcPr>
            <w:tcW w:w="840" w:type="dxa"/>
            <w:vAlign w:val="bottom"/>
          </w:tcPr>
          <w:p>
            <w:pPr>
              <w:spacing w:after="0"/>
              <w:rPr>
                <w:sz w:val="15"/>
                <w:szCs w:val="15"/>
                <w:color w:val="auto"/>
              </w:rPr>
            </w:pPr>
          </w:p>
        </w:tc>
      </w:tr>
      <w:tr>
        <w:trPr>
          <w:trHeight w:val="128"/>
        </w:trPr>
        <w:tc>
          <w:tcPr>
            <w:tcW w:w="9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ind w:left="40"/>
              <w:spacing w:after="0" w:line="128" w:lineRule="exact"/>
              <w:rPr>
                <w:sz w:val="20"/>
                <w:szCs w:val="20"/>
                <w:color w:val="auto"/>
              </w:rPr>
            </w:pPr>
            <w:r>
              <w:rPr>
                <w:rFonts w:ascii="Arial" w:cs="Arial" w:eastAsia="Arial" w:hAnsi="Arial"/>
                <w:sz w:val="13"/>
                <w:szCs w:val="13"/>
                <w:color w:val="auto"/>
              </w:rPr>
              <w:t>March</w:t>
            </w:r>
          </w:p>
        </w:tc>
        <w:tc>
          <w:tcPr>
            <w:tcW w:w="920" w:type="dxa"/>
            <w:vAlign w:val="bottom"/>
            <w:tcBorders>
              <w:top w:val="single" w:sz="8" w:color="auto"/>
            </w:tcBorders>
            <w:gridSpan w:val="2"/>
          </w:tcPr>
          <w:p>
            <w:pPr>
              <w:jc w:val="right"/>
              <w:ind w:right="136"/>
              <w:spacing w:after="0" w:line="128" w:lineRule="exact"/>
              <w:rPr>
                <w:sz w:val="20"/>
                <w:szCs w:val="20"/>
                <w:color w:val="auto"/>
              </w:rPr>
            </w:pPr>
            <w:r>
              <w:rPr>
                <w:rFonts w:ascii="Arial" w:cs="Arial" w:eastAsia="Arial" w:hAnsi="Arial"/>
                <w:sz w:val="13"/>
                <w:szCs w:val="13"/>
                <w:color w:val="auto"/>
              </w:rPr>
              <w:t>December</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ind w:left="60"/>
              <w:spacing w:after="0" w:line="128" w:lineRule="exact"/>
              <w:rPr>
                <w:sz w:val="20"/>
                <w:szCs w:val="20"/>
                <w:color w:val="auto"/>
              </w:rPr>
            </w:pPr>
            <w:r>
              <w:rPr>
                <w:rFonts w:ascii="Arial" w:cs="Arial" w:eastAsia="Arial" w:hAnsi="Arial"/>
                <w:sz w:val="13"/>
                <w:szCs w:val="13"/>
                <w:color w:val="auto"/>
              </w:rPr>
              <w:t>March</w:t>
            </w: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6"/>
              <w:spacing w:after="0" w:line="128" w:lineRule="exact"/>
              <w:rPr>
                <w:sz w:val="20"/>
                <w:szCs w:val="20"/>
                <w:color w:val="auto"/>
              </w:rPr>
            </w:pPr>
            <w:r>
              <w:rPr>
                <w:rFonts w:ascii="Arial" w:cs="Arial" w:eastAsia="Arial" w:hAnsi="Arial"/>
                <w:sz w:val="13"/>
                <w:szCs w:val="13"/>
                <w:color w:val="auto"/>
                <w:w w:val="83"/>
              </w:rPr>
              <w:t>December</w:t>
            </w:r>
          </w:p>
        </w:tc>
        <w:tc>
          <w:tcPr>
            <w:tcW w:w="80" w:type="dxa"/>
            <w:vAlign w:val="bottom"/>
          </w:tcPr>
          <w:p>
            <w:pPr>
              <w:spacing w:after="0"/>
              <w:rPr>
                <w:sz w:val="11"/>
                <w:szCs w:val="11"/>
                <w:color w:val="auto"/>
              </w:rPr>
            </w:pPr>
          </w:p>
        </w:tc>
        <w:tc>
          <w:tcPr>
            <w:tcW w:w="1020" w:type="dxa"/>
            <w:vAlign w:val="bottom"/>
            <w:tcBorders>
              <w:top w:val="single" w:sz="8" w:color="auto"/>
            </w:tcBorders>
            <w:gridSpan w:val="2"/>
          </w:tcPr>
          <w:p>
            <w:pPr>
              <w:ind w:left="280"/>
              <w:spacing w:after="0" w:line="128" w:lineRule="exact"/>
              <w:rPr>
                <w:sz w:val="20"/>
                <w:szCs w:val="20"/>
                <w:color w:val="auto"/>
              </w:rPr>
            </w:pPr>
            <w:r>
              <w:rPr>
                <w:rFonts w:ascii="Arial" w:cs="Arial" w:eastAsia="Arial" w:hAnsi="Arial"/>
                <w:sz w:val="13"/>
                <w:szCs w:val="13"/>
                <w:color w:val="auto"/>
              </w:rPr>
              <w:t>March</w:t>
            </w: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56"/>
              <w:spacing w:after="0" w:line="128" w:lineRule="exact"/>
              <w:rPr>
                <w:sz w:val="20"/>
                <w:szCs w:val="20"/>
                <w:color w:val="auto"/>
              </w:rPr>
            </w:pPr>
            <w:r>
              <w:rPr>
                <w:rFonts w:ascii="Arial" w:cs="Arial" w:eastAsia="Arial" w:hAnsi="Arial"/>
                <w:sz w:val="13"/>
                <w:szCs w:val="13"/>
                <w:color w:val="auto"/>
                <w:w w:val="83"/>
              </w:rPr>
              <w:t>December</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60"/>
              <w:spacing w:after="0" w:line="128" w:lineRule="exact"/>
              <w:rPr>
                <w:sz w:val="20"/>
                <w:szCs w:val="20"/>
                <w:color w:val="auto"/>
              </w:rPr>
            </w:pPr>
            <w:r>
              <w:rPr>
                <w:rFonts w:ascii="Arial" w:cs="Arial" w:eastAsia="Arial" w:hAnsi="Arial"/>
                <w:sz w:val="13"/>
                <w:szCs w:val="13"/>
                <w:color w:val="auto"/>
              </w:rPr>
              <w:t>March</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14"/>
              <w:spacing w:after="0" w:line="128" w:lineRule="exact"/>
              <w:rPr>
                <w:sz w:val="20"/>
                <w:szCs w:val="20"/>
                <w:color w:val="auto"/>
              </w:rPr>
            </w:pPr>
            <w:r>
              <w:rPr>
                <w:rFonts w:ascii="Arial" w:cs="Arial" w:eastAsia="Arial" w:hAnsi="Arial"/>
                <w:sz w:val="13"/>
                <w:szCs w:val="13"/>
                <w:color w:val="auto"/>
                <w:w w:val="89"/>
              </w:rPr>
              <w:t>December</w:t>
            </w:r>
          </w:p>
        </w:tc>
      </w:tr>
      <w:tr>
        <w:trPr>
          <w:trHeight w:val="161"/>
        </w:trPr>
        <w:tc>
          <w:tcPr>
            <w:tcW w:w="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6"/>
              </w:rPr>
              <w:t>31, 2021</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6"/>
              </w:rPr>
              <w:t>31, 2020</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6"/>
              </w:rPr>
              <w:t>31, 2021</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90"/>
              </w:rPr>
              <w:t>31, 2020</w:t>
            </w:r>
          </w:p>
        </w:tc>
        <w:tc>
          <w:tcPr>
            <w:tcW w:w="80" w:type="dxa"/>
            <w:vAlign w:val="bottom"/>
          </w:tcPr>
          <w:p>
            <w:pPr>
              <w:spacing w:after="0"/>
              <w:rPr>
                <w:sz w:val="14"/>
                <w:szCs w:val="14"/>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31, 2021</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90"/>
              </w:rPr>
              <w:t>31, 2020</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w w:val="90"/>
              </w:rPr>
              <w:t>31, 2021</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w w:val="98"/>
              </w:rPr>
              <w:t>31, 2020</w:t>
            </w:r>
          </w:p>
        </w:tc>
      </w:tr>
      <w:tr>
        <w:trPr>
          <w:trHeight w:val="238"/>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76"/>
        </w:trPr>
        <w:tc>
          <w:tcPr>
            <w:tcW w:w="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Performing</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53,997,090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44,688,039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83,830,273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87,889,768</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$ 105,249,628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110,910,814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243,076,991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243,488,621</w:t>
            </w:r>
          </w:p>
        </w:tc>
      </w:tr>
      <w:tr>
        <w:trPr>
          <w:trHeight w:val="175"/>
        </w:trPr>
        <w:tc>
          <w:tcPr>
            <w:tcW w:w="940" w:type="dxa"/>
            <w:vAlign w:val="bottom"/>
          </w:tcPr>
          <w:p>
            <w:pPr>
              <w:ind w:left="20"/>
              <w:spacing w:after="0"/>
              <w:rPr>
                <w:sz w:val="20"/>
                <w:szCs w:val="20"/>
                <w:color w:val="auto"/>
              </w:rPr>
            </w:pPr>
            <w:r>
              <w:rPr>
                <w:rFonts w:ascii="Arial" w:cs="Arial" w:eastAsia="Arial" w:hAnsi="Arial"/>
                <w:sz w:val="13"/>
                <w:szCs w:val="13"/>
                <w:color w:val="auto"/>
                <w:w w:val="99"/>
              </w:rPr>
              <w:t>Non-performing</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1,068,365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2,148,827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4,436,082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7,932,680</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200,963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200,963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5,705,410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10,282,470</w:t>
            </w:r>
          </w:p>
        </w:tc>
      </w:tr>
      <w:tr>
        <w:trPr>
          <w:trHeight w:val="243"/>
        </w:trPr>
        <w:tc>
          <w:tcPr>
            <w:tcW w:w="9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r>
      <w:tr>
        <w:trPr>
          <w:trHeight w:val="169"/>
        </w:trPr>
        <w:tc>
          <w:tcPr>
            <w:tcW w:w="940" w:type="dxa"/>
            <w:vAlign w:val="bottom"/>
          </w:tcPr>
          <w:p>
            <w:pPr>
              <w:ind w:left="20"/>
              <w:spacing w:after="0"/>
              <w:rPr>
                <w:sz w:val="20"/>
                <w:szCs w:val="20"/>
                <w:color w:val="auto"/>
              </w:rPr>
            </w:pPr>
            <w:r>
              <w:rPr>
                <w:rFonts w:ascii="Arial" w:cs="Arial" w:eastAsia="Arial" w:hAnsi="Arial"/>
                <w:sz w:val="13"/>
                <w:szCs w:val="13"/>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55,065,455</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46,836,866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88,266,355</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95,822,448</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$ 105,450,591</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111,111,777</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248,782,401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253,771,091</w:t>
            </w:r>
          </w:p>
        </w:tc>
      </w:tr>
      <w:tr>
        <w:trPr>
          <w:trHeight w:val="20"/>
        </w:trPr>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Non-Accrual Mortgage Loans Held for Investment</w:t>
      </w:r>
    </w:p>
    <w:p>
      <w:pPr>
        <w:spacing w:after="0" w:line="229" w:lineRule="exact"/>
        <w:rPr>
          <w:sz w:val="20"/>
          <w:szCs w:val="20"/>
          <w:color w:val="auto"/>
        </w:rPr>
      </w:pPr>
    </w:p>
    <w:p>
      <w:pPr>
        <w:jc w:val="both"/>
        <w:ind w:right="79"/>
        <w:spacing w:after="0" w:line="278" w:lineRule="auto"/>
        <w:rPr>
          <w:sz w:val="20"/>
          <w:szCs w:val="20"/>
          <w:color w:val="auto"/>
        </w:rPr>
      </w:pPr>
      <w:r>
        <w:rPr>
          <w:rFonts w:ascii="Arial" w:cs="Arial" w:eastAsia="Arial" w:hAnsi="Arial"/>
          <w:sz w:val="18"/>
          <w:szCs w:val="18"/>
          <w:color w:val="auto"/>
        </w:rPr>
        <w:t>Once a loan is past due 90 days, it is the policy of the Company to end the accrual of interest income on the loan and write off any interest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$321,000 and $491,000 as of March 31, 2021 and December 31, 2020, respectively.</w:t>
      </w:r>
    </w:p>
    <w:p>
      <w:pPr>
        <w:spacing w:after="0" w:line="178" w:lineRule="exact"/>
        <w:rPr>
          <w:sz w:val="20"/>
          <w:szCs w:val="20"/>
          <w:color w:val="auto"/>
        </w:rPr>
      </w:pPr>
    </w:p>
    <w:p>
      <w:pPr>
        <w:ind w:right="799"/>
        <w:spacing w:after="0" w:line="260" w:lineRule="auto"/>
        <w:rPr>
          <w:sz w:val="20"/>
          <w:szCs w:val="20"/>
          <w:color w:val="auto"/>
        </w:rPr>
      </w:pPr>
      <w:r>
        <w:rPr>
          <w:rFonts w:ascii="Arial" w:cs="Arial" w:eastAsia="Arial" w:hAnsi="Arial"/>
          <w:sz w:val="20"/>
          <w:szCs w:val="20"/>
          <w:color w:val="auto"/>
        </w:rPr>
        <w:t>The following is a summary of mortgage loans held for investment on a non-accrual status for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460" w:type="dxa"/>
            <w:vAlign w:val="bottom"/>
            <w:gridSpan w:val="3"/>
          </w:tcPr>
          <w:p>
            <w:pPr>
              <w:ind w:left="120"/>
              <w:spacing w:after="0"/>
              <w:rPr>
                <w:sz w:val="20"/>
                <w:szCs w:val="20"/>
                <w:color w:val="auto"/>
              </w:rPr>
            </w:pPr>
            <w:r>
              <w:rPr>
                <w:rFonts w:ascii="Arial" w:cs="Arial" w:eastAsia="Arial" w:hAnsi="Arial"/>
                <w:sz w:val="18"/>
                <w:szCs w:val="18"/>
                <w:color w:val="auto"/>
              </w:rPr>
              <w:t>As of March 31</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w w:val="98"/>
              </w:rPr>
              <w:t>As of December 31</w:t>
            </w:r>
          </w:p>
        </w:tc>
      </w:tr>
      <w:tr>
        <w:trPr>
          <w:trHeight w:val="237"/>
        </w:trPr>
        <w:tc>
          <w:tcPr>
            <w:tcW w:w="59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r>
      <w:tr>
        <w:trPr>
          <w:trHeight w:val="24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1,068,365</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2,148,827</w:t>
            </w: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3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4,436,082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7,932,680</w:t>
            </w:r>
          </w:p>
        </w:tc>
      </w:tr>
      <w:tr>
        <w:trPr>
          <w:trHeight w:val="24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construction</w:t>
            </w: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200,963</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200,963</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5,705,410</w:t>
            </w:r>
          </w:p>
        </w:tc>
        <w:tc>
          <w:tcPr>
            <w:tcW w:w="80" w:type="dxa"/>
            <w:vAlign w:val="bottom"/>
          </w:tcPr>
          <w:p>
            <w:pPr>
              <w:spacing w:after="0"/>
              <w:rPr>
                <w:sz w:val="21"/>
                <w:szCs w:val="21"/>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10,282,470</w:t>
            </w:r>
          </w:p>
        </w:tc>
      </w:tr>
      <w:tr>
        <w:trPr>
          <w:trHeight w:val="20"/>
        </w:trPr>
        <w:tc>
          <w:tcPr>
            <w:tcW w:w="5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25" w:name="page26"/>
    <w:bookmarkEnd w:id="25"/>
    <w:p>
      <w:pPr>
        <w:jc w:val="center"/>
        <w:ind w:right="79"/>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226" w:lineRule="exact"/>
        <w:rPr>
          <w:sz w:val="20"/>
          <w:szCs w:val="20"/>
          <w:color w:val="auto"/>
        </w:rPr>
      </w:pPr>
    </w:p>
    <w:p>
      <w:pPr>
        <w:ind w:left="360" w:hanging="360"/>
        <w:spacing w:after="0"/>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Loans Held for Sale</w:t>
      </w:r>
    </w:p>
    <w:p>
      <w:pPr>
        <w:spacing w:after="0" w:line="229" w:lineRule="exact"/>
        <w:rPr>
          <w:sz w:val="20"/>
          <w:szCs w:val="20"/>
          <w:color w:val="auto"/>
        </w:rPr>
      </w:pPr>
    </w:p>
    <w:p>
      <w:pPr>
        <w:jc w:val="both"/>
        <w:ind w:right="99"/>
        <w:spacing w:after="0" w:line="260" w:lineRule="auto"/>
        <w:rPr>
          <w:sz w:val="20"/>
          <w:szCs w:val="20"/>
          <w:color w:val="auto"/>
        </w:rPr>
      </w:pPr>
      <w:r>
        <w:rPr>
          <w:rFonts w:ascii="Arial" w:cs="Arial" w:eastAsia="Arial" w:hAnsi="Arial"/>
          <w:sz w:val="19"/>
          <w:szCs w:val="19"/>
          <w:color w:val="auto"/>
        </w:rPr>
        <w:t>The Company has elected the fair value option for loans held for sale. Changes in the fair value of the loans are included in mortgage fee income. Interest income is recorded based on the contractual terms of the loan and in accordance with the Company’s policy on mortgage loans held for investment and is included in mortgage fee income on the condensed consolidated statement of earnings. See Note 8 to the condensed consolidated financial statements for additional disclosures regarding loans held for sale.</w:t>
      </w:r>
    </w:p>
    <w:p>
      <w:pPr>
        <w:spacing w:after="0" w:line="194" w:lineRule="exact"/>
        <w:rPr>
          <w:sz w:val="20"/>
          <w:szCs w:val="20"/>
          <w:color w:val="auto"/>
        </w:rPr>
      </w:pPr>
    </w:p>
    <w:p>
      <w:pPr>
        <w:jc w:val="both"/>
        <w:ind w:right="99"/>
        <w:spacing w:after="0" w:line="260" w:lineRule="auto"/>
        <w:rPr>
          <w:sz w:val="20"/>
          <w:szCs w:val="20"/>
          <w:color w:val="auto"/>
        </w:rPr>
      </w:pPr>
      <w:r>
        <w:rPr>
          <w:rFonts w:ascii="Arial" w:cs="Arial" w:eastAsia="Arial" w:hAnsi="Arial"/>
          <w:sz w:val="20"/>
          <w:szCs w:val="20"/>
          <w:color w:val="auto"/>
        </w:rPr>
        <w:t>The following is a summary of the aggregate fair value and the aggregate unpaid principal balance of loans held for sale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3220" w:type="dxa"/>
            <w:vAlign w:val="bottom"/>
            <w:gridSpan w:val="4"/>
          </w:tcPr>
          <w:p>
            <w:pPr>
              <w:ind w:left="160"/>
              <w:spacing w:after="0"/>
              <w:rPr>
                <w:sz w:val="20"/>
                <w:szCs w:val="20"/>
                <w:color w:val="auto"/>
              </w:rPr>
            </w:pPr>
            <w:r>
              <w:rPr>
                <w:rFonts w:ascii="Arial" w:cs="Arial" w:eastAsia="Arial" w:hAnsi="Arial"/>
                <w:sz w:val="20"/>
                <w:szCs w:val="20"/>
                <w:color w:val="auto"/>
                <w:w w:val="95"/>
              </w:rPr>
              <w:t>As of March 31  As of December 31</w:t>
            </w:r>
          </w:p>
        </w:tc>
        <w:tc>
          <w:tcPr>
            <w:tcW w:w="0" w:type="dxa"/>
            <w:vAlign w:val="bottom"/>
          </w:tcPr>
          <w:p>
            <w:pPr>
              <w:spacing w:after="0"/>
              <w:rPr>
                <w:sz w:val="1"/>
                <w:szCs w:val="1"/>
                <w:color w:val="auto"/>
              </w:rPr>
            </w:pPr>
          </w:p>
        </w:tc>
      </w:tr>
      <w:tr>
        <w:trPr>
          <w:trHeight w:val="255"/>
        </w:trPr>
        <w:tc>
          <w:tcPr>
            <w:tcW w:w="5880" w:type="dxa"/>
            <w:vAlign w:val="bottom"/>
          </w:tcPr>
          <w:p>
            <w:pPr>
              <w:spacing w:after="0"/>
              <w:rPr>
                <w:sz w:val="22"/>
                <w:szCs w:val="22"/>
                <w:color w:val="auto"/>
              </w:rPr>
            </w:pPr>
          </w:p>
        </w:tc>
        <w:tc>
          <w:tcPr>
            <w:tcW w:w="16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2021</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Aggregate fair value</w:t>
            </w:r>
          </w:p>
        </w:tc>
        <w:tc>
          <w:tcPr>
            <w:tcW w:w="16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$ 304,030,372</w:t>
            </w:r>
          </w:p>
        </w:tc>
        <w:tc>
          <w:tcPr>
            <w:tcW w:w="4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422,772,418</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80" w:type="dxa"/>
            <w:vAlign w:val="bottom"/>
          </w:tcPr>
          <w:p>
            <w:pPr>
              <w:ind w:left="20"/>
              <w:spacing w:after="0"/>
              <w:rPr>
                <w:sz w:val="20"/>
                <w:szCs w:val="20"/>
                <w:color w:val="auto"/>
              </w:rPr>
            </w:pPr>
            <w:r>
              <w:rPr>
                <w:rFonts w:ascii="Arial" w:cs="Arial" w:eastAsia="Arial" w:hAnsi="Arial"/>
                <w:sz w:val="20"/>
                <w:szCs w:val="20"/>
                <w:color w:val="auto"/>
              </w:rPr>
              <w:t>Unpaid principal balance</w:t>
            </w:r>
          </w:p>
        </w:tc>
        <w:tc>
          <w:tcPr>
            <w:tcW w:w="1600" w:type="dxa"/>
            <w:vAlign w:val="bottom"/>
          </w:tcPr>
          <w:p>
            <w:pPr>
              <w:jc w:val="right"/>
              <w:ind w:right="21"/>
              <w:spacing w:after="0"/>
              <w:rPr>
                <w:sz w:val="20"/>
                <w:szCs w:val="20"/>
                <w:color w:val="auto"/>
              </w:rPr>
            </w:pPr>
            <w:r>
              <w:rPr>
                <w:rFonts w:ascii="Arial" w:cs="Arial" w:eastAsia="Arial" w:hAnsi="Arial"/>
                <w:sz w:val="20"/>
                <w:szCs w:val="20"/>
                <w:color w:val="auto"/>
              </w:rPr>
              <w:t>294,207,728</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406,407,323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Unrealized gain</w:t>
            </w:r>
          </w:p>
        </w:tc>
        <w:tc>
          <w:tcPr>
            <w:tcW w:w="16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9,822,644</w:t>
            </w: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16,365,095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Mortgage Fee Income</w:t>
      </w:r>
    </w:p>
    <w:p>
      <w:pPr>
        <w:spacing w:after="0" w:line="121" w:lineRule="exact"/>
        <w:rPr>
          <w:sz w:val="20"/>
          <w:szCs w:val="20"/>
          <w:color w:val="auto"/>
        </w:rPr>
      </w:pPr>
    </w:p>
    <w:p>
      <w:pPr>
        <w:jc w:val="both"/>
        <w:ind w:right="79"/>
        <w:spacing w:after="0" w:line="260" w:lineRule="auto"/>
        <w:rPr>
          <w:sz w:val="20"/>
          <w:szCs w:val="20"/>
          <w:color w:val="auto"/>
        </w:rPr>
      </w:pPr>
      <w:r>
        <w:rPr>
          <w:rFonts w:ascii="Arial" w:cs="Arial" w:eastAsia="Arial" w:hAnsi="Arial"/>
          <w:sz w:val="20"/>
          <w:szCs w:val="20"/>
          <w:color w:val="auto"/>
        </w:rPr>
        <w:t>Mortgage fee income consists of origination fees, processing fees, interest income and certain other income related to the origination and sale of mortgage loans held for sale.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Major categories of mortgage fee income for loans held for sale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20"/>
                <w:szCs w:val="20"/>
                <w:color w:val="auto"/>
                <w:w w:val="90"/>
              </w:rPr>
              <w:t>Three Months Ended March 31</w:t>
            </w:r>
          </w:p>
        </w:tc>
      </w:tr>
      <w:tr>
        <w:trPr>
          <w:trHeight w:val="252"/>
        </w:trPr>
        <w:tc>
          <w:tcPr>
            <w:tcW w:w="59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2021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2020</w:t>
            </w:r>
          </w:p>
        </w:tc>
      </w:tr>
      <w:tr>
        <w:trPr>
          <w:trHeight w:val="253"/>
        </w:trPr>
        <w:tc>
          <w:tcPr>
            <w:tcW w:w="5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Loan fees</w:t>
            </w: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9,539,956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8,916,153</w:t>
            </w:r>
          </w:p>
        </w:tc>
      </w:tr>
      <w:tr>
        <w:trPr>
          <w:trHeight w:val="253"/>
        </w:trPr>
        <w:tc>
          <w:tcPr>
            <w:tcW w:w="5960" w:type="dxa"/>
            <w:vAlign w:val="bottom"/>
          </w:tcPr>
          <w:p>
            <w:pPr>
              <w:ind w:left="20"/>
              <w:spacing w:after="0"/>
              <w:rPr>
                <w:sz w:val="20"/>
                <w:szCs w:val="20"/>
                <w:color w:val="auto"/>
              </w:rPr>
            </w:pPr>
            <w:r>
              <w:rPr>
                <w:rFonts w:ascii="Arial" w:cs="Arial" w:eastAsia="Arial" w:hAnsi="Arial"/>
                <w:sz w:val="20"/>
                <w:szCs w:val="20"/>
                <w:color w:val="auto"/>
              </w:rPr>
              <w:t>Interest income</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2,311,802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181"/>
              <w:spacing w:after="0"/>
              <w:rPr>
                <w:sz w:val="20"/>
                <w:szCs w:val="20"/>
                <w:color w:val="auto"/>
              </w:rPr>
            </w:pPr>
            <w:r>
              <w:rPr>
                <w:rFonts w:ascii="Arial" w:cs="Arial" w:eastAsia="Arial" w:hAnsi="Arial"/>
                <w:sz w:val="20"/>
                <w:szCs w:val="20"/>
                <w:color w:val="auto"/>
              </w:rPr>
              <w:t>1,680,459</w:t>
            </w:r>
          </w:p>
        </w:tc>
      </w:tr>
      <w:tr>
        <w:trPr>
          <w:trHeight w:val="260"/>
        </w:trPr>
        <w:tc>
          <w:tcPr>
            <w:tcW w:w="5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Secondary gains</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68,438,933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99"/>
              </w:rPr>
              <w:t>26,641,492</w:t>
            </w:r>
          </w:p>
        </w:tc>
      </w:tr>
      <w:tr>
        <w:trPr>
          <w:trHeight w:val="253"/>
        </w:trPr>
        <w:tc>
          <w:tcPr>
            <w:tcW w:w="5960" w:type="dxa"/>
            <w:vAlign w:val="bottom"/>
          </w:tcPr>
          <w:p>
            <w:pPr>
              <w:ind w:left="20"/>
              <w:spacing w:after="0"/>
              <w:rPr>
                <w:sz w:val="20"/>
                <w:szCs w:val="20"/>
                <w:color w:val="auto"/>
              </w:rPr>
            </w:pPr>
            <w:r>
              <w:rPr>
                <w:rFonts w:ascii="Arial" w:cs="Arial" w:eastAsia="Arial" w:hAnsi="Arial"/>
                <w:sz w:val="20"/>
                <w:szCs w:val="20"/>
                <w:color w:val="auto"/>
              </w:rPr>
              <w:t>Change in fair value of loan commitments</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314,466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181"/>
              <w:spacing w:after="0"/>
              <w:rPr>
                <w:sz w:val="20"/>
                <w:szCs w:val="20"/>
                <w:color w:val="auto"/>
              </w:rPr>
            </w:pPr>
            <w:r>
              <w:rPr>
                <w:rFonts w:ascii="Arial" w:cs="Arial" w:eastAsia="Arial" w:hAnsi="Arial"/>
                <w:sz w:val="20"/>
                <w:szCs w:val="20"/>
                <w:color w:val="auto"/>
              </w:rPr>
              <w:t>3,275,032</w:t>
            </w:r>
          </w:p>
        </w:tc>
      </w:tr>
      <w:tr>
        <w:trPr>
          <w:trHeight w:val="260"/>
        </w:trPr>
        <w:tc>
          <w:tcPr>
            <w:tcW w:w="5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Change in fair value of loans held for sale</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(6,945,882)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381,734</w:t>
            </w:r>
          </w:p>
        </w:tc>
      </w:tr>
      <w:tr>
        <w:trPr>
          <w:trHeight w:val="253"/>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Provision for loan loss reserve</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(660,663)</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(613,109)</w:t>
            </w: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Mortgage fee income</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9"/>
              </w:rPr>
              <w:t>72,998,612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99"/>
              </w:rPr>
              <w:t>40,281,761</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 Loss Reserve</w:t>
      </w:r>
    </w:p>
    <w:p>
      <w:pPr>
        <w:spacing w:after="0" w:line="229" w:lineRule="exact"/>
        <w:rPr>
          <w:sz w:val="20"/>
          <w:szCs w:val="20"/>
          <w:color w:val="auto"/>
        </w:rPr>
      </w:pPr>
    </w:p>
    <w:p>
      <w:pPr>
        <w:jc w:val="both"/>
        <w:ind w:right="99"/>
        <w:spacing w:after="0" w:line="257" w:lineRule="auto"/>
        <w:rPr>
          <w:sz w:val="20"/>
          <w:szCs w:val="20"/>
          <w:color w:val="auto"/>
        </w:rPr>
      </w:pPr>
      <w:r>
        <w:rPr>
          <w:rFonts w:ascii="Arial" w:cs="Arial" w:eastAsia="Arial" w:hAnsi="Arial"/>
          <w:sz w:val="19"/>
          <w:szCs w:val="19"/>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26" w:name="page27"/>
    <w:bookmarkEnd w:id="26"/>
    <w:p>
      <w:pPr>
        <w:jc w:val="center"/>
        <w:ind w:right="79"/>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118" w:lineRule="exact"/>
        <w:rPr>
          <w:sz w:val="20"/>
          <w:szCs w:val="20"/>
          <w:color w:val="auto"/>
        </w:rPr>
      </w:pPr>
    </w:p>
    <w:p>
      <w:pPr>
        <w:ind w:left="480" w:hanging="480"/>
        <w:spacing w:after="0"/>
        <w:tabs>
          <w:tab w:leader="none" w:pos="48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Loans Held for Sale</w:t>
      </w:r>
      <w:r>
        <w:rPr>
          <w:rFonts w:ascii="Arial" w:cs="Arial" w:eastAsia="Arial" w:hAnsi="Arial"/>
          <w:sz w:val="20"/>
          <w:szCs w:val="20"/>
          <w:color w:val="auto"/>
        </w:rPr>
        <w:t xml:space="preserve">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loan loss reserve that is included in other liabilities and accrued expenses: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60" w:type="dxa"/>
            <w:vAlign w:val="bottom"/>
            <w:gridSpan w:val="3"/>
          </w:tcPr>
          <w:p>
            <w:pPr>
              <w:ind w:left="120"/>
              <w:spacing w:after="0"/>
              <w:rPr>
                <w:sz w:val="20"/>
                <w:szCs w:val="20"/>
                <w:color w:val="auto"/>
              </w:rPr>
            </w:pPr>
            <w:r>
              <w:rPr>
                <w:rFonts w:ascii="Arial" w:cs="Arial" w:eastAsia="Arial" w:hAnsi="Arial"/>
                <w:sz w:val="18"/>
                <w:szCs w:val="18"/>
                <w:color w:val="auto"/>
              </w:rPr>
              <w:t>As of March 31</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w w:val="98"/>
              </w:rPr>
              <w:t>As of December 31</w:t>
            </w:r>
          </w:p>
        </w:tc>
      </w:tr>
      <w:tr>
        <w:trPr>
          <w:trHeight w:val="237"/>
        </w:trPr>
        <w:tc>
          <w:tcPr>
            <w:tcW w:w="1940" w:type="dxa"/>
            <w:vAlign w:val="bottom"/>
            <w:tcBorders>
              <w:bottom w:val="single" w:sz="8" w:color="CCEEFF"/>
            </w:tcBorders>
          </w:tcPr>
          <w:p>
            <w:pPr>
              <w:spacing w:after="0"/>
              <w:rPr>
                <w:sz w:val="20"/>
                <w:szCs w:val="20"/>
                <w:color w:val="auto"/>
              </w:rPr>
            </w:pPr>
          </w:p>
        </w:tc>
        <w:tc>
          <w:tcPr>
            <w:tcW w:w="40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r>
      <w:tr>
        <w:trPr>
          <w:trHeight w:val="24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20,583,618</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4,046,288</w:t>
            </w:r>
          </w:p>
        </w:tc>
      </w:tr>
      <w:tr>
        <w:trPr>
          <w:trHeight w:val="237"/>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Provision on current loan originations (1)</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660,663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4,938,214</w:t>
            </w:r>
          </w:p>
        </w:tc>
      </w:tr>
      <w:tr>
        <w:trPr>
          <w:trHeight w:val="24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provision for loan loss reserve</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16,506,030</w:t>
            </w:r>
          </w:p>
        </w:tc>
      </w:tr>
      <w:tr>
        <w:trPr>
          <w:trHeight w:val="237"/>
        </w:trPr>
        <w:tc>
          <w:tcPr>
            <w:tcW w:w="5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Charge-offs, net of recaptured amounts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(19,039,298)</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(4,906,914)</w:t>
            </w:r>
          </w:p>
        </w:tc>
      </w:tr>
      <w:tr>
        <w:trPr>
          <w:trHeight w:val="243"/>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2,204,983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20,583,618</w:t>
            </w:r>
          </w:p>
        </w:tc>
      </w:tr>
      <w:tr>
        <w:trPr>
          <w:trHeight w:val="20"/>
        </w:trPr>
        <w:tc>
          <w:tcPr>
            <w:tcW w:w="19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4"/>
        </w:trPr>
        <w:tc>
          <w:tcPr>
            <w:tcW w:w="1940" w:type="dxa"/>
            <w:vAlign w:val="bottom"/>
            <w:tcBorders>
              <w:bottom w:val="single" w:sz="8" w:color="auto"/>
            </w:tcBorders>
          </w:tcPr>
          <w:p>
            <w:pPr>
              <w:spacing w:after="0"/>
              <w:rPr>
                <w:sz w:val="3"/>
                <w:szCs w:val="3"/>
                <w:color w:val="auto"/>
              </w:rPr>
            </w:pPr>
          </w:p>
        </w:tc>
        <w:tc>
          <w:tcPr>
            <w:tcW w:w="4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4"/>
        </w:trPr>
        <w:tc>
          <w:tcPr>
            <w:tcW w:w="5960" w:type="dxa"/>
            <w:vAlign w:val="bottom"/>
            <w:gridSpan w:val="2"/>
          </w:tcPr>
          <w:p>
            <w:pPr>
              <w:spacing w:after="0"/>
              <w:rPr>
                <w:sz w:val="20"/>
                <w:szCs w:val="20"/>
                <w:color w:val="auto"/>
              </w:rPr>
            </w:pPr>
            <w:r>
              <w:rPr>
                <w:rFonts w:ascii="Arial" w:cs="Arial" w:eastAsia="Arial" w:hAnsi="Arial"/>
                <w:sz w:val="18"/>
                <w:szCs w:val="18"/>
                <w:color w:val="auto"/>
              </w:rPr>
              <w:t>(1) Included in mortgage fee income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198" w:lineRule="exact"/>
        <w:rPr>
          <w:sz w:val="20"/>
          <w:szCs w:val="20"/>
          <w:color w:val="auto"/>
        </w:rPr>
      </w:pPr>
    </w:p>
    <w:p>
      <w:pPr>
        <w:jc w:val="both"/>
        <w:ind w:right="79"/>
        <w:spacing w:after="0" w:line="270" w:lineRule="auto"/>
        <w:rPr>
          <w:sz w:val="20"/>
          <w:szCs w:val="20"/>
          <w:color w:val="auto"/>
        </w:rPr>
      </w:pPr>
      <w:r>
        <w:rPr>
          <w:rFonts w:ascii="Arial" w:cs="Arial" w:eastAsia="Arial" w:hAnsi="Arial"/>
          <w:sz w:val="18"/>
          <w:szCs w:val="18"/>
          <w:color w:val="auto"/>
        </w:rPr>
        <w:t>The Company maintains reserves for estimated losses on current production volumes. For the three months ended March 31, 2021, $660,663 in reserves were added at a rate of 4.5 basis points per loan, the equivalent of $450 per $1,000,000 in loans originated. This is an increase over the three months ended March 31, 2020, when reserves were added at a rate of 2.5 basis points per loan originated, the equivalent of $250 per $1,000,000 in loans originated. The Company also increased its loan loss reserve for the year ended December 31, 2020 by an additional $16,506,030 to account for changes in estimates specific to settlements of loan losses. See Note 11 for additional information regarding mortgage loan loss settlements. The economic impact of COVID-19 and subsequent government action has increased the potential for losses due to early payoff penalties and potential for losses due to increased delinquency. The unique nature of these current events creates significant difficulty for forecasting potential future losses. The Company will continue to monitor data and economic conditions in order to maintain adequate loss reserves on current production. Thus, the Company believes that the final loan loss reserve as of March 31, 2021, represents its best estimate for adequate loss reserves on loans sold.</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27" w:name="page28"/>
    <w:bookmarkEnd w:id="27"/>
    <w:p>
      <w:pPr>
        <w:jc w:val="center"/>
        <w:ind w:right="79"/>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226" w:lineRule="exact"/>
        <w:rPr>
          <w:sz w:val="20"/>
          <w:szCs w:val="20"/>
          <w:color w:val="auto"/>
        </w:rPr>
      </w:pPr>
    </w:p>
    <w:p>
      <w:pPr>
        <w:ind w:left="480" w:hanging="480"/>
        <w:spacing w:after="0"/>
        <w:tabs>
          <w:tab w:leader="none" w:pos="48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Stock Compensation Plans</w:t>
      </w:r>
    </w:p>
    <w:p>
      <w:pPr>
        <w:spacing w:after="0" w:line="229" w:lineRule="exact"/>
        <w:rPr>
          <w:sz w:val="20"/>
          <w:szCs w:val="20"/>
          <w:color w:val="auto"/>
        </w:rPr>
      </w:pPr>
    </w:p>
    <w:p>
      <w:pPr>
        <w:jc w:val="both"/>
        <w:ind w:right="99"/>
        <w:spacing w:after="0" w:line="246" w:lineRule="auto"/>
        <w:rPr>
          <w:sz w:val="20"/>
          <w:szCs w:val="20"/>
          <w:color w:val="auto"/>
        </w:rPr>
      </w:pPr>
      <w:r>
        <w:rPr>
          <w:rFonts w:ascii="Arial" w:cs="Arial" w:eastAsia="Arial" w:hAnsi="Arial"/>
          <w:sz w:val="20"/>
          <w:szCs w:val="20"/>
          <w:color w:val="auto"/>
        </w:rPr>
        <w:t>The Company has two fixed option plans (the “2013 Plan” and the “2014 Director Plan”). Compensation expense for options issued of $39,153 and $65,877 has been recognized for these plans for the three months ended March 31, 2021 and 2020, respectively. As of March 31, 2021, the total unrecognized compensation expense related to the options issued was $-0-.</w:t>
      </w:r>
    </w:p>
    <w:p>
      <w:pPr>
        <w:spacing w:after="0" w:line="205" w:lineRule="exact"/>
        <w:rPr>
          <w:sz w:val="20"/>
          <w:szCs w:val="20"/>
          <w:color w:val="auto"/>
        </w:rPr>
      </w:pPr>
    </w:p>
    <w:p>
      <w:pPr>
        <w:jc w:val="both"/>
        <w:ind w:right="79"/>
        <w:spacing w:after="0" w:line="260" w:lineRule="auto"/>
        <w:rPr>
          <w:sz w:val="20"/>
          <w:szCs w:val="20"/>
          <w:color w:val="auto"/>
        </w:rPr>
      </w:pPr>
      <w:r>
        <w:rPr>
          <w:rFonts w:ascii="Arial" w:cs="Arial" w:eastAsia="Arial" w:hAnsi="Arial"/>
          <w:sz w:val="19"/>
          <w:szCs w:val="19"/>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94" w:lineRule="exact"/>
        <w:rPr>
          <w:sz w:val="20"/>
          <w:szCs w:val="20"/>
          <w:color w:val="auto"/>
        </w:rPr>
      </w:pPr>
    </w:p>
    <w:p>
      <w:pPr>
        <w:jc w:val="both"/>
        <w:ind w:right="79"/>
        <w:spacing w:after="0" w:line="260" w:lineRule="auto"/>
        <w:rPr>
          <w:sz w:val="20"/>
          <w:szCs w:val="20"/>
          <w:color w:val="auto"/>
        </w:rPr>
      </w:pPr>
      <w:r>
        <w:rPr>
          <w:rFonts w:ascii="Arial" w:cs="Arial" w:eastAsia="Arial" w:hAnsi="Arial"/>
          <w:sz w:val="20"/>
          <w:szCs w:val="20"/>
          <w:color w:val="auto"/>
        </w:rPr>
        <w:t>A summary of the status of the Company’s stock compensation plans as of March 31, 2021, and the changes during the three months ended March 31, 2021, are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Weighted</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Weighted</w:t>
            </w:r>
          </w:p>
        </w:tc>
      </w:tr>
      <w:tr>
        <w:trPr>
          <w:trHeight w:val="216"/>
        </w:trPr>
        <w:tc>
          <w:tcPr>
            <w:tcW w:w="19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90"/>
              <w:spacing w:after="0"/>
              <w:rPr>
                <w:sz w:val="20"/>
                <w:szCs w:val="20"/>
                <w:color w:val="auto"/>
              </w:rPr>
            </w:pPr>
            <w:r>
              <w:rPr>
                <w:rFonts w:ascii="Arial" w:cs="Arial" w:eastAsia="Arial" w:hAnsi="Arial"/>
                <w:sz w:val="18"/>
                <w:szCs w:val="18"/>
                <w:color w:val="auto"/>
                <w:w w:val="89"/>
              </w:rPr>
              <w:t>Average</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Average</w:t>
            </w:r>
          </w:p>
        </w:tc>
      </w:tr>
      <w:tr>
        <w:trPr>
          <w:trHeight w:val="216"/>
        </w:trPr>
        <w:tc>
          <w:tcPr>
            <w:tcW w:w="19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5"/>
              </w:rPr>
              <w:t>Number of</w:t>
            </w:r>
          </w:p>
        </w:tc>
        <w:tc>
          <w:tcPr>
            <w:tcW w:w="240" w:type="dxa"/>
            <w:vAlign w:val="bottom"/>
          </w:tcPr>
          <w:p>
            <w:pPr>
              <w:spacing w:after="0"/>
              <w:rPr>
                <w:sz w:val="18"/>
                <w:szCs w:val="18"/>
                <w:color w:val="auto"/>
              </w:rPr>
            </w:pP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color w:val="auto"/>
                <w:w w:val="89"/>
              </w:rPr>
              <w:t>Exercise</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c>
          <w:tcPr>
            <w:tcW w:w="2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Exercise</w:t>
            </w:r>
          </w:p>
        </w:tc>
      </w:tr>
      <w:tr>
        <w:trPr>
          <w:trHeight w:val="237"/>
        </w:trPr>
        <w:tc>
          <w:tcPr>
            <w:tcW w:w="19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Class A Shares</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color w:val="auto"/>
                <w:w w:val="87"/>
              </w:rPr>
              <w:t>Price</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4"/>
              </w:rPr>
              <w:t>Class C Shares</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Price</w:t>
            </w:r>
          </w:p>
        </w:tc>
      </w:tr>
      <w:tr>
        <w:trPr>
          <w:trHeight w:val="243"/>
        </w:trPr>
        <w:tc>
          <w:tcPr>
            <w:tcW w:w="19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1,072,863</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4.33</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662,666</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Adjustment for effect of stock dividends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Exercised</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(32,925)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83"/>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Outstanding at March 31, 2021</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1,039,938</w:t>
            </w:r>
          </w:p>
        </w:tc>
        <w:tc>
          <w:tcPr>
            <w:tcW w:w="5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rPr>
              <w:t>4.34</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662,666</w:t>
            </w:r>
          </w:p>
        </w:tc>
        <w:tc>
          <w:tcPr>
            <w:tcW w:w="5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4.73</w:t>
            </w:r>
          </w:p>
        </w:tc>
      </w:tr>
      <w:tr>
        <w:trPr>
          <w:trHeight w:val="223"/>
        </w:trPr>
        <w:tc>
          <w:tcPr>
            <w:tcW w:w="194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As of March 31, 2021:</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exercisable</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1,039,938</w:t>
            </w:r>
          </w:p>
        </w:tc>
        <w:tc>
          <w:tcPr>
            <w:tcW w:w="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4.34</w:t>
            </w: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662,666</w:t>
            </w:r>
          </w:p>
        </w:tc>
        <w:tc>
          <w:tcPr>
            <w:tcW w:w="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0"/>
        </w:trPr>
        <w:tc>
          <w:tcPr>
            <w:tcW w:w="1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9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March 31, 2021:</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83"/>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Available options for future grant</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330,371</w:t>
            </w:r>
          </w:p>
        </w:tc>
        <w:tc>
          <w:tcPr>
            <w:tcW w:w="2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266,500</w:t>
            </w:r>
          </w:p>
        </w:tc>
        <w:tc>
          <w:tcPr>
            <w:tcW w:w="2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r>
      <w:tr>
        <w:trPr>
          <w:trHeight w:val="223"/>
        </w:trPr>
        <w:tc>
          <w:tcPr>
            <w:tcW w:w="194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Weighted average contractual term of options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at March 31, 2021</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5"/>
              </w:rPr>
              <w:t>6.28years</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6.71years</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contractual term of options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7"/>
        </w:trPr>
        <w:tc>
          <w:tcPr>
            <w:tcW w:w="4140" w:type="dxa"/>
            <w:vAlign w:val="bottom"/>
            <w:gridSpan w:val="2"/>
          </w:tcPr>
          <w:p>
            <w:pPr>
              <w:ind w:left="200"/>
              <w:spacing w:after="0"/>
              <w:rPr>
                <w:sz w:val="20"/>
                <w:szCs w:val="20"/>
                <w:color w:val="auto"/>
              </w:rPr>
            </w:pPr>
            <w:r>
              <w:rPr>
                <w:rFonts w:ascii="Arial" w:cs="Arial" w:eastAsia="Arial" w:hAnsi="Arial"/>
                <w:sz w:val="18"/>
                <w:szCs w:val="18"/>
                <w:color w:val="auto"/>
              </w:rPr>
              <w:t>exercisable at March 31, 2021</w:t>
            </w:r>
          </w:p>
        </w:tc>
        <w:tc>
          <w:tcPr>
            <w:tcW w:w="20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85"/>
              </w:rPr>
              <w:t>6.28years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8"/>
              </w:rPr>
              <w:t>6.71years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194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Aggregated intrinsic value of options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4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outstanding at March 31, 2021 (1)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5,212,677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3,059,620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
        </w:trPr>
        <w:tc>
          <w:tcPr>
            <w:tcW w:w="1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19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Aggregated intrinsic value of options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43"/>
        </w:trPr>
        <w:tc>
          <w:tcPr>
            <w:tcW w:w="4140" w:type="dxa"/>
            <w:vAlign w:val="bottom"/>
            <w:gridSpan w:val="2"/>
          </w:tcPr>
          <w:p>
            <w:pPr>
              <w:ind w:left="200"/>
              <w:spacing w:after="0"/>
              <w:rPr>
                <w:sz w:val="20"/>
                <w:szCs w:val="20"/>
                <w:color w:val="auto"/>
              </w:rPr>
            </w:pPr>
            <w:r>
              <w:rPr>
                <w:rFonts w:ascii="Arial" w:cs="Arial" w:eastAsia="Arial" w:hAnsi="Arial"/>
                <w:sz w:val="18"/>
                <w:szCs w:val="18"/>
                <w:color w:val="auto"/>
              </w:rPr>
              <w:t>exercisable at March 31, 2021 (1)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5,212,677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3,059,620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0"/>
        </w:trPr>
        <w:tc>
          <w:tcPr>
            <w:tcW w:w="1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5"/>
        </w:trPr>
        <w:tc>
          <w:tcPr>
            <w:tcW w:w="1940" w:type="dxa"/>
            <w:vAlign w:val="bottom"/>
            <w:tcBorders>
              <w:bottom w:val="single" w:sz="8" w:color="auto"/>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r>
    </w:tbl>
    <w:p>
      <w:pPr>
        <w:ind w:left="260" w:hanging="260"/>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used a stock price of $9.35 as of March 31, 2021 to derive intrinsic value.</w:t>
      </w:r>
    </w:p>
    <w:p>
      <w:pPr>
        <w:spacing w:after="0" w:line="235"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28" w:name="page29"/>
    <w:bookmarkEnd w:id="28"/>
    <w:p>
      <w:pPr>
        <w:jc w:val="center"/>
        <w:ind w:right="79"/>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118" w:lineRule="exact"/>
        <w:rPr>
          <w:sz w:val="20"/>
          <w:szCs w:val="20"/>
          <w:color w:val="auto"/>
        </w:rPr>
      </w:pPr>
    </w:p>
    <w:p>
      <w:pPr>
        <w:ind w:left="480" w:hanging="480"/>
        <w:spacing w:after="0"/>
        <w:tabs>
          <w:tab w:leader="none" w:pos="48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Stock Compensation Plans</w:t>
      </w:r>
      <w:r>
        <w:rPr>
          <w:rFonts w:ascii="Arial" w:cs="Arial" w:eastAsia="Arial" w:hAnsi="Arial"/>
          <w:sz w:val="20"/>
          <w:szCs w:val="20"/>
          <w:color w:val="auto"/>
        </w:rPr>
        <w:t xml:space="preserve"> (Continued)</w:t>
      </w:r>
    </w:p>
    <w:p>
      <w:pPr>
        <w:spacing w:after="0" w:line="256" w:lineRule="exact"/>
        <w:rPr>
          <w:sz w:val="20"/>
          <w:szCs w:val="20"/>
          <w:color w:val="auto"/>
        </w:rPr>
      </w:pPr>
    </w:p>
    <w:p>
      <w:pPr>
        <w:jc w:val="both"/>
        <w:ind w:right="79"/>
        <w:spacing w:after="0" w:line="260" w:lineRule="auto"/>
        <w:rPr>
          <w:sz w:val="20"/>
          <w:szCs w:val="20"/>
          <w:color w:val="auto"/>
        </w:rPr>
      </w:pPr>
      <w:r>
        <w:rPr>
          <w:rFonts w:ascii="Arial" w:cs="Arial" w:eastAsia="Arial" w:hAnsi="Arial"/>
          <w:sz w:val="20"/>
          <w:szCs w:val="20"/>
          <w:color w:val="auto"/>
        </w:rPr>
        <w:t>A summary of the status of the Company’s stock compensation plans as of March 31, 2020, and the changes during the three months ended March 31, 2020, are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Weighted</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Weighted</w:t>
            </w:r>
          </w:p>
        </w:tc>
      </w:tr>
      <w:tr>
        <w:trPr>
          <w:trHeight w:val="216"/>
        </w:trPr>
        <w:tc>
          <w:tcPr>
            <w:tcW w:w="19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90"/>
              <w:spacing w:after="0"/>
              <w:rPr>
                <w:sz w:val="20"/>
                <w:szCs w:val="20"/>
                <w:color w:val="auto"/>
              </w:rPr>
            </w:pPr>
            <w:r>
              <w:rPr>
                <w:rFonts w:ascii="Arial" w:cs="Arial" w:eastAsia="Arial" w:hAnsi="Arial"/>
                <w:sz w:val="18"/>
                <w:szCs w:val="18"/>
                <w:color w:val="auto"/>
                <w:w w:val="89"/>
              </w:rPr>
              <w:t>Average</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Average</w:t>
            </w:r>
          </w:p>
        </w:tc>
      </w:tr>
      <w:tr>
        <w:trPr>
          <w:trHeight w:val="216"/>
        </w:trPr>
        <w:tc>
          <w:tcPr>
            <w:tcW w:w="19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5"/>
              </w:rPr>
              <w:t>Number of</w:t>
            </w:r>
          </w:p>
        </w:tc>
        <w:tc>
          <w:tcPr>
            <w:tcW w:w="240" w:type="dxa"/>
            <w:vAlign w:val="bottom"/>
          </w:tcPr>
          <w:p>
            <w:pPr>
              <w:spacing w:after="0"/>
              <w:rPr>
                <w:sz w:val="18"/>
                <w:szCs w:val="18"/>
                <w:color w:val="auto"/>
              </w:rPr>
            </w:pP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color w:val="auto"/>
                <w:w w:val="89"/>
              </w:rPr>
              <w:t>Exercise</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c>
          <w:tcPr>
            <w:tcW w:w="2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Exercise</w:t>
            </w:r>
          </w:p>
        </w:tc>
      </w:tr>
      <w:tr>
        <w:trPr>
          <w:trHeight w:val="237"/>
        </w:trPr>
        <w:tc>
          <w:tcPr>
            <w:tcW w:w="19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Class A Shares</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color w:val="auto"/>
                <w:w w:val="87"/>
              </w:rPr>
              <w:t>Price</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4"/>
              </w:rPr>
              <w:t>Class C Shares</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Price</w:t>
            </w:r>
          </w:p>
        </w:tc>
      </w:tr>
      <w:tr>
        <w:trPr>
          <w:trHeight w:val="243"/>
        </w:trPr>
        <w:tc>
          <w:tcPr>
            <w:tcW w:w="19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1,086,053</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4.41</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594,132</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Adjustment for effect of stock dividends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Exercised</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(42,294)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83"/>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Outstanding at March 31, 2020</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1,082,088</w:t>
            </w:r>
          </w:p>
        </w:tc>
        <w:tc>
          <w:tcPr>
            <w:tcW w:w="5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rPr>
              <w:t>4.44</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684,132</w:t>
            </w:r>
          </w:p>
        </w:tc>
        <w:tc>
          <w:tcPr>
            <w:tcW w:w="5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5.15</w:t>
            </w:r>
          </w:p>
        </w:tc>
      </w:tr>
      <w:tr>
        <w:trPr>
          <w:trHeight w:val="223"/>
        </w:trPr>
        <w:tc>
          <w:tcPr>
            <w:tcW w:w="194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As of March 31, 2020:</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exercisable</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985,366</w:t>
            </w:r>
          </w:p>
        </w:tc>
        <w:tc>
          <w:tcPr>
            <w:tcW w:w="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4.42</w:t>
            </w:r>
          </w:p>
        </w:tc>
        <w:tc>
          <w:tcPr>
            <w:tcW w:w="3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452,381</w:t>
            </w:r>
          </w:p>
        </w:tc>
        <w:tc>
          <w:tcPr>
            <w:tcW w:w="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0"/>
        </w:trPr>
        <w:tc>
          <w:tcPr>
            <w:tcW w:w="1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19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March 31, 2020:</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83"/>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Available options for future grant</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97,218</w:t>
            </w:r>
          </w:p>
        </w:tc>
        <w:tc>
          <w:tcPr>
            <w:tcW w:w="2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r>
      <w:tr>
        <w:trPr>
          <w:trHeight w:val="224"/>
        </w:trPr>
        <w:tc>
          <w:tcPr>
            <w:tcW w:w="194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Weighted average contractual term of options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at March 31, 2020</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5"/>
              </w:rPr>
              <w:t>5.57years</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5.96years</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contractual term of options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7"/>
        </w:trPr>
        <w:tc>
          <w:tcPr>
            <w:tcW w:w="4140" w:type="dxa"/>
            <w:vAlign w:val="bottom"/>
            <w:gridSpan w:val="2"/>
          </w:tcPr>
          <w:p>
            <w:pPr>
              <w:ind w:left="200"/>
              <w:spacing w:after="0"/>
              <w:rPr>
                <w:sz w:val="20"/>
                <w:szCs w:val="20"/>
                <w:color w:val="auto"/>
              </w:rPr>
            </w:pPr>
            <w:r>
              <w:rPr>
                <w:rFonts w:ascii="Arial" w:cs="Arial" w:eastAsia="Arial" w:hAnsi="Arial"/>
                <w:sz w:val="18"/>
                <w:szCs w:val="18"/>
                <w:color w:val="auto"/>
              </w:rPr>
              <w:t>exercisable at March 31, 2020</w:t>
            </w:r>
          </w:p>
        </w:tc>
        <w:tc>
          <w:tcPr>
            <w:tcW w:w="20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85"/>
              </w:rPr>
              <w:t>5.16years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8"/>
              </w:rPr>
              <w:t>4.70years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194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Aggregated intrinsic value of options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4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outstanding at March 31, 2020 (1)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489,237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
        </w:trPr>
        <w:tc>
          <w:tcPr>
            <w:tcW w:w="1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19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Aggregated intrinsic value of options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43"/>
        </w:trPr>
        <w:tc>
          <w:tcPr>
            <w:tcW w:w="4140" w:type="dxa"/>
            <w:vAlign w:val="bottom"/>
            <w:gridSpan w:val="2"/>
          </w:tcPr>
          <w:p>
            <w:pPr>
              <w:ind w:left="200"/>
              <w:spacing w:after="0"/>
              <w:rPr>
                <w:sz w:val="20"/>
                <w:szCs w:val="20"/>
                <w:color w:val="auto"/>
              </w:rPr>
            </w:pPr>
            <w:r>
              <w:rPr>
                <w:rFonts w:ascii="Arial" w:cs="Arial" w:eastAsia="Arial" w:hAnsi="Arial"/>
                <w:sz w:val="18"/>
                <w:szCs w:val="18"/>
                <w:color w:val="auto"/>
              </w:rPr>
              <w:t>exercisable at March 31, 2020 (1)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471,642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0"/>
        </w:trPr>
        <w:tc>
          <w:tcPr>
            <w:tcW w:w="1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4"/>
        </w:trPr>
        <w:tc>
          <w:tcPr>
            <w:tcW w:w="1940" w:type="dxa"/>
            <w:vAlign w:val="bottom"/>
            <w:tcBorders>
              <w:bottom w:val="single" w:sz="8" w:color="auto"/>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r>
    </w:tbl>
    <w:p>
      <w:pPr>
        <w:spacing w:after="0"/>
        <w:rPr>
          <w:sz w:val="20"/>
          <w:szCs w:val="20"/>
          <w:color w:val="auto"/>
        </w:rPr>
      </w:pPr>
      <w:r>
        <w:rPr>
          <w:rFonts w:ascii="Arial" w:cs="Arial" w:eastAsia="Arial" w:hAnsi="Arial"/>
          <w:sz w:val="18"/>
          <w:szCs w:val="18"/>
          <w:color w:val="auto"/>
        </w:rPr>
        <w:t>(1) The Company used a stock price of $4.27 as of March 31, 2020 to derive intrinsic value.</w:t>
      </w:r>
    </w:p>
    <w:p>
      <w:pPr>
        <w:spacing w:after="0" w:line="222" w:lineRule="exact"/>
        <w:rPr>
          <w:sz w:val="20"/>
          <w:szCs w:val="20"/>
          <w:color w:val="auto"/>
        </w:rPr>
      </w:pPr>
    </w:p>
    <w:p>
      <w:pPr>
        <w:jc w:val="both"/>
        <w:ind w:right="79"/>
        <w:spacing w:after="0" w:line="250" w:lineRule="auto"/>
        <w:rPr>
          <w:sz w:val="20"/>
          <w:szCs w:val="20"/>
          <w:color w:val="auto"/>
        </w:rPr>
      </w:pPr>
      <w:r>
        <w:rPr>
          <w:rFonts w:ascii="Arial" w:cs="Arial" w:eastAsia="Arial" w:hAnsi="Arial"/>
          <w:sz w:val="20"/>
          <w:szCs w:val="20"/>
          <w:color w:val="auto"/>
        </w:rPr>
        <w:t>The total intrinsic value (which is the amount by which the fair value of the underlying stock exceeds the exercise price of an option on the exercise date) of stock options exercised during the three months March 31, 2021 and 2020 was $139,035 and $73,072, respectively.</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159"/>
          </w:cols>
          <w:pgMar w:left="1300" w:top="352" w:right="1440" w:bottom="1440" w:gutter="0" w:footer="0" w:header="0"/>
        </w:sectPr>
      </w:pPr>
    </w:p>
    <w:bookmarkStart w:id="29" w:name="page30"/>
    <w:bookmarkEnd w:id="29"/>
    <w:p>
      <w:pPr>
        <w:jc w:val="center"/>
        <w:ind w:left="1220" w:right="132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227" w:lineRule="exact"/>
        <w:rPr>
          <w:sz w:val="20"/>
          <w:szCs w:val="20"/>
          <w:color w:val="auto"/>
        </w:rPr>
      </w:pPr>
    </w:p>
    <w:tbl>
      <w:tblPr>
        <w:tblLayout w:type="fixed"/>
        <w:tblInd w:w="1" w:type="dxa"/>
        <w:tblCellMar>
          <w:top w:w="0" w:type="dxa"/>
          <w:left w:w="0" w:type="dxa"/>
          <w:bottom w:w="0" w:type="dxa"/>
          <w:right w:w="0" w:type="dxa"/>
        </w:tblCellMar>
      </w:tblPr>
      <w:tr>
        <w:trPr>
          <w:trHeight w:val="233"/>
        </w:trPr>
        <w:tc>
          <w:tcPr>
            <w:tcW w:w="160" w:type="dxa"/>
            <w:vAlign w:val="bottom"/>
          </w:tcPr>
          <w:p>
            <w:pPr>
              <w:spacing w:after="0"/>
              <w:rPr>
                <w:sz w:val="20"/>
                <w:szCs w:val="20"/>
                <w:color w:val="auto"/>
              </w:rPr>
            </w:pPr>
            <w:r>
              <w:rPr>
                <w:rFonts w:ascii="Arial" w:cs="Arial" w:eastAsia="Arial" w:hAnsi="Arial"/>
                <w:sz w:val="20"/>
                <w:szCs w:val="20"/>
                <w:color w:val="auto"/>
                <w:w w:val="78"/>
              </w:rPr>
              <w:t>6)</w:t>
            </w:r>
          </w:p>
        </w:tc>
        <w:tc>
          <w:tcPr>
            <w:tcW w:w="3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20"/>
                <w:szCs w:val="20"/>
                <w:color w:val="auto"/>
              </w:rPr>
              <w:t>Earnings Per Share</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480" w:type="dxa"/>
            <w:vAlign w:val="bottom"/>
            <w:gridSpan w:val="2"/>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7"/>
        </w:trPr>
        <w:tc>
          <w:tcPr>
            <w:tcW w:w="6260" w:type="dxa"/>
            <w:vAlign w:val="bottom"/>
            <w:gridSpan w:val="4"/>
          </w:tcPr>
          <w:p>
            <w:pPr>
              <w:spacing w:after="0"/>
              <w:rPr>
                <w:sz w:val="20"/>
                <w:szCs w:val="20"/>
                <w:color w:val="auto"/>
              </w:rPr>
            </w:pPr>
            <w:r>
              <w:rPr>
                <w:rFonts w:ascii="Arial" w:cs="Arial" w:eastAsia="Arial" w:hAnsi="Arial"/>
                <w:sz w:val="20"/>
                <w:szCs w:val="20"/>
                <w:color w:val="auto"/>
                <w:w w:val="90"/>
              </w:rPr>
              <w:t>The basic and diluted earnings per share amounts were calculated as follows: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41"/>
        </w:trPr>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gridSpan w:val="4"/>
          </w:tcPr>
          <w:p>
            <w:pPr>
              <w:jc w:val="right"/>
              <w:ind w:right="590"/>
              <w:spacing w:after="0"/>
              <w:rPr>
                <w:sz w:val="20"/>
                <w:szCs w:val="20"/>
                <w:color w:val="auto"/>
              </w:rPr>
            </w:pPr>
            <w:r>
              <w:rPr>
                <w:rFonts w:ascii="Arial" w:cs="Arial" w:eastAsia="Arial" w:hAnsi="Arial"/>
                <w:sz w:val="18"/>
                <w:szCs w:val="18"/>
                <w:color w:val="auto"/>
              </w:rPr>
              <w:t>Three Months Ended</w:t>
            </w:r>
          </w:p>
        </w:tc>
      </w:tr>
      <w:tr>
        <w:trPr>
          <w:trHeight w:val="237"/>
        </w:trPr>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March 31</w:t>
            </w:r>
          </w:p>
        </w:tc>
        <w:tc>
          <w:tcPr>
            <w:tcW w:w="960" w:type="dxa"/>
            <w:vAlign w:val="bottom"/>
            <w:tcBorders>
              <w:bottom w:val="single" w:sz="8" w:color="auto"/>
            </w:tcBorders>
          </w:tcPr>
          <w:p>
            <w:pPr>
              <w:spacing w:after="0"/>
              <w:rPr>
                <w:sz w:val="20"/>
                <w:szCs w:val="20"/>
                <w:color w:val="auto"/>
              </w:rPr>
            </w:pPr>
          </w:p>
        </w:tc>
      </w:tr>
      <w:tr>
        <w:trPr>
          <w:trHeight w:val="237"/>
        </w:trPr>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243"/>
        </w:trPr>
        <w:tc>
          <w:tcPr>
            <w:tcW w:w="62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83"/>
        </w:trPr>
        <w:tc>
          <w:tcPr>
            <w:tcW w:w="160" w:type="dxa"/>
            <w:vAlign w:val="bottom"/>
            <w:tcBorders>
              <w:bottom w:val="single" w:sz="8" w:color="CCEEFF"/>
            </w:tcBorders>
          </w:tcPr>
          <w:p>
            <w:pPr>
              <w:spacing w:after="0"/>
              <w:rPr>
                <w:sz w:val="24"/>
                <w:szCs w:val="24"/>
                <w:color w:val="auto"/>
              </w:rPr>
            </w:pPr>
          </w:p>
        </w:tc>
        <w:tc>
          <w:tcPr>
            <w:tcW w:w="6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earnings</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12,128,715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1,424,449</w:t>
            </w:r>
          </w:p>
        </w:tc>
      </w:tr>
      <w:tr>
        <w:trPr>
          <w:trHeight w:val="223"/>
        </w:trPr>
        <w:tc>
          <w:tcPr>
            <w:tcW w:w="62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160" w:type="dxa"/>
            <w:vAlign w:val="bottom"/>
            <w:tcBorders>
              <w:bottom w:val="single" w:sz="8" w:color="CCEEFF"/>
            </w:tcBorders>
          </w:tcPr>
          <w:p>
            <w:pPr>
              <w:spacing w:after="0"/>
              <w:rPr>
                <w:sz w:val="20"/>
                <w:szCs w:val="20"/>
                <w:color w:val="auto"/>
              </w:rPr>
            </w:pPr>
          </w:p>
        </w:tc>
        <w:tc>
          <w:tcPr>
            <w:tcW w:w="6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19,124,001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18,641,950</w:t>
            </w:r>
          </w:p>
        </w:tc>
      </w:tr>
      <w:tr>
        <w:trPr>
          <w:trHeight w:val="243"/>
        </w:trPr>
        <w:tc>
          <w:tcPr>
            <w:tcW w:w="62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7"/>
        </w:trPr>
        <w:tc>
          <w:tcPr>
            <w:tcW w:w="160" w:type="dxa"/>
            <w:vAlign w:val="bottom"/>
          </w:tcPr>
          <w:p>
            <w:pPr>
              <w:spacing w:after="0"/>
              <w:rPr>
                <w:sz w:val="20"/>
                <w:szCs w:val="20"/>
                <w:color w:val="auto"/>
              </w:rPr>
            </w:pPr>
          </w:p>
        </w:tc>
        <w:tc>
          <w:tcPr>
            <w:tcW w:w="6100" w:type="dxa"/>
            <w:vAlign w:val="bottom"/>
            <w:gridSpan w:val="3"/>
          </w:tcPr>
          <w:p>
            <w:pPr>
              <w:ind w:left="20"/>
              <w:spacing w:after="0"/>
              <w:rPr>
                <w:sz w:val="20"/>
                <w:szCs w:val="20"/>
                <w:color w:val="auto"/>
              </w:rPr>
            </w:pPr>
            <w:r>
              <w:rPr>
                <w:rFonts w:ascii="Arial" w:cs="Arial" w:eastAsia="Arial" w:hAnsi="Arial"/>
                <w:sz w:val="18"/>
                <w:szCs w:val="18"/>
                <w:color w:val="auto"/>
              </w:rPr>
              <w:t>Employee stock options</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884,049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191,446</w:t>
            </w:r>
          </w:p>
        </w:tc>
      </w:tr>
      <w:tr>
        <w:trPr>
          <w:trHeight w:val="249"/>
        </w:trPr>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4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r>
      <w:tr>
        <w:trPr>
          <w:trHeight w:val="277"/>
        </w:trPr>
        <w:tc>
          <w:tcPr>
            <w:tcW w:w="160" w:type="dxa"/>
            <w:vAlign w:val="bottom"/>
            <w:tcBorders>
              <w:bottom w:val="single" w:sz="8" w:color="CCEEFF"/>
            </w:tcBorders>
          </w:tcPr>
          <w:p>
            <w:pPr>
              <w:spacing w:after="0"/>
              <w:rPr>
                <w:sz w:val="24"/>
                <w:szCs w:val="24"/>
                <w:color w:val="auto"/>
              </w:rPr>
            </w:pPr>
          </w:p>
        </w:tc>
        <w:tc>
          <w:tcPr>
            <w:tcW w:w="6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20,008,050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18,833,396</w:t>
            </w:r>
          </w:p>
        </w:tc>
      </w:tr>
      <w:tr>
        <w:trPr>
          <w:trHeight w:val="223"/>
        </w:trPr>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83"/>
        </w:trPr>
        <w:tc>
          <w:tcPr>
            <w:tcW w:w="62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Basic net earnings per share</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r>
      <w:tr>
        <w:trPr>
          <w:trHeight w:val="223"/>
        </w:trPr>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6260" w:type="dxa"/>
            <w:vAlign w:val="bottom"/>
            <w:gridSpan w:val="4"/>
          </w:tcPr>
          <w:p>
            <w:pPr>
              <w:ind w:left="20"/>
              <w:spacing w:after="0"/>
              <w:rPr>
                <w:sz w:val="20"/>
                <w:szCs w:val="20"/>
                <w:color w:val="auto"/>
              </w:rPr>
            </w:pPr>
            <w:r>
              <w:rPr>
                <w:rFonts w:ascii="Arial" w:cs="Arial" w:eastAsia="Arial" w:hAnsi="Arial"/>
                <w:sz w:val="18"/>
                <w:szCs w:val="18"/>
                <w:color w:val="auto"/>
              </w:rPr>
              <w:t>Diluted net earnings per share</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left="1" w:right="159"/>
        <w:spacing w:after="0" w:line="244" w:lineRule="auto"/>
        <w:rPr>
          <w:sz w:val="20"/>
          <w:szCs w:val="20"/>
          <w:color w:val="auto"/>
        </w:rPr>
      </w:pPr>
      <w:r>
        <w:rPr>
          <w:rFonts w:ascii="Arial" w:cs="Arial" w:eastAsia="Arial" w:hAnsi="Arial"/>
          <w:sz w:val="20"/>
          <w:szCs w:val="20"/>
          <w:color w:val="auto"/>
        </w:rPr>
        <w:t>Net earnings per share amounts have been retroactively adjusted for the effect of annual stock dividends. For the three months March 31, 2021 and 2020, there were -0- and 1,316,506 of anti-dilutive employee stock option shares, respectively, that were not included in the computation of diluted net earnings per common share as their effect would be anti-dilutive. Basic and diluted earnings per share amounts are the same for each class of common stock.</w:t>
      </w:r>
    </w:p>
    <w:p>
      <w:pPr>
        <w:spacing w:after="0" w:line="208"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following table summarizes the activity in shares of capital stock for the periods presented:</w:t>
      </w:r>
    </w:p>
    <w:p>
      <w:pPr>
        <w:spacing w:after="0" w:line="242" w:lineRule="exact"/>
        <w:rPr>
          <w:sz w:val="20"/>
          <w:szCs w:val="20"/>
          <w:color w:val="auto"/>
        </w:rPr>
      </w:pPr>
    </w:p>
    <w:tbl>
      <w:tblPr>
        <w:tblLayout w:type="fixed"/>
        <w:tblInd w:w="1" w:type="dxa"/>
        <w:tblCellMar>
          <w:top w:w="0" w:type="dxa"/>
          <w:left w:w="0" w:type="dxa"/>
          <w:bottom w:w="0" w:type="dxa"/>
          <w:right w:w="0" w:type="dxa"/>
        </w:tblCellMar>
      </w:tblPr>
      <w:tr>
        <w:trPr>
          <w:trHeight w:val="227"/>
        </w:trPr>
        <w:tc>
          <w:tcPr>
            <w:tcW w:w="5780" w:type="dxa"/>
            <w:vAlign w:val="bottom"/>
          </w:tcPr>
          <w:p>
            <w:pPr>
              <w:spacing w:after="0"/>
              <w:rPr>
                <w:sz w:val="19"/>
                <w:szCs w:val="19"/>
                <w:color w:val="auto"/>
              </w:rPr>
            </w:pPr>
          </w:p>
        </w:tc>
        <w:tc>
          <w:tcPr>
            <w:tcW w:w="1800" w:type="dxa"/>
            <w:vAlign w:val="bottom"/>
            <w:gridSpan w:val="2"/>
          </w:tcPr>
          <w:p>
            <w:pPr>
              <w:ind w:left="360"/>
              <w:spacing w:after="0"/>
              <w:rPr>
                <w:sz w:val="20"/>
                <w:szCs w:val="20"/>
                <w:color w:val="auto"/>
              </w:rPr>
            </w:pPr>
            <w:r>
              <w:rPr>
                <w:rFonts w:ascii="Arial" w:cs="Arial" w:eastAsia="Arial" w:hAnsi="Arial"/>
                <w:sz w:val="17"/>
                <w:szCs w:val="17"/>
                <w:color w:val="auto"/>
              </w:rPr>
              <w:t>Class A</w:t>
            </w:r>
          </w:p>
        </w:tc>
        <w:tc>
          <w:tcPr>
            <w:tcW w:w="1500" w:type="dxa"/>
            <w:vAlign w:val="bottom"/>
          </w:tcPr>
          <w:p>
            <w:pPr>
              <w:jc w:val="right"/>
              <w:ind w:right="515"/>
              <w:spacing w:after="0"/>
              <w:rPr>
                <w:sz w:val="20"/>
                <w:szCs w:val="20"/>
                <w:color w:val="auto"/>
              </w:rPr>
            </w:pPr>
            <w:r>
              <w:rPr>
                <w:rFonts w:ascii="Arial" w:cs="Arial" w:eastAsia="Arial" w:hAnsi="Arial"/>
                <w:sz w:val="17"/>
                <w:szCs w:val="17"/>
                <w:color w:val="auto"/>
              </w:rPr>
              <w:t>Class C</w:t>
            </w:r>
          </w:p>
        </w:tc>
      </w:tr>
      <w:tr>
        <w:trPr>
          <w:trHeight w:val="250"/>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shares at December 31, 2019</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16,107,779</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2,500,887</w:t>
            </w:r>
          </w:p>
        </w:tc>
      </w:tr>
      <w:tr>
        <w:trPr>
          <w:trHeight w:val="216"/>
        </w:trPr>
        <w:tc>
          <w:tcPr>
            <w:tcW w:w="5780" w:type="dxa"/>
            <w:vAlign w:val="bottom"/>
          </w:tcPr>
          <w:p>
            <w:pPr>
              <w:ind w:left="180"/>
              <w:spacing w:after="0"/>
              <w:rPr>
                <w:sz w:val="20"/>
                <w:szCs w:val="20"/>
                <w:color w:val="auto"/>
              </w:rPr>
            </w:pPr>
            <w:r>
              <w:rPr>
                <w:rFonts w:ascii="Arial" w:cs="Arial" w:eastAsia="Arial" w:hAnsi="Arial"/>
                <w:sz w:val="17"/>
                <w:szCs w:val="17"/>
                <w:color w:val="auto"/>
              </w:rPr>
              <w:t>Exercise of stock options</w:t>
            </w:r>
          </w:p>
        </w:tc>
        <w:tc>
          <w:tcPr>
            <w:tcW w:w="1500" w:type="dxa"/>
            <w:vAlign w:val="bottom"/>
          </w:tcPr>
          <w:p>
            <w:pPr>
              <w:jc w:val="right"/>
              <w:spacing w:after="0"/>
              <w:rPr>
                <w:sz w:val="20"/>
                <w:szCs w:val="20"/>
                <w:color w:val="auto"/>
              </w:rPr>
            </w:pPr>
            <w:r>
              <w:rPr>
                <w:rFonts w:ascii="Arial" w:cs="Arial" w:eastAsia="Arial" w:hAnsi="Arial"/>
                <w:sz w:val="17"/>
                <w:szCs w:val="17"/>
                <w:color w:val="auto"/>
              </w:rPr>
              <w:t>22,411</w:t>
            </w:r>
          </w:p>
        </w:tc>
        <w:tc>
          <w:tcPr>
            <w:tcW w:w="30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7"/>
                <w:szCs w:val="17"/>
                <w:color w:val="auto"/>
              </w:rPr>
              <w:t>-</w:t>
            </w:r>
          </w:p>
        </w:tc>
      </w:tr>
      <w:tr>
        <w:trPr>
          <w:trHeight w:val="54"/>
        </w:trPr>
        <w:tc>
          <w:tcPr>
            <w:tcW w:w="57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 dividends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404,839</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61,720</w:t>
            </w:r>
          </w:p>
        </w:tc>
      </w:tr>
      <w:tr>
        <w:trPr>
          <w:trHeight w:val="216"/>
        </w:trPr>
        <w:tc>
          <w:tcPr>
            <w:tcW w:w="5780" w:type="dxa"/>
            <w:vAlign w:val="bottom"/>
          </w:tcPr>
          <w:p>
            <w:pPr>
              <w:ind w:left="180"/>
              <w:spacing w:after="0"/>
              <w:rPr>
                <w:sz w:val="20"/>
                <w:szCs w:val="20"/>
                <w:color w:val="auto"/>
              </w:rPr>
            </w:pPr>
            <w:r>
              <w:rPr>
                <w:rFonts w:ascii="Arial" w:cs="Arial" w:eastAsia="Arial" w:hAnsi="Arial"/>
                <w:sz w:val="17"/>
                <w:szCs w:val="17"/>
                <w:color w:val="auto"/>
              </w:rPr>
              <w:t>Conversion of Class C to Class A</w:t>
            </w:r>
          </w:p>
        </w:tc>
        <w:tc>
          <w:tcPr>
            <w:tcW w:w="1500" w:type="dxa"/>
            <w:vAlign w:val="bottom"/>
          </w:tcPr>
          <w:p>
            <w:pPr>
              <w:jc w:val="right"/>
              <w:spacing w:after="0"/>
              <w:rPr>
                <w:sz w:val="20"/>
                <w:szCs w:val="20"/>
                <w:color w:val="auto"/>
              </w:rPr>
            </w:pPr>
            <w:r>
              <w:rPr>
                <w:rFonts w:ascii="Arial" w:cs="Arial" w:eastAsia="Arial" w:hAnsi="Arial"/>
                <w:sz w:val="17"/>
                <w:szCs w:val="17"/>
                <w:color w:val="auto"/>
              </w:rPr>
              <w:t>11,162</w:t>
            </w:r>
          </w:p>
        </w:tc>
        <w:tc>
          <w:tcPr>
            <w:tcW w:w="300" w:type="dxa"/>
            <w:vAlign w:val="bottom"/>
          </w:tcPr>
          <w:p>
            <w:pPr>
              <w:spacing w:after="0"/>
              <w:rPr>
                <w:sz w:val="18"/>
                <w:szCs w:val="18"/>
                <w:color w:val="auto"/>
              </w:rPr>
            </w:pPr>
          </w:p>
        </w:tc>
        <w:tc>
          <w:tcPr>
            <w:tcW w:w="1500" w:type="dxa"/>
            <w:vAlign w:val="bottom"/>
          </w:tcPr>
          <w:p>
            <w:pPr>
              <w:jc w:val="right"/>
              <w:ind w:right="15"/>
              <w:spacing w:after="0"/>
              <w:rPr>
                <w:sz w:val="20"/>
                <w:szCs w:val="20"/>
                <w:color w:val="auto"/>
              </w:rPr>
            </w:pPr>
            <w:r>
              <w:rPr>
                <w:rFonts w:ascii="Arial" w:cs="Arial" w:eastAsia="Arial" w:hAnsi="Arial"/>
                <w:sz w:val="17"/>
                <w:szCs w:val="17"/>
                <w:color w:val="auto"/>
              </w:rPr>
              <w:t>(11,162)</w:t>
            </w:r>
          </w:p>
        </w:tc>
      </w:tr>
      <w:tr>
        <w:trPr>
          <w:trHeight w:val="54"/>
        </w:trPr>
        <w:tc>
          <w:tcPr>
            <w:tcW w:w="578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6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shares at March 31, 2020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16,546,191</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2,551,445</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shares at December 31, 2020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16,595,783</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2,679,603</w:t>
            </w:r>
          </w:p>
        </w:tc>
      </w:tr>
      <w:tr>
        <w:trPr>
          <w:trHeight w:val="216"/>
        </w:trPr>
        <w:tc>
          <w:tcPr>
            <w:tcW w:w="5780" w:type="dxa"/>
            <w:vAlign w:val="bottom"/>
          </w:tcPr>
          <w:p>
            <w:pPr>
              <w:ind w:left="180"/>
              <w:spacing w:after="0"/>
              <w:rPr>
                <w:sz w:val="20"/>
                <w:szCs w:val="20"/>
                <w:color w:val="auto"/>
              </w:rPr>
            </w:pPr>
            <w:r>
              <w:rPr>
                <w:rFonts w:ascii="Arial" w:cs="Arial" w:eastAsia="Arial" w:hAnsi="Arial"/>
                <w:sz w:val="17"/>
                <w:szCs w:val="17"/>
                <w:color w:val="auto"/>
              </w:rPr>
              <w:t>Exercise of stock options</w:t>
            </w:r>
          </w:p>
        </w:tc>
        <w:tc>
          <w:tcPr>
            <w:tcW w:w="1500" w:type="dxa"/>
            <w:vAlign w:val="bottom"/>
          </w:tcPr>
          <w:p>
            <w:pPr>
              <w:jc w:val="right"/>
              <w:spacing w:after="0"/>
              <w:rPr>
                <w:sz w:val="20"/>
                <w:szCs w:val="20"/>
                <w:color w:val="auto"/>
              </w:rPr>
            </w:pPr>
            <w:r>
              <w:rPr>
                <w:rFonts w:ascii="Arial" w:cs="Arial" w:eastAsia="Arial" w:hAnsi="Arial"/>
                <w:sz w:val="17"/>
                <w:szCs w:val="17"/>
                <w:color w:val="auto"/>
              </w:rPr>
              <w:t>27,926</w:t>
            </w:r>
          </w:p>
        </w:tc>
        <w:tc>
          <w:tcPr>
            <w:tcW w:w="30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7"/>
                <w:szCs w:val="17"/>
                <w:color w:val="auto"/>
              </w:rPr>
              <w:t>-</w:t>
            </w:r>
          </w:p>
        </w:tc>
      </w:tr>
      <w:tr>
        <w:trPr>
          <w:trHeight w:val="54"/>
        </w:trPr>
        <w:tc>
          <w:tcPr>
            <w:tcW w:w="57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 dividends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r>
      <w:tr>
        <w:trPr>
          <w:trHeight w:val="216"/>
        </w:trPr>
        <w:tc>
          <w:tcPr>
            <w:tcW w:w="5780" w:type="dxa"/>
            <w:vAlign w:val="bottom"/>
          </w:tcPr>
          <w:p>
            <w:pPr>
              <w:ind w:left="180"/>
              <w:spacing w:after="0"/>
              <w:rPr>
                <w:sz w:val="20"/>
                <w:szCs w:val="20"/>
                <w:color w:val="auto"/>
              </w:rPr>
            </w:pPr>
            <w:r>
              <w:rPr>
                <w:rFonts w:ascii="Arial" w:cs="Arial" w:eastAsia="Arial" w:hAnsi="Arial"/>
                <w:sz w:val="17"/>
                <w:szCs w:val="17"/>
                <w:color w:val="auto"/>
              </w:rPr>
              <w:t>Conversion of Class C to Class A</w:t>
            </w:r>
          </w:p>
        </w:tc>
        <w:tc>
          <w:tcPr>
            <w:tcW w:w="1500" w:type="dxa"/>
            <w:vAlign w:val="bottom"/>
          </w:tcPr>
          <w:p>
            <w:pPr>
              <w:jc w:val="right"/>
              <w:spacing w:after="0"/>
              <w:rPr>
                <w:sz w:val="20"/>
                <w:szCs w:val="20"/>
                <w:color w:val="auto"/>
              </w:rPr>
            </w:pPr>
            <w:r>
              <w:rPr>
                <w:rFonts w:ascii="Arial" w:cs="Arial" w:eastAsia="Arial" w:hAnsi="Arial"/>
                <w:sz w:val="17"/>
                <w:szCs w:val="17"/>
                <w:color w:val="auto"/>
              </w:rPr>
              <w:t>48,527</w:t>
            </w:r>
          </w:p>
        </w:tc>
        <w:tc>
          <w:tcPr>
            <w:tcW w:w="300" w:type="dxa"/>
            <w:vAlign w:val="bottom"/>
          </w:tcPr>
          <w:p>
            <w:pPr>
              <w:spacing w:after="0"/>
              <w:rPr>
                <w:sz w:val="18"/>
                <w:szCs w:val="18"/>
                <w:color w:val="auto"/>
              </w:rPr>
            </w:pPr>
          </w:p>
        </w:tc>
        <w:tc>
          <w:tcPr>
            <w:tcW w:w="1500" w:type="dxa"/>
            <w:vAlign w:val="bottom"/>
          </w:tcPr>
          <w:p>
            <w:pPr>
              <w:jc w:val="right"/>
              <w:ind w:right="15"/>
              <w:spacing w:after="0"/>
              <w:rPr>
                <w:sz w:val="20"/>
                <w:szCs w:val="20"/>
                <w:color w:val="auto"/>
              </w:rPr>
            </w:pPr>
            <w:r>
              <w:rPr>
                <w:rFonts w:ascii="Arial" w:cs="Arial" w:eastAsia="Arial" w:hAnsi="Arial"/>
                <w:sz w:val="17"/>
                <w:szCs w:val="17"/>
                <w:color w:val="auto"/>
              </w:rPr>
              <w:t>(48,527)</w:t>
            </w:r>
          </w:p>
        </w:tc>
      </w:tr>
      <w:tr>
        <w:trPr>
          <w:trHeight w:val="54"/>
        </w:trPr>
        <w:tc>
          <w:tcPr>
            <w:tcW w:w="578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6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shares at March 31, 2021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16,672,236</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2,631,076</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1" w:right="5319" w:hanging="1"/>
        <w:spacing w:after="0" w:line="532" w:lineRule="auto"/>
        <w:tabs>
          <w:tab w:leader="none" w:pos="48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Business Segment Information Description of Products and Services by Segment</w:t>
      </w:r>
    </w:p>
    <w:p>
      <w:pPr>
        <w:jc w:val="both"/>
        <w:ind w:left="1" w:right="159"/>
        <w:spacing w:after="0" w:line="272" w:lineRule="auto"/>
        <w:rPr>
          <w:sz w:val="20"/>
          <w:szCs w:val="20"/>
          <w:color w:val="auto"/>
        </w:rPr>
      </w:pPr>
      <w:r>
        <w:rPr>
          <w:rFonts w:ascii="Arial" w:cs="Arial" w:eastAsia="Arial" w:hAnsi="Arial"/>
          <w:sz w:val="18"/>
          <w:szCs w:val="18"/>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ectPr>
          <w:pgSz w:w="11900" w:h="16838" w:orient="portrait"/>
          <w:cols w:equalWidth="0" w:num="1">
            <w:col w:w="9240"/>
          </w:cols>
          <w:pgMar w:left="1219" w:top="121" w:right="1440" w:bottom="1440" w:gutter="0" w:footer="0" w:header="0"/>
        </w:sectPr>
      </w:pPr>
    </w:p>
    <w:p>
      <w:pPr>
        <w:spacing w:after="0" w:line="197" w:lineRule="exact"/>
        <w:rPr>
          <w:sz w:val="20"/>
          <w:szCs w:val="20"/>
          <w:color w:val="auto"/>
        </w:rPr>
      </w:pPr>
    </w:p>
    <w:p>
      <w:pPr>
        <w:jc w:val="center"/>
        <w:ind w:right="158"/>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57607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1" w:right="1440" w:bottom="1440" w:gutter="0" w:footer="0" w:header="0"/>
          <w:type w:val="continuous"/>
        </w:sectPr>
      </w:pPr>
    </w:p>
    <w:bookmarkStart w:id="30" w:name="page31"/>
    <w:bookmarkEnd w:id="30"/>
    <w:p>
      <w:pPr>
        <w:jc w:val="center"/>
        <w:ind w:right="158"/>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92" w:lineRule="exact"/>
        <w:rPr>
          <w:sz w:val="20"/>
          <w:szCs w:val="20"/>
          <w:color w:val="auto"/>
        </w:rPr>
      </w:pPr>
    </w:p>
    <w:p>
      <w:pPr>
        <w:ind w:left="1" w:right="4419" w:hanging="1"/>
        <w:spacing w:after="0" w:line="616" w:lineRule="auto"/>
        <w:tabs>
          <w:tab w:leader="none" w:pos="48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Business Segment Information</w:t>
      </w:r>
      <w:r>
        <w:rPr>
          <w:rFonts w:ascii="Arial" w:cs="Arial" w:eastAsia="Arial" w:hAnsi="Arial"/>
          <w:sz w:val="16"/>
          <w:szCs w:val="16"/>
          <w:color w:val="auto"/>
        </w:rPr>
        <w:t xml:space="preserve"> (Continued) </w:t>
      </w:r>
      <w:r>
        <w:rPr>
          <w:rFonts w:ascii="Arial" w:cs="Arial" w:eastAsia="Arial" w:hAnsi="Arial"/>
          <w:sz w:val="16"/>
          <w:szCs w:val="16"/>
          <w:u w:val="single" w:color="auto"/>
          <w:color w:val="auto"/>
        </w:rPr>
        <w:t>Measurement of Segment Profit or Loss and Segment Assets</w:t>
      </w:r>
    </w:p>
    <w:p>
      <w:pPr>
        <w:spacing w:after="0" w:line="1" w:lineRule="exact"/>
        <w:rPr>
          <w:sz w:val="20"/>
          <w:szCs w:val="20"/>
          <w:color w:val="auto"/>
        </w:rPr>
      </w:pPr>
    </w:p>
    <w:p>
      <w:pPr>
        <w:jc w:val="both"/>
        <w:ind w:left="1" w:right="179"/>
        <w:spacing w:after="0" w:line="269" w:lineRule="auto"/>
        <w:rPr>
          <w:sz w:val="20"/>
          <w:szCs w:val="20"/>
          <w:color w:val="auto"/>
        </w:rPr>
      </w:pPr>
      <w:r>
        <w:rPr>
          <w:rFonts w:ascii="Arial" w:cs="Arial" w:eastAsia="Arial" w:hAnsi="Arial"/>
          <w:sz w:val="19"/>
          <w:szCs w:val="19"/>
          <w:color w:val="auto"/>
        </w:rPr>
        <w:t>The accounting policies of the reportable segments are the same as those described in the Significant Accounting Principles of the Form 10-K for the year ended December 31, 2020. Intersegment revenues are recorded at cost plus an agreed upon intercompany profit, and are eliminated upon consolidation.</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Factors Management Used to Identify the Enterprise’s Reportable Segments</w:t>
      </w:r>
    </w:p>
    <w:p>
      <w:pPr>
        <w:spacing w:after="0" w:line="229" w:lineRule="exact"/>
        <w:rPr>
          <w:sz w:val="20"/>
          <w:szCs w:val="20"/>
          <w:color w:val="auto"/>
        </w:rPr>
      </w:pPr>
    </w:p>
    <w:p>
      <w:pPr>
        <w:jc w:val="both"/>
        <w:ind w:left="1" w:right="179"/>
        <w:spacing w:after="0" w:line="342" w:lineRule="auto"/>
        <w:rPr>
          <w:sz w:val="20"/>
          <w:szCs w:val="20"/>
          <w:color w:val="auto"/>
        </w:rPr>
      </w:pPr>
      <w:r>
        <w:rPr>
          <w:rFonts w:ascii="Arial" w:cs="Arial" w:eastAsia="Arial" w:hAnsi="Arial"/>
          <w:sz w:val="16"/>
          <w:szCs w:val="16"/>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47"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Cemetery/</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Intercompany</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color w:val="auto"/>
              </w:rPr>
              <w:t>Life Insurance</w:t>
            </w:r>
          </w:p>
        </w:tc>
        <w:tc>
          <w:tcPr>
            <w:tcW w:w="22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Mortuary</w:t>
            </w:r>
          </w:p>
        </w:tc>
        <w:tc>
          <w:tcPr>
            <w:tcW w:w="20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Eliminations</w:t>
            </w: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43"/>
        </w:trPr>
        <w:tc>
          <w:tcPr>
            <w:tcW w:w="28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For the Three Months Ended</w:t>
            </w:r>
          </w:p>
        </w:tc>
        <w:tc>
          <w:tcPr>
            <w:tcW w:w="10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March 31, 2021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38,943,834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6,999,265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76,715,507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122,658,606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1,902,052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77,507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(2,140,575)</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Segment profit before income taxes</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2,695,028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2,700,945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10,959,082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16,355,055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1,174,305,180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57,269,639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337,524,300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(84,391,181)</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1,484,707,938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2,765,570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754,018</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3,519,588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1,177,070,750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58,023,657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337,524,300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(84,391,181)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1,488,227,526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For the Three Months Ended</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March 31, 2020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33,205,762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4,013,696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42,389,491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79,608,949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908,168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103,514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200,332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(1,212,014)</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Segment profit before income taxes</w:t>
            </w: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(3,069,167)</w:t>
            </w: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104,801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4,438,600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1,474,234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1,124,244,140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79,695,043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278,195,425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(109,493,359)</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1,372,641,249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2,765,570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754,018</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3,519,588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1,127,009,710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80,449,061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278,195,425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(109,493,359)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1,376,160,837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ind w:right="158"/>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1" w:right="1440" w:bottom="1440" w:gutter="0" w:footer="0" w:header="0"/>
        </w:sectPr>
      </w:pPr>
    </w:p>
    <w:bookmarkStart w:id="31" w:name="page32"/>
    <w:bookmarkEnd w:id="31"/>
    <w:p>
      <w:pPr>
        <w:jc w:val="center"/>
        <w:ind w:left="1220" w:right="132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227" w:lineRule="exact"/>
        <w:rPr>
          <w:sz w:val="20"/>
          <w:szCs w:val="20"/>
          <w:color w:val="auto"/>
        </w:rPr>
      </w:pPr>
    </w:p>
    <w:p>
      <w:pPr>
        <w:ind w:left="481" w:hanging="481"/>
        <w:spacing w:after="0"/>
        <w:tabs>
          <w:tab w:leader="none" w:pos="481"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p>
    <w:p>
      <w:pPr>
        <w:spacing w:after="0" w:line="229" w:lineRule="exact"/>
        <w:rPr>
          <w:sz w:val="20"/>
          <w:szCs w:val="20"/>
          <w:color w:val="auto"/>
        </w:rPr>
      </w:pPr>
    </w:p>
    <w:p>
      <w:pPr>
        <w:jc w:val="both"/>
        <w:ind w:left="1" w:right="179"/>
        <w:spacing w:after="0" w:line="259" w:lineRule="auto"/>
        <w:rPr>
          <w:sz w:val="20"/>
          <w:szCs w:val="20"/>
          <w:color w:val="auto"/>
        </w:rPr>
      </w:pPr>
      <w:r>
        <w:rPr>
          <w:rFonts w:ascii="Arial" w:cs="Arial" w:eastAsia="Arial" w:hAnsi="Arial"/>
          <w:sz w:val="19"/>
          <w:szCs w:val="19"/>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92" w:lineRule="exact"/>
        <w:rPr>
          <w:sz w:val="20"/>
          <w:szCs w:val="20"/>
          <w:color w:val="auto"/>
        </w:rPr>
      </w:pPr>
    </w:p>
    <w:p>
      <w:pPr>
        <w:jc w:val="both"/>
        <w:ind w:left="1" w:right="179"/>
        <w:spacing w:after="0" w:line="260" w:lineRule="auto"/>
        <w:rPr>
          <w:sz w:val="20"/>
          <w:szCs w:val="20"/>
          <w:color w:val="auto"/>
        </w:rPr>
      </w:pPr>
      <w:r>
        <w:rPr>
          <w:rFonts w:ascii="Arial" w:cs="Arial" w:eastAsia="Arial" w:hAnsi="Arial"/>
          <w:sz w:val="20"/>
          <w:szCs w:val="20"/>
          <w:i w:val="1"/>
          <w:iCs w:val="1"/>
          <w:color w:val="auto"/>
        </w:rPr>
        <w:t xml:space="preserve">Level 1: </w:t>
      </w:r>
      <w:r>
        <w:rPr>
          <w:rFonts w:ascii="Arial" w:cs="Arial" w:eastAsia="Arial" w:hAnsi="Arial"/>
          <w:sz w:val="20"/>
          <w:szCs w:val="20"/>
          <w:color w:val="auto"/>
        </w:rPr>
        <w:t>Financial assets and financial liabilities whose values are based on unadjusted quoted prices for identical</w:t>
      </w:r>
      <w:r>
        <w:rPr>
          <w:rFonts w:ascii="Arial" w:cs="Arial" w:eastAsia="Arial" w:hAnsi="Arial"/>
          <w:sz w:val="20"/>
          <w:szCs w:val="20"/>
          <w:i w:val="1"/>
          <w:iCs w:val="1"/>
          <w:color w:val="auto"/>
        </w:rPr>
        <w:t xml:space="preserve"> </w:t>
      </w:r>
      <w:r>
        <w:rPr>
          <w:rFonts w:ascii="Arial" w:cs="Arial" w:eastAsia="Arial" w:hAnsi="Arial"/>
          <w:sz w:val="20"/>
          <w:szCs w:val="20"/>
          <w:color w:val="auto"/>
        </w:rPr>
        <w:t>assets or liabilities in an active market that the Company can access.</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20"/>
          <w:szCs w:val="20"/>
          <w:i w:val="1"/>
          <w:iCs w:val="1"/>
          <w:color w:val="auto"/>
        </w:rPr>
        <w:t xml:space="preserve">Level 2: </w:t>
      </w:r>
      <w:r>
        <w:rPr>
          <w:rFonts w:ascii="Arial" w:cs="Arial" w:eastAsia="Arial" w:hAnsi="Arial"/>
          <w:sz w:val="20"/>
          <w:szCs w:val="20"/>
          <w:color w:val="auto"/>
        </w:rPr>
        <w:t>Financial assets and financial liabilities whose values are based on the following:</w:t>
      </w:r>
    </w:p>
    <w:p>
      <w:pPr>
        <w:spacing w:after="0" w:line="15" w:lineRule="exact"/>
        <w:rPr>
          <w:sz w:val="20"/>
          <w:szCs w:val="20"/>
          <w:color w:val="auto"/>
        </w:rPr>
      </w:pPr>
    </w:p>
    <w:p>
      <w:pPr>
        <w:ind w:left="961" w:hanging="205"/>
        <w:spacing w:after="0"/>
        <w:tabs>
          <w:tab w:leader="none" w:pos="961" w:val="left"/>
        </w:tabs>
        <w:numPr>
          <w:ilvl w:val="0"/>
          <w:numId w:val="32"/>
        </w:numPr>
        <w:rPr>
          <w:rFonts w:ascii="Arial" w:cs="Arial" w:eastAsia="Arial" w:hAnsi="Arial"/>
          <w:sz w:val="20"/>
          <w:szCs w:val="20"/>
          <w:color w:val="auto"/>
        </w:rPr>
      </w:pPr>
      <w:r>
        <w:rPr>
          <w:rFonts w:ascii="Arial" w:cs="Arial" w:eastAsia="Arial" w:hAnsi="Arial"/>
          <w:sz w:val="20"/>
          <w:szCs w:val="20"/>
          <w:color w:val="auto"/>
        </w:rPr>
        <w:t>Quoted prices for similar assets or liabilities in active markets;</w:t>
      </w:r>
    </w:p>
    <w:p>
      <w:pPr>
        <w:ind w:left="961" w:hanging="205"/>
        <w:spacing w:after="0"/>
        <w:tabs>
          <w:tab w:leader="none" w:pos="961" w:val="left"/>
        </w:tabs>
        <w:numPr>
          <w:ilvl w:val="0"/>
          <w:numId w:val="32"/>
        </w:numPr>
        <w:rPr>
          <w:rFonts w:ascii="Arial" w:cs="Arial" w:eastAsia="Arial" w:hAnsi="Arial"/>
          <w:sz w:val="20"/>
          <w:szCs w:val="20"/>
          <w:color w:val="auto"/>
        </w:rPr>
      </w:pPr>
      <w:r>
        <w:rPr>
          <w:rFonts w:ascii="Arial" w:cs="Arial" w:eastAsia="Arial" w:hAnsi="Arial"/>
          <w:sz w:val="20"/>
          <w:szCs w:val="20"/>
          <w:color w:val="auto"/>
        </w:rPr>
        <w:t>Quoted prices for identical or similar assets or liabilities in non-active markets; or</w:t>
      </w:r>
    </w:p>
    <w:p>
      <w:pPr>
        <w:ind w:left="981" w:right="179" w:hanging="225"/>
        <w:spacing w:after="0" w:line="244" w:lineRule="auto"/>
        <w:tabs>
          <w:tab w:leader="none" w:pos="981" w:val="left"/>
        </w:tabs>
        <w:numPr>
          <w:ilvl w:val="0"/>
          <w:numId w:val="32"/>
        </w:numPr>
        <w:rPr>
          <w:rFonts w:ascii="Arial" w:cs="Arial" w:eastAsia="Arial" w:hAnsi="Arial"/>
          <w:sz w:val="20"/>
          <w:szCs w:val="20"/>
          <w:color w:val="auto"/>
        </w:rPr>
      </w:pPr>
      <w:r>
        <w:rPr>
          <w:rFonts w:ascii="Arial" w:cs="Arial" w:eastAsia="Arial" w:hAnsi="Arial"/>
          <w:sz w:val="20"/>
          <w:szCs w:val="20"/>
          <w:color w:val="auto"/>
        </w:rPr>
        <w:t>Valuation models whose inputs are observable, directly or indirectly, for substantially the full term of the asset or liability.</w:t>
      </w:r>
    </w:p>
    <w:p>
      <w:pPr>
        <w:spacing w:after="0" w:line="205" w:lineRule="exact"/>
        <w:rPr>
          <w:sz w:val="20"/>
          <w:szCs w:val="20"/>
          <w:color w:val="auto"/>
        </w:rPr>
      </w:pPr>
    </w:p>
    <w:p>
      <w:pPr>
        <w:jc w:val="both"/>
        <w:ind w:left="1" w:right="159"/>
        <w:spacing w:after="0" w:line="246" w:lineRule="auto"/>
        <w:rPr>
          <w:sz w:val="20"/>
          <w:szCs w:val="20"/>
          <w:color w:val="auto"/>
        </w:rPr>
      </w:pPr>
      <w:r>
        <w:rPr>
          <w:rFonts w:ascii="Arial" w:cs="Arial" w:eastAsia="Arial" w:hAnsi="Arial"/>
          <w:sz w:val="20"/>
          <w:szCs w:val="20"/>
          <w:i w:val="1"/>
          <w:iCs w:val="1"/>
          <w:color w:val="auto"/>
        </w:rPr>
        <w:t xml:space="preserve">Level 3: </w:t>
      </w:r>
      <w:r>
        <w:rPr>
          <w:rFonts w:ascii="Arial" w:cs="Arial" w:eastAsia="Arial" w:hAnsi="Arial"/>
          <w:sz w:val="20"/>
          <w:szCs w:val="20"/>
          <w:color w:val="auto"/>
        </w:rPr>
        <w:t>Financial assets and financial liabilities whose values are based on prices or valuation techniques that</w:t>
      </w:r>
      <w:r>
        <w:rPr>
          <w:rFonts w:ascii="Arial" w:cs="Arial" w:eastAsia="Arial" w:hAnsi="Arial"/>
          <w:sz w:val="20"/>
          <w:szCs w:val="20"/>
          <w:i w:val="1"/>
          <w:iCs w:val="1"/>
          <w:color w:val="auto"/>
        </w:rPr>
        <w:t xml:space="preserve"> </w:t>
      </w:r>
      <w:r>
        <w:rPr>
          <w:rFonts w:ascii="Arial" w:cs="Arial" w:eastAsia="Arial" w:hAnsi="Arial"/>
          <w:sz w:val="20"/>
          <w:szCs w:val="20"/>
          <w:color w:val="auto"/>
        </w:rPr>
        <w:t>require inputs that are both unobservable and significant to the overall fair value measurement. These inputs may reflect the Company’s estimates of the assumptions that market participants would use in valuing the financial assets and financial liabilities.</w:t>
      </w:r>
    </w:p>
    <w:p>
      <w:pPr>
        <w:spacing w:after="0" w:line="205" w:lineRule="exact"/>
        <w:rPr>
          <w:sz w:val="20"/>
          <w:szCs w:val="20"/>
          <w:color w:val="auto"/>
        </w:rPr>
      </w:pPr>
    </w:p>
    <w:p>
      <w:pPr>
        <w:jc w:val="both"/>
        <w:ind w:left="1" w:right="179"/>
        <w:spacing w:after="0" w:line="260" w:lineRule="auto"/>
        <w:rPr>
          <w:sz w:val="20"/>
          <w:szCs w:val="20"/>
          <w:color w:val="auto"/>
        </w:rPr>
      </w:pPr>
      <w:r>
        <w:rPr>
          <w:rFonts w:ascii="Arial" w:cs="Arial" w:eastAsia="Arial" w:hAnsi="Arial"/>
          <w:sz w:val="20"/>
          <w:szCs w:val="20"/>
          <w:color w:val="auto"/>
        </w:rPr>
        <w:t>The Company utilizes a combination of third-party valuation service providers, brokers, and internal valuation models to determine fair value.</w:t>
      </w:r>
    </w:p>
    <w:p>
      <w:pPr>
        <w:spacing w:after="0" w:line="190" w:lineRule="exact"/>
        <w:rPr>
          <w:sz w:val="20"/>
          <w:szCs w:val="20"/>
          <w:color w:val="auto"/>
        </w:rPr>
      </w:pPr>
    </w:p>
    <w:p>
      <w:pPr>
        <w:jc w:val="both"/>
        <w:ind w:left="1" w:right="179"/>
        <w:spacing w:after="0" w:line="260" w:lineRule="auto"/>
        <w:rPr>
          <w:sz w:val="20"/>
          <w:szCs w:val="20"/>
          <w:color w:val="auto"/>
        </w:rPr>
      </w:pPr>
      <w:r>
        <w:rPr>
          <w:rFonts w:ascii="Arial" w:cs="Arial" w:eastAsia="Arial" w:hAnsi="Arial"/>
          <w:sz w:val="20"/>
          <w:szCs w:val="20"/>
          <w:color w:val="auto"/>
        </w:rPr>
        <w:t>The following methods and assumptions were used by the Company in estimating the fair value disclosures related to significant financial instruments.</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items shown under Level 1 and Level 2 are valued as follows:</w:t>
      </w:r>
    </w:p>
    <w:p>
      <w:pPr>
        <w:spacing w:after="0" w:line="229" w:lineRule="exact"/>
        <w:rPr>
          <w:sz w:val="20"/>
          <w:szCs w:val="20"/>
          <w:color w:val="auto"/>
        </w:rPr>
      </w:pPr>
    </w:p>
    <w:p>
      <w:pPr>
        <w:jc w:val="both"/>
        <w:ind w:left="1" w:right="159"/>
        <w:spacing w:after="0" w:line="260" w:lineRule="auto"/>
        <w:rPr>
          <w:sz w:val="20"/>
          <w:szCs w:val="20"/>
          <w:color w:val="auto"/>
        </w:rPr>
      </w:pPr>
      <w:r>
        <w:rPr>
          <w:rFonts w:ascii="Arial" w:cs="Arial" w:eastAsia="Arial" w:hAnsi="Arial"/>
          <w:sz w:val="19"/>
          <w:szCs w:val="19"/>
          <w:i w:val="1"/>
          <w:iCs w:val="1"/>
          <w:u w:val="single" w:color="auto"/>
          <w:color w:val="auto"/>
        </w:rPr>
        <w:t>Fixed Maturity Securities Available for Sale</w:t>
      </w:r>
      <w:r>
        <w:rPr>
          <w:rFonts w:ascii="Arial" w:cs="Arial" w:eastAsia="Arial" w:hAnsi="Arial"/>
          <w:sz w:val="19"/>
          <w:szCs w:val="19"/>
          <w:i w:val="1"/>
          <w:iCs w:val="1"/>
          <w:color w:val="auto"/>
        </w:rPr>
        <w:t xml:space="preserve">: </w:t>
      </w:r>
      <w:r>
        <w:rPr>
          <w:rFonts w:ascii="Arial" w:cs="Arial" w:eastAsia="Arial" w:hAnsi="Arial"/>
          <w:sz w:val="19"/>
          <w:szCs w:val="19"/>
          <w:color w:val="auto"/>
        </w:rPr>
        <w:t>The fair values of fixed maturity securities are based on quoted</w:t>
      </w:r>
      <w:r>
        <w:rPr>
          <w:rFonts w:ascii="Arial" w:cs="Arial" w:eastAsia="Arial" w:hAnsi="Arial"/>
          <w:sz w:val="19"/>
          <w:szCs w:val="19"/>
          <w:i w:val="1"/>
          <w:iCs w:val="1"/>
          <w:color w:val="auto"/>
        </w:rPr>
        <w:t xml:space="preserve"> </w:t>
      </w:r>
      <w:r>
        <w:rPr>
          <w:rFonts w:ascii="Arial" w:cs="Arial" w:eastAsia="Arial" w:hAnsi="Arial"/>
          <w:sz w:val="19"/>
          <w:szCs w:val="19"/>
          <w:color w:val="auto"/>
        </w:rPr>
        <w:t>market prices, when available. For fixed maturity securities not actively traded, fair values are estimated using values obtained from independent pricing services, or in the case of private placements (considered Level 3 investments), are estimated by discounting expected future cash flows using a current market value applicable to the coupon rate, credit and maturity of the investments.</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20"/>
          <w:szCs w:val="20"/>
          <w:i w:val="1"/>
          <w:iCs w:val="1"/>
          <w:u w:val="single" w:color="auto"/>
          <w:color w:val="auto"/>
        </w:rPr>
        <w:t>Equity Securities</w:t>
      </w:r>
      <w:r>
        <w:rPr>
          <w:rFonts w:ascii="Arial" w:cs="Arial" w:eastAsia="Arial" w:hAnsi="Arial"/>
          <w:sz w:val="20"/>
          <w:szCs w:val="20"/>
          <w:i w:val="1"/>
          <w:iCs w:val="1"/>
          <w:color w:val="auto"/>
        </w:rPr>
        <w:t xml:space="preserve">: </w:t>
      </w:r>
      <w:r>
        <w:rPr>
          <w:rFonts w:ascii="Arial" w:cs="Arial" w:eastAsia="Arial" w:hAnsi="Arial"/>
          <w:sz w:val="20"/>
          <w:szCs w:val="20"/>
          <w:color w:val="auto"/>
        </w:rPr>
        <w:t>The fair values for equity securities are based on quoted market prices.</w:t>
      </w:r>
    </w:p>
    <w:p>
      <w:pPr>
        <w:spacing w:after="0" w:line="229" w:lineRule="exact"/>
        <w:rPr>
          <w:sz w:val="20"/>
          <w:szCs w:val="20"/>
          <w:color w:val="auto"/>
        </w:rPr>
      </w:pPr>
    </w:p>
    <w:p>
      <w:pPr>
        <w:jc w:val="both"/>
        <w:ind w:left="1" w:right="179"/>
        <w:spacing w:after="0" w:line="244" w:lineRule="auto"/>
        <w:rPr>
          <w:sz w:val="20"/>
          <w:szCs w:val="20"/>
          <w:color w:val="auto"/>
        </w:rPr>
      </w:pPr>
      <w:r>
        <w:rPr>
          <w:rFonts w:ascii="Arial" w:cs="Arial" w:eastAsia="Arial" w:hAnsi="Arial"/>
          <w:sz w:val="20"/>
          <w:szCs w:val="20"/>
          <w:i w:val="1"/>
          <w:iCs w:val="1"/>
          <w:u w:val="single" w:color="auto"/>
          <w:color w:val="auto"/>
        </w:rPr>
        <w:t>Restricted Assets</w:t>
      </w:r>
      <w:r>
        <w:rPr>
          <w:rFonts w:ascii="Arial" w:cs="Arial" w:eastAsia="Arial" w:hAnsi="Arial"/>
          <w:sz w:val="20"/>
          <w:szCs w:val="20"/>
          <w:i w:val="1"/>
          <w:iCs w:val="1"/>
          <w:color w:val="auto"/>
        </w:rPr>
        <w:t xml:space="preserve">: </w:t>
      </w:r>
      <w:r>
        <w:rPr>
          <w:rFonts w:ascii="Arial" w:cs="Arial" w:eastAsia="Arial" w:hAnsi="Arial"/>
          <w:sz w:val="20"/>
          <w:szCs w:val="20"/>
          <w:color w:val="auto"/>
        </w:rPr>
        <w:t>A portion of these assets include mutual funds and equity securities and fixed maturity</w:t>
      </w:r>
      <w:r>
        <w:rPr>
          <w:rFonts w:ascii="Arial" w:cs="Arial" w:eastAsia="Arial" w:hAnsi="Arial"/>
          <w:sz w:val="20"/>
          <w:szCs w:val="20"/>
          <w:i w:val="1"/>
          <w:iCs w:val="1"/>
          <w:color w:val="auto"/>
        </w:rPr>
        <w:t xml:space="preserve"> </w:t>
      </w:r>
      <w:r>
        <w:rPr>
          <w:rFonts w:ascii="Arial" w:cs="Arial" w:eastAsia="Arial" w:hAnsi="Arial"/>
          <w:sz w:val="20"/>
          <w:szCs w:val="20"/>
          <w:color w:val="auto"/>
        </w:rPr>
        <w:t>securities that have quoted market prices that are used to determine 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100" w:lineRule="exact"/>
        <w:rPr>
          <w:sz w:val="20"/>
          <w:szCs w:val="20"/>
          <w:color w:val="auto"/>
        </w:rPr>
      </w:pPr>
    </w:p>
    <w:p>
      <w:pPr>
        <w:jc w:val="both"/>
        <w:ind w:left="1" w:right="179"/>
        <w:spacing w:after="0" w:line="263" w:lineRule="auto"/>
        <w:rPr>
          <w:sz w:val="20"/>
          <w:szCs w:val="20"/>
          <w:color w:val="auto"/>
        </w:rPr>
      </w:pPr>
      <w:r>
        <w:rPr>
          <w:rFonts w:ascii="Arial" w:cs="Arial" w:eastAsia="Arial" w:hAnsi="Arial"/>
          <w:sz w:val="19"/>
          <w:szCs w:val="19"/>
          <w:i w:val="1"/>
          <w:iCs w:val="1"/>
          <w:u w:val="single" w:color="auto"/>
          <w:color w:val="auto"/>
        </w:rPr>
        <w:t>Cemetery Perpetual Care Trust Investments</w:t>
      </w:r>
      <w:r>
        <w:rPr>
          <w:rFonts w:ascii="Arial" w:cs="Arial" w:eastAsia="Arial" w:hAnsi="Arial"/>
          <w:sz w:val="19"/>
          <w:szCs w:val="19"/>
          <w:i w:val="1"/>
          <w:iCs w:val="1"/>
          <w:color w:val="auto"/>
        </w:rPr>
        <w:t xml:space="preserve">: </w:t>
      </w:r>
      <w:r>
        <w:rPr>
          <w:rFonts w:ascii="Arial" w:cs="Arial" w:eastAsia="Arial" w:hAnsi="Arial"/>
          <w:sz w:val="19"/>
          <w:szCs w:val="19"/>
          <w:color w:val="auto"/>
        </w:rPr>
        <w:t>A portion of these assets include equity securities and fixed maturity</w:t>
      </w:r>
      <w:r>
        <w:rPr>
          <w:rFonts w:ascii="Arial" w:cs="Arial" w:eastAsia="Arial" w:hAnsi="Arial"/>
          <w:sz w:val="19"/>
          <w:szCs w:val="19"/>
          <w:i w:val="1"/>
          <w:iCs w:val="1"/>
          <w:color w:val="auto"/>
        </w:rPr>
        <w:t xml:space="preserve"> </w:t>
      </w:r>
      <w:r>
        <w:rPr>
          <w:rFonts w:ascii="Arial" w:cs="Arial" w:eastAsia="Arial" w:hAnsi="Arial"/>
          <w:sz w:val="19"/>
          <w:szCs w:val="19"/>
          <w:color w:val="auto"/>
        </w:rPr>
        <w:t>securities that have quoted market prices 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82" w:lineRule="exact"/>
        <w:rPr>
          <w:sz w:val="20"/>
          <w:szCs w:val="20"/>
          <w:color w:val="auto"/>
        </w:rPr>
      </w:pPr>
    </w:p>
    <w:p>
      <w:pPr>
        <w:ind w:left="1"/>
        <w:spacing w:after="0"/>
        <w:rPr>
          <w:sz w:val="20"/>
          <w:szCs w:val="20"/>
          <w:color w:val="auto"/>
        </w:rPr>
      </w:pPr>
      <w:r>
        <w:rPr>
          <w:rFonts w:ascii="Arial" w:cs="Arial" w:eastAsia="Arial" w:hAnsi="Arial"/>
          <w:sz w:val="19"/>
          <w:szCs w:val="19"/>
          <w:i w:val="1"/>
          <w:iCs w:val="1"/>
          <w:u w:val="single" w:color="auto"/>
          <w:color w:val="auto"/>
        </w:rPr>
        <w:t>Call and Put Option Derivatives</w:t>
      </w:r>
      <w:r>
        <w:rPr>
          <w:rFonts w:ascii="Arial" w:cs="Arial" w:eastAsia="Arial" w:hAnsi="Arial"/>
          <w:sz w:val="19"/>
          <w:szCs w:val="19"/>
          <w:i w:val="1"/>
          <w:iCs w:val="1"/>
          <w:color w:val="auto"/>
        </w:rPr>
        <w:t xml:space="preserve">: </w:t>
      </w:r>
      <w:r>
        <w:rPr>
          <w:rFonts w:ascii="Arial" w:cs="Arial" w:eastAsia="Arial" w:hAnsi="Arial"/>
          <w:sz w:val="19"/>
          <w:szCs w:val="19"/>
          <w:color w:val="auto"/>
        </w:rPr>
        <w:t>The fair values for call and put options are based on quoted market prices.</w:t>
      </w:r>
    </w:p>
    <w:p>
      <w:pPr>
        <w:spacing w:after="0" w:line="254" w:lineRule="exact"/>
        <w:rPr>
          <w:sz w:val="20"/>
          <w:szCs w:val="20"/>
          <w:color w:val="auto"/>
        </w:rPr>
      </w:pPr>
    </w:p>
    <w:p>
      <w:pPr>
        <w:jc w:val="center"/>
        <w:ind w:right="158"/>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1" w:right="1440" w:bottom="1440" w:gutter="0" w:footer="0" w:header="0"/>
        </w:sectPr>
      </w:pPr>
    </w:p>
    <w:bookmarkStart w:id="32" w:name="page33"/>
    <w:bookmarkEnd w:id="32"/>
    <w:p>
      <w:pPr>
        <w:jc w:val="center"/>
        <w:ind w:left="1220" w:right="132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92" w:lineRule="exact"/>
        <w:rPr>
          <w:sz w:val="20"/>
          <w:szCs w:val="20"/>
          <w:color w:val="auto"/>
        </w:rPr>
      </w:pPr>
    </w:p>
    <w:p>
      <w:pPr>
        <w:jc w:val="both"/>
        <w:ind w:left="1" w:right="4939" w:hanging="1"/>
        <w:spacing w:after="0" w:line="547" w:lineRule="auto"/>
        <w:tabs>
          <w:tab w:leader="none" w:pos="48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 The items shown under Level 3 are valued as follows:</w:t>
      </w:r>
    </w:p>
    <w:p>
      <w:pPr>
        <w:spacing w:after="0" w:line="1" w:lineRule="exact"/>
        <w:rPr>
          <w:sz w:val="20"/>
          <w:szCs w:val="20"/>
          <w:color w:val="auto"/>
        </w:rPr>
      </w:pPr>
    </w:p>
    <w:p>
      <w:pPr>
        <w:jc w:val="both"/>
        <w:ind w:left="1" w:right="179"/>
        <w:spacing w:after="0" w:line="250" w:lineRule="auto"/>
        <w:rPr>
          <w:sz w:val="20"/>
          <w:szCs w:val="20"/>
          <w:color w:val="auto"/>
        </w:rPr>
      </w:pPr>
      <w:r>
        <w:rPr>
          <w:rFonts w:ascii="Arial" w:cs="Arial" w:eastAsia="Arial" w:hAnsi="Arial"/>
          <w:sz w:val="20"/>
          <w:szCs w:val="20"/>
          <w:i w:val="1"/>
          <w:iCs w:val="1"/>
          <w:u w:val="single" w:color="auto"/>
          <w:color w:val="auto"/>
        </w:rPr>
        <w:t>Loans Held for Sale</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elected the fair value option for loans held for sale. The fair value is based on</w:t>
      </w:r>
      <w:r>
        <w:rPr>
          <w:rFonts w:ascii="Arial" w:cs="Arial" w:eastAsia="Arial" w:hAnsi="Arial"/>
          <w:sz w:val="20"/>
          <w:szCs w:val="20"/>
          <w:i w:val="1"/>
          <w:iCs w:val="1"/>
          <w:color w:val="auto"/>
        </w:rPr>
        <w:t xml:space="preserve"> </w:t>
      </w:r>
      <w:r>
        <w:rPr>
          <w:rFonts w:ascii="Arial" w:cs="Arial" w:eastAsia="Arial" w:hAnsi="Arial"/>
          <w:sz w:val="20"/>
          <w:szCs w:val="20"/>
          <w:color w:val="auto"/>
        </w:rPr>
        <w:t>quoted market prices, when available. When a quoted market price is not readily available, the Company uses the market price from its last sale of similar assets.</w:t>
      </w:r>
    </w:p>
    <w:p>
      <w:pPr>
        <w:spacing w:after="0" w:line="199" w:lineRule="exact"/>
        <w:rPr>
          <w:sz w:val="20"/>
          <w:szCs w:val="20"/>
          <w:color w:val="auto"/>
        </w:rPr>
      </w:pPr>
    </w:p>
    <w:p>
      <w:pPr>
        <w:jc w:val="both"/>
        <w:ind w:left="1" w:right="159"/>
        <w:spacing w:after="0" w:line="243" w:lineRule="auto"/>
        <w:rPr>
          <w:sz w:val="20"/>
          <w:szCs w:val="20"/>
          <w:color w:val="auto"/>
        </w:rPr>
      </w:pPr>
      <w:r>
        <w:rPr>
          <w:rFonts w:ascii="Arial" w:cs="Arial" w:eastAsia="Arial" w:hAnsi="Arial"/>
          <w:sz w:val="20"/>
          <w:szCs w:val="20"/>
          <w:i w:val="1"/>
          <w:iCs w:val="1"/>
          <w:u w:val="single" w:color="auto"/>
          <w:color w:val="auto"/>
        </w:rPr>
        <w:t>Loan Commitments and Forward Sale Commitments</w:t>
      </w:r>
      <w:r>
        <w:rPr>
          <w:rFonts w:ascii="Arial" w:cs="Arial" w:eastAsia="Arial" w:hAnsi="Arial"/>
          <w:sz w:val="20"/>
          <w:szCs w:val="20"/>
          <w:color w:val="auto"/>
        </w:rPr>
        <w:t>: The Company’s mortgage segment enters into loan</w:t>
      </w:r>
      <w:r>
        <w:rPr>
          <w:rFonts w:ascii="Arial" w:cs="Arial" w:eastAsia="Arial" w:hAnsi="Arial"/>
          <w:sz w:val="20"/>
          <w:szCs w:val="20"/>
          <w:i w:val="1"/>
          <w:iCs w:val="1"/>
          <w:color w:val="auto"/>
        </w:rPr>
        <w:t xml:space="preserve"> </w:t>
      </w:r>
      <w:r>
        <w:rPr>
          <w:rFonts w:ascii="Arial" w:cs="Arial" w:eastAsia="Arial" w:hAnsi="Arial"/>
          <w:sz w:val="20"/>
          <w:szCs w:val="20"/>
          <w:color w:val="auto"/>
        </w:rPr>
        <w:t>commitments with potential borrowers and forward 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206" w:lineRule="exact"/>
        <w:rPr>
          <w:sz w:val="20"/>
          <w:szCs w:val="20"/>
          <w:color w:val="auto"/>
        </w:rPr>
      </w:pPr>
    </w:p>
    <w:p>
      <w:pPr>
        <w:jc w:val="both"/>
        <w:ind w:left="1" w:right="159"/>
        <w:spacing w:after="0" w:line="242" w:lineRule="auto"/>
        <w:rPr>
          <w:sz w:val="20"/>
          <w:szCs w:val="20"/>
          <w:color w:val="auto"/>
        </w:rPr>
      </w:pPr>
      <w:r>
        <w:rPr>
          <w:rFonts w:ascii="Arial" w:cs="Arial" w:eastAsia="Arial" w:hAnsi="Arial"/>
          <w:sz w:val="20"/>
          <w:szCs w:val="20"/>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210" w:lineRule="exact"/>
        <w:rPr>
          <w:sz w:val="20"/>
          <w:szCs w:val="20"/>
          <w:color w:val="auto"/>
        </w:rPr>
      </w:pPr>
    </w:p>
    <w:p>
      <w:pPr>
        <w:jc w:val="both"/>
        <w:ind w:left="1" w:right="159"/>
        <w:spacing w:after="0" w:line="274" w:lineRule="auto"/>
        <w:rPr>
          <w:sz w:val="20"/>
          <w:szCs w:val="20"/>
          <w:color w:val="auto"/>
        </w:rPr>
      </w:pPr>
      <w:r>
        <w:rPr>
          <w:rFonts w:ascii="Arial" w:cs="Arial" w:eastAsia="Arial" w:hAnsi="Arial"/>
          <w:sz w:val="18"/>
          <w:szCs w:val="18"/>
          <w:i w:val="1"/>
          <w:iCs w:val="1"/>
          <w:u w:val="single" w:color="auto"/>
          <w:color w:val="auto"/>
        </w:rPr>
        <w:t>Impaired Mortgage Loans Held for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believes that the fair value of these nonperforming</w:t>
      </w:r>
      <w:r>
        <w:rPr>
          <w:rFonts w:ascii="Arial" w:cs="Arial" w:eastAsia="Arial" w:hAnsi="Arial"/>
          <w:sz w:val="18"/>
          <w:szCs w:val="18"/>
          <w:i w:val="1"/>
          <w:iCs w:val="1"/>
          <w:color w:val="auto"/>
        </w:rPr>
        <w:t xml:space="preserve"> </w:t>
      </w:r>
      <w:r>
        <w:rPr>
          <w:rFonts w:ascii="Arial" w:cs="Arial" w:eastAsia="Arial" w:hAnsi="Arial"/>
          <w:sz w:val="18"/>
          <w:szCs w:val="18"/>
          <w:color w:val="auto"/>
        </w:rPr>
        <w:t>loans will approximate the unpaid principal 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82" w:lineRule="exact"/>
        <w:rPr>
          <w:sz w:val="20"/>
          <w:szCs w:val="20"/>
          <w:color w:val="auto"/>
        </w:rPr>
      </w:pPr>
    </w:p>
    <w:p>
      <w:pPr>
        <w:jc w:val="both"/>
        <w:ind w:left="1" w:right="159"/>
        <w:spacing w:after="0" w:line="260" w:lineRule="auto"/>
        <w:rPr>
          <w:sz w:val="20"/>
          <w:szCs w:val="20"/>
          <w:color w:val="auto"/>
        </w:rPr>
      </w:pPr>
      <w:r>
        <w:rPr>
          <w:rFonts w:ascii="Arial" w:cs="Arial" w:eastAsia="Arial" w:hAnsi="Arial"/>
          <w:sz w:val="19"/>
          <w:szCs w:val="19"/>
          <w:i w:val="1"/>
          <w:iCs w:val="1"/>
          <w:u w:val="single" w:color="auto"/>
          <w:color w:val="auto"/>
        </w:rPr>
        <w:t>Impaired Real Estate Held for Investment</w:t>
      </w:r>
      <w:r>
        <w:rPr>
          <w:rFonts w:ascii="Arial" w:cs="Arial" w:eastAsia="Arial" w:hAnsi="Arial"/>
          <w:sz w:val="19"/>
          <w:szCs w:val="19"/>
          <w:color w:val="auto"/>
        </w:rPr>
        <w:t>: The Company believes that in an orderly market, fair value will</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 the replacement cost of a home and 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94" w:lineRule="exact"/>
        <w:rPr>
          <w:sz w:val="20"/>
          <w:szCs w:val="20"/>
          <w:color w:val="auto"/>
        </w:rPr>
      </w:pPr>
    </w:p>
    <w:p>
      <w:pPr>
        <w:jc w:val="both"/>
        <w:ind w:left="1" w:right="179"/>
        <w:spacing w:after="0" w:line="244" w:lineRule="auto"/>
        <w:rPr>
          <w:sz w:val="20"/>
          <w:szCs w:val="20"/>
          <w:color w:val="auto"/>
        </w:rPr>
      </w:pPr>
      <w:r>
        <w:rPr>
          <w:rFonts w:ascii="Arial" w:cs="Arial" w:eastAsia="Arial" w:hAnsi="Arial"/>
          <w:sz w:val="20"/>
          <w:szCs w:val="20"/>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comparables and property condition when determining fair value.</w:t>
      </w:r>
    </w:p>
    <w:p>
      <w:pPr>
        <w:spacing w:after="0" w:line="208" w:lineRule="exact"/>
        <w:rPr>
          <w:sz w:val="20"/>
          <w:szCs w:val="20"/>
          <w:color w:val="auto"/>
        </w:rPr>
      </w:pPr>
    </w:p>
    <w:p>
      <w:pPr>
        <w:jc w:val="both"/>
        <w:ind w:left="1" w:right="179"/>
        <w:spacing w:after="0" w:line="250" w:lineRule="auto"/>
        <w:rPr>
          <w:sz w:val="20"/>
          <w:szCs w:val="20"/>
          <w:color w:val="auto"/>
        </w:rPr>
      </w:pPr>
      <w:r>
        <w:rPr>
          <w:rFonts w:ascii="Arial" w:cs="Arial" w:eastAsia="Arial" w:hAnsi="Arial"/>
          <w:sz w:val="20"/>
          <w:szCs w:val="20"/>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99" w:lineRule="exact"/>
        <w:rPr>
          <w:sz w:val="20"/>
          <w:szCs w:val="20"/>
          <w:color w:val="auto"/>
        </w:rPr>
      </w:pPr>
    </w:p>
    <w:p>
      <w:pPr>
        <w:jc w:val="both"/>
        <w:ind w:left="1" w:right="159"/>
        <w:spacing w:after="0" w:line="246" w:lineRule="auto"/>
        <w:rPr>
          <w:sz w:val="20"/>
          <w:szCs w:val="20"/>
          <w:color w:val="auto"/>
        </w:rPr>
      </w:pPr>
      <w:r>
        <w:rPr>
          <w:rFonts w:ascii="Arial" w:cs="Arial" w:eastAsia="Arial" w:hAnsi="Arial"/>
          <w:sz w:val="20"/>
          <w:szCs w:val="20"/>
          <w:i w:val="1"/>
          <w:iCs w:val="1"/>
          <w:u w:val="single" w:color="auto"/>
          <w:color w:val="auto"/>
        </w:rPr>
        <w:t>Mortgage Servicing Rights</w:t>
      </w:r>
      <w:r>
        <w:rPr>
          <w:rFonts w:ascii="Arial" w:cs="Arial" w:eastAsia="Arial" w:hAnsi="Arial"/>
          <w:sz w:val="20"/>
          <w:szCs w:val="20"/>
          <w:color w:val="auto"/>
        </w:rPr>
        <w:t>: The Company initially recognizes Mortgage Servicing Rights (“MSRs”) at their</w:t>
      </w:r>
      <w:r>
        <w:rPr>
          <w:rFonts w:ascii="Arial" w:cs="Arial" w:eastAsia="Arial" w:hAnsi="Arial"/>
          <w:sz w:val="20"/>
          <w:szCs w:val="20"/>
          <w:i w:val="1"/>
          <w:iCs w:val="1"/>
          <w:color w:val="auto"/>
        </w:rPr>
        <w:t xml:space="preserve"> </w:t>
      </w:r>
      <w:r>
        <w:rPr>
          <w:rFonts w:ascii="Arial" w:cs="Arial" w:eastAsia="Arial" w:hAnsi="Arial"/>
          <w:sz w:val="20"/>
          <w:szCs w:val="20"/>
          <w:color w:val="auto"/>
        </w:rPr>
        <w:t>estimated fair values derived from the net cash flows associated with the servicing contracts, where the Company assumes the obligation to service the loan in the sale transaction. See Note 12 for more information regarding MSRs.</w:t>
      </w:r>
    </w:p>
    <w:p>
      <w:pPr>
        <w:sectPr>
          <w:pgSz w:w="11900" w:h="16838" w:orient="portrait"/>
          <w:cols w:equalWidth="0" w:num="1">
            <w:col w:w="9240"/>
          </w:cols>
          <w:pgMar w:left="1219" w:top="121" w:right="1440" w:bottom="1440" w:gutter="0" w:footer="0" w:header="0"/>
        </w:sectPr>
      </w:pPr>
    </w:p>
    <w:p>
      <w:pPr>
        <w:spacing w:after="0" w:line="218" w:lineRule="exact"/>
        <w:rPr>
          <w:sz w:val="20"/>
          <w:szCs w:val="20"/>
          <w:color w:val="auto"/>
        </w:rPr>
      </w:pPr>
    </w:p>
    <w:p>
      <w:pPr>
        <w:jc w:val="center"/>
        <w:ind w:right="158"/>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57607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1" w:right="1440" w:bottom="1440" w:gutter="0" w:footer="0" w:header="0"/>
          <w:type w:val="continuous"/>
        </w:sectPr>
      </w:pPr>
    </w:p>
    <w:bookmarkStart w:id="33" w:name="page34"/>
    <w:bookmarkEnd w:id="33"/>
    <w:p>
      <w:pPr>
        <w:jc w:val="center"/>
        <w:ind w:left="1220" w:right="132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92" w:lineRule="exact"/>
        <w:rPr>
          <w:sz w:val="20"/>
          <w:szCs w:val="20"/>
          <w:color w:val="auto"/>
        </w:rPr>
      </w:pPr>
    </w:p>
    <w:p>
      <w:pPr>
        <w:ind w:left="481" w:hanging="481"/>
        <w:spacing w:after="0"/>
        <w:tabs>
          <w:tab w:leader="none" w:pos="481"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r>
        <w:rPr>
          <w:rFonts w:ascii="Arial" w:cs="Arial" w:eastAsia="Arial" w:hAnsi="Arial"/>
          <w:sz w:val="20"/>
          <w:szCs w:val="20"/>
          <w:color w:val="auto"/>
        </w:rPr>
        <w:t xml:space="preserve"> (Continued)</w:t>
      </w:r>
    </w:p>
    <w:p>
      <w:pPr>
        <w:spacing w:after="0" w:line="256" w:lineRule="exact"/>
        <w:rPr>
          <w:sz w:val="20"/>
          <w:szCs w:val="20"/>
          <w:color w:val="auto"/>
        </w:rPr>
      </w:pPr>
    </w:p>
    <w:p>
      <w:pPr>
        <w:ind w:left="1" w:right="179"/>
        <w:spacing w:after="0" w:line="316"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at March 31, 2021.</w:t>
      </w:r>
    </w:p>
    <w:p>
      <w:pPr>
        <w:spacing w:after="0" w:line="164" w:lineRule="exact"/>
        <w:rPr>
          <w:sz w:val="20"/>
          <w:szCs w:val="20"/>
          <w:color w:val="auto"/>
        </w:rPr>
      </w:pPr>
    </w:p>
    <w:tbl>
      <w:tblPr>
        <w:tblLayout w:type="fixed"/>
        <w:tblInd w:w="1"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color w:val="auto"/>
              </w:rPr>
              <w:t>Quoted Prices in</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center"/>
              <w:ind w:right="159"/>
              <w:spacing w:after="0"/>
              <w:rPr>
                <w:sz w:val="20"/>
                <w:szCs w:val="20"/>
                <w:color w:val="auto"/>
              </w:rPr>
            </w:pPr>
            <w:r>
              <w:rPr>
                <w:rFonts w:ascii="Arial" w:cs="Arial" w:eastAsia="Arial" w:hAnsi="Arial"/>
                <w:sz w:val="16"/>
                <w:szCs w:val="16"/>
                <w:color w:val="auto"/>
                <w:w w:val="97"/>
              </w:rPr>
              <w:t>Significant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6"/>
                <w:szCs w:val="16"/>
                <w:color w:val="auto"/>
                <w:w w:val="95"/>
              </w:rPr>
              <w:t>Active Markets for</w:t>
            </w:r>
          </w:p>
        </w:tc>
        <w:tc>
          <w:tcPr>
            <w:tcW w:w="220" w:type="dxa"/>
            <w:vAlign w:val="bottom"/>
          </w:tcPr>
          <w:p>
            <w:pPr>
              <w:spacing w:after="0"/>
              <w:rPr>
                <w:sz w:val="17"/>
                <w:szCs w:val="17"/>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6"/>
                <w:szCs w:val="16"/>
                <w:color w:val="auto"/>
                <w:w w:val="97"/>
              </w:rPr>
              <w:t>Significant</w:t>
            </w:r>
          </w:p>
        </w:tc>
        <w:tc>
          <w:tcPr>
            <w:tcW w:w="1280" w:type="dxa"/>
            <w:vAlign w:val="bottom"/>
            <w:gridSpan w:val="2"/>
          </w:tcPr>
          <w:p>
            <w:pPr>
              <w:jc w:val="center"/>
              <w:spacing w:after="0"/>
              <w:rPr>
                <w:sz w:val="20"/>
                <w:szCs w:val="20"/>
                <w:color w:val="auto"/>
              </w:rPr>
            </w:pPr>
            <w:r>
              <w:rPr>
                <w:rFonts w:ascii="Arial" w:cs="Arial" w:eastAsia="Arial" w:hAnsi="Arial"/>
                <w:sz w:val="16"/>
                <w:szCs w:val="16"/>
                <w:color w:val="auto"/>
                <w:w w:val="91"/>
              </w:rPr>
              <w:t>Unobservable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color w:val="auto"/>
              </w:rPr>
              <w:t>Identical Assets</w:t>
            </w:r>
          </w:p>
        </w:tc>
        <w:tc>
          <w:tcPr>
            <w:tcW w:w="1440" w:type="dxa"/>
            <w:vAlign w:val="bottom"/>
            <w:gridSpan w:val="3"/>
          </w:tcPr>
          <w:p>
            <w:pPr>
              <w:jc w:val="center"/>
              <w:ind w:right="220"/>
              <w:spacing w:after="0"/>
              <w:rPr>
                <w:sz w:val="20"/>
                <w:szCs w:val="20"/>
                <w:color w:val="auto"/>
              </w:rPr>
            </w:pPr>
            <w:r>
              <w:rPr>
                <w:rFonts w:ascii="Arial" w:cs="Arial" w:eastAsia="Arial" w:hAnsi="Arial"/>
                <w:sz w:val="16"/>
                <w:szCs w:val="16"/>
                <w:color w:val="auto"/>
                <w:w w:val="90"/>
              </w:rPr>
              <w:t>Observable Inputs</w:t>
            </w:r>
          </w:p>
        </w:tc>
        <w:tc>
          <w:tcPr>
            <w:tcW w:w="240" w:type="dxa"/>
            <w:vAlign w:val="bottom"/>
          </w:tcPr>
          <w:p>
            <w:pPr>
              <w:spacing w:after="0"/>
              <w:rPr>
                <w:sz w:val="17"/>
                <w:szCs w:val="17"/>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Inputs</w:t>
            </w:r>
          </w:p>
        </w:tc>
        <w:tc>
          <w:tcPr>
            <w:tcW w:w="0" w:type="dxa"/>
            <w:vAlign w:val="bottom"/>
          </w:tcPr>
          <w:p>
            <w:pPr>
              <w:spacing w:after="0"/>
              <w:rPr>
                <w:sz w:val="1"/>
                <w:szCs w:val="1"/>
                <w:color w:val="auto"/>
              </w:rPr>
            </w:pPr>
          </w:p>
        </w:tc>
      </w:tr>
      <w:tr>
        <w:trPr>
          <w:trHeight w:val="219"/>
        </w:trPr>
        <w:tc>
          <w:tcPr>
            <w:tcW w:w="19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(Level 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color w:val="auto"/>
                <w:w w:val="96"/>
              </w:rPr>
              <w:t>(Level 2)</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6"/>
              </w:rPr>
              <w:t>(Level 3)</w:t>
            </w:r>
          </w:p>
        </w:tc>
        <w:tc>
          <w:tcPr>
            <w:tcW w:w="0" w:type="dxa"/>
            <w:vAlign w:val="bottom"/>
          </w:tcPr>
          <w:p>
            <w:pPr>
              <w:spacing w:after="0"/>
              <w:rPr>
                <w:sz w:val="1"/>
                <w:szCs w:val="1"/>
                <w:color w:val="auto"/>
              </w:rPr>
            </w:pPr>
          </w:p>
        </w:tc>
      </w:tr>
      <w:tr>
        <w:trPr>
          <w:trHeight w:val="193"/>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5"/>
              </w:rPr>
              <w:t>Assets accounted for at fair value on a recurring</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basis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Fixed maturity securities available for sale</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279,550,528</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277,359,435</w:t>
            </w:r>
          </w:p>
        </w:tc>
        <w:tc>
          <w:tcPr>
            <w:tcW w:w="2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2,191,093</w:t>
            </w:r>
          </w:p>
        </w:tc>
        <w:tc>
          <w:tcPr>
            <w:tcW w:w="0" w:type="dxa"/>
            <w:vAlign w:val="bottom"/>
          </w:tcPr>
          <w:p>
            <w:pPr>
              <w:spacing w:after="0"/>
              <w:rPr>
                <w:sz w:val="1"/>
                <w:szCs w:val="1"/>
                <w:color w:val="auto"/>
              </w:rPr>
            </w:pPr>
          </w:p>
        </w:tc>
      </w:tr>
      <w:tr>
        <w:trPr>
          <w:trHeight w:val="23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11,154,495</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11,154,495</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Loans held for sale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304,030,372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304,030,372</w:t>
            </w:r>
          </w:p>
        </w:tc>
        <w:tc>
          <w:tcPr>
            <w:tcW w:w="0" w:type="dxa"/>
            <w:vAlign w:val="bottom"/>
          </w:tcPr>
          <w:p>
            <w:pPr>
              <w:spacing w:after="0"/>
              <w:rPr>
                <w:sz w:val="1"/>
                <w:szCs w:val="1"/>
                <w:color w:val="auto"/>
              </w:rPr>
            </w:pPr>
          </w:p>
        </w:tc>
      </w:tr>
      <w:tr>
        <w:trPr>
          <w:trHeight w:val="23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Restricted assets (1)</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1,456,017</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1,456,017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Restricted assets (2)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2,704,704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2,704,704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Cemetery perpetual care trust investments (1)</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738,979</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738,979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Cemetery perpetual care trust investments (2)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2,208,138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2,208,138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Derivatives - loan commitments (3)</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10,671,623</w:t>
            </w:r>
          </w:p>
        </w:tc>
        <w:tc>
          <w:tcPr>
            <w:tcW w:w="2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10,671,623</w:t>
            </w:r>
          </w:p>
        </w:tc>
        <w:tc>
          <w:tcPr>
            <w:tcW w:w="0" w:type="dxa"/>
            <w:vAlign w:val="bottom"/>
          </w:tcPr>
          <w:p>
            <w:pPr>
              <w:spacing w:after="0"/>
              <w:rPr>
                <w:sz w:val="1"/>
                <w:szCs w:val="1"/>
                <w:color w:val="auto"/>
              </w:rPr>
            </w:pPr>
          </w:p>
        </w:tc>
      </w:tr>
      <w:tr>
        <w:trPr>
          <w:trHeight w:val="186"/>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Total assets accounted for at fair value on a</w:t>
            </w:r>
          </w:p>
        </w:tc>
        <w:tc>
          <w:tcPr>
            <w:tcW w:w="3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612,514,856</w:t>
            </w:r>
          </w:p>
        </w:tc>
        <w:tc>
          <w:tcPr>
            <w:tcW w:w="240" w:type="dxa"/>
            <w:vAlign w:val="bottom"/>
          </w:tcPr>
          <w:p>
            <w:pPr>
              <w:spacing w:after="0"/>
              <w:rPr>
                <w:sz w:val="16"/>
                <w:szCs w:val="16"/>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16,067,337</w:t>
            </w:r>
          </w:p>
        </w:tc>
        <w:tc>
          <w:tcPr>
            <w:tcW w:w="24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279,554,431</w:t>
            </w:r>
          </w:p>
        </w:tc>
        <w:tc>
          <w:tcPr>
            <w:tcW w:w="220" w:type="dxa"/>
            <w:vAlign w:val="bottom"/>
          </w:tcPr>
          <w:p>
            <w:pPr>
              <w:spacing w:after="0"/>
              <w:rPr>
                <w:sz w:val="16"/>
                <w:szCs w:val="16"/>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316,893,088</w:t>
            </w:r>
          </w:p>
        </w:tc>
        <w:tc>
          <w:tcPr>
            <w:tcW w:w="0" w:type="dxa"/>
            <w:vAlign w:val="bottom"/>
          </w:tcPr>
          <w:p>
            <w:pPr>
              <w:spacing w:after="0"/>
              <w:rPr>
                <w:sz w:val="1"/>
                <w:szCs w:val="1"/>
                <w:color w:val="auto"/>
              </w:rPr>
            </w:pPr>
          </w:p>
        </w:tc>
      </w:tr>
      <w:tr>
        <w:trPr>
          <w:trHeight w:val="249"/>
        </w:trPr>
        <w:tc>
          <w:tcPr>
            <w:tcW w:w="33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recurring basis</w:t>
            </w:r>
          </w:p>
        </w:tc>
        <w:tc>
          <w:tcPr>
            <w:tcW w:w="32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Liabilities accounted for at fair value on a</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40"/>
              <w:spacing w:after="0"/>
              <w:rPr>
                <w:sz w:val="20"/>
                <w:szCs w:val="20"/>
                <w:color w:val="auto"/>
              </w:rPr>
            </w:pPr>
            <w:r>
              <w:rPr>
                <w:rFonts w:ascii="Arial" w:cs="Arial" w:eastAsia="Arial" w:hAnsi="Arial"/>
                <w:sz w:val="16"/>
                <w:szCs w:val="16"/>
                <w:color w:val="auto"/>
              </w:rPr>
              <w:t>recurring basis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Derivatives - call options (4)</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(79,567)</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(79,567)</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Derivatives - loan commitments (4)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(228,547)</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(228,547)</w:t>
            </w:r>
          </w:p>
        </w:tc>
        <w:tc>
          <w:tcPr>
            <w:tcW w:w="0" w:type="dxa"/>
            <w:vAlign w:val="bottom"/>
          </w:tcPr>
          <w:p>
            <w:pPr>
              <w:spacing w:after="0"/>
              <w:rPr>
                <w:sz w:val="1"/>
                <w:szCs w:val="1"/>
                <w:color w:val="auto"/>
              </w:rPr>
            </w:pPr>
          </w:p>
        </w:tc>
      </w:tr>
      <w:tr>
        <w:trPr>
          <w:trHeight w:val="193"/>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 accounted for at fair value on a</w:t>
            </w:r>
          </w:p>
        </w:tc>
        <w:tc>
          <w:tcPr>
            <w:tcW w:w="3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(308,114)</w:t>
            </w:r>
          </w:p>
        </w:tc>
        <w:tc>
          <w:tcPr>
            <w:tcW w:w="24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(79,567)</w:t>
            </w:r>
          </w:p>
        </w:tc>
        <w:tc>
          <w:tcPr>
            <w:tcW w:w="24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(228,547)</w:t>
            </w:r>
          </w:p>
        </w:tc>
        <w:tc>
          <w:tcPr>
            <w:tcW w:w="0" w:type="dxa"/>
            <w:vAlign w:val="bottom"/>
          </w:tcPr>
          <w:p>
            <w:pPr>
              <w:spacing w:after="0"/>
              <w:rPr>
                <w:sz w:val="1"/>
                <w:szCs w:val="1"/>
                <w:color w:val="auto"/>
              </w:rPr>
            </w:pPr>
          </w:p>
        </w:tc>
      </w:tr>
      <w:tr>
        <w:trPr>
          <w:trHeight w:val="209"/>
        </w:trPr>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recurring basis</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1920" w:type="dxa"/>
            <w:vAlign w:val="bottom"/>
            <w:tcBorders>
              <w:bottom w:val="single" w:sz="8" w:color="auto"/>
            </w:tcBorders>
          </w:tcPr>
          <w:p>
            <w:pPr>
              <w:spacing w:after="0"/>
              <w:rPr>
                <w:sz w:val="3"/>
                <w:szCs w:val="3"/>
                <w:color w:val="auto"/>
              </w:rPr>
            </w:pPr>
          </w:p>
        </w:tc>
        <w:tc>
          <w:tcPr>
            <w:tcW w:w="1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261" w:hanging="261"/>
        <w:spacing w:after="0"/>
        <w:tabs>
          <w:tab w:leader="none" w:pos="261"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Fixed maturity securities available for sale</w:t>
      </w:r>
    </w:p>
    <w:p>
      <w:pPr>
        <w:spacing w:after="0" w:line="9" w:lineRule="exact"/>
        <w:rPr>
          <w:rFonts w:ascii="Arial" w:cs="Arial" w:eastAsia="Arial" w:hAnsi="Arial"/>
          <w:sz w:val="18"/>
          <w:szCs w:val="18"/>
          <w:color w:val="auto"/>
        </w:rPr>
      </w:pPr>
    </w:p>
    <w:p>
      <w:pPr>
        <w:ind w:left="261" w:hanging="261"/>
        <w:spacing w:after="0"/>
        <w:tabs>
          <w:tab w:leader="none" w:pos="261" w:val="left"/>
        </w:tabs>
        <w:numPr>
          <w:ilvl w:val="0"/>
          <w:numId w:val="35"/>
        </w:numPr>
        <w:rPr>
          <w:rFonts w:ascii="Arial" w:cs="Arial" w:eastAsia="Arial" w:hAnsi="Arial"/>
          <w:sz w:val="18"/>
          <w:szCs w:val="18"/>
          <w:color w:val="auto"/>
        </w:rPr>
      </w:pPr>
      <w:r>
        <w:rPr>
          <w:rFonts w:ascii="Arial" w:cs="Arial" w:eastAsia="Arial" w:hAnsi="Arial"/>
          <w:sz w:val="18"/>
          <w:szCs w:val="18"/>
          <w:color w:val="auto"/>
        </w:rPr>
        <w:t>Equity securities</w:t>
      </w:r>
    </w:p>
    <w:p>
      <w:pPr>
        <w:spacing w:after="0" w:line="9" w:lineRule="exact"/>
        <w:rPr>
          <w:rFonts w:ascii="Arial" w:cs="Arial" w:eastAsia="Arial" w:hAnsi="Arial"/>
          <w:sz w:val="18"/>
          <w:szCs w:val="18"/>
          <w:color w:val="auto"/>
        </w:rPr>
      </w:pPr>
    </w:p>
    <w:p>
      <w:pPr>
        <w:ind w:left="261" w:hanging="261"/>
        <w:spacing w:after="0"/>
        <w:tabs>
          <w:tab w:leader="none" w:pos="261"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Included in other assets on the consolidated balance sheets</w:t>
      </w:r>
    </w:p>
    <w:p>
      <w:pPr>
        <w:spacing w:after="0" w:line="9" w:lineRule="exact"/>
        <w:rPr>
          <w:rFonts w:ascii="Arial" w:cs="Arial" w:eastAsia="Arial" w:hAnsi="Arial"/>
          <w:sz w:val="18"/>
          <w:szCs w:val="18"/>
          <w:color w:val="auto"/>
        </w:rPr>
      </w:pPr>
    </w:p>
    <w:p>
      <w:pPr>
        <w:ind w:left="261" w:hanging="261"/>
        <w:spacing w:after="0"/>
        <w:tabs>
          <w:tab w:leader="none" w:pos="261"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Included in other liabilities and accrued expenses on the consolidated balance sheets</w:t>
      </w:r>
    </w:p>
    <w:p>
      <w:pPr>
        <w:spacing w:after="0" w:line="235" w:lineRule="exact"/>
        <w:rPr>
          <w:sz w:val="20"/>
          <w:szCs w:val="20"/>
          <w:color w:val="auto"/>
        </w:rPr>
      </w:pPr>
    </w:p>
    <w:p>
      <w:pPr>
        <w:jc w:val="center"/>
        <w:ind w:right="158"/>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1" w:right="1440" w:bottom="1440" w:gutter="0" w:footer="0" w:header="0"/>
        </w:sectPr>
      </w:pPr>
    </w:p>
    <w:bookmarkStart w:id="34" w:name="page35"/>
    <w:bookmarkEnd w:id="34"/>
    <w:p>
      <w:pPr>
        <w:jc w:val="center"/>
        <w:ind w:left="1220" w:right="132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92" w:lineRule="exact"/>
        <w:rPr>
          <w:sz w:val="20"/>
          <w:szCs w:val="20"/>
          <w:color w:val="auto"/>
        </w:rPr>
      </w:pPr>
    </w:p>
    <w:p>
      <w:pPr>
        <w:ind w:left="481" w:hanging="481"/>
        <w:spacing w:after="0"/>
        <w:tabs>
          <w:tab w:leader="none" w:pos="481"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r>
        <w:rPr>
          <w:rFonts w:ascii="Arial" w:cs="Arial" w:eastAsia="Arial" w:hAnsi="Arial"/>
          <w:sz w:val="20"/>
          <w:szCs w:val="20"/>
          <w:color w:val="auto"/>
        </w:rPr>
        <w:t xml:space="preserve"> (Continued)</w:t>
      </w:r>
    </w:p>
    <w:p>
      <w:pPr>
        <w:spacing w:after="0" w:line="256" w:lineRule="exact"/>
        <w:rPr>
          <w:sz w:val="20"/>
          <w:szCs w:val="20"/>
          <w:color w:val="auto"/>
        </w:rPr>
      </w:pPr>
    </w:p>
    <w:p>
      <w:pPr>
        <w:ind w:left="1" w:right="199"/>
        <w:spacing w:after="0" w:line="316"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at December 31, 2020.</w:t>
      </w:r>
    </w:p>
    <w:p>
      <w:pPr>
        <w:spacing w:after="0" w:line="164" w:lineRule="exact"/>
        <w:rPr>
          <w:sz w:val="20"/>
          <w:szCs w:val="20"/>
          <w:color w:val="auto"/>
        </w:rPr>
      </w:pPr>
    </w:p>
    <w:tbl>
      <w:tblPr>
        <w:tblLayout w:type="fixed"/>
        <w:tblInd w:w="1"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color w:val="auto"/>
              </w:rPr>
              <w:t>Quoted Prices in</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center"/>
              <w:ind w:right="159"/>
              <w:spacing w:after="0"/>
              <w:rPr>
                <w:sz w:val="20"/>
                <w:szCs w:val="20"/>
                <w:color w:val="auto"/>
              </w:rPr>
            </w:pPr>
            <w:r>
              <w:rPr>
                <w:rFonts w:ascii="Arial" w:cs="Arial" w:eastAsia="Arial" w:hAnsi="Arial"/>
                <w:sz w:val="16"/>
                <w:szCs w:val="16"/>
                <w:color w:val="auto"/>
                <w:w w:val="97"/>
              </w:rPr>
              <w:t>Significant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6"/>
                <w:szCs w:val="16"/>
                <w:color w:val="auto"/>
                <w:w w:val="95"/>
              </w:rPr>
              <w:t>Active Markets for</w:t>
            </w:r>
          </w:p>
        </w:tc>
        <w:tc>
          <w:tcPr>
            <w:tcW w:w="220" w:type="dxa"/>
            <w:vAlign w:val="bottom"/>
          </w:tcPr>
          <w:p>
            <w:pPr>
              <w:spacing w:after="0"/>
              <w:rPr>
                <w:sz w:val="17"/>
                <w:szCs w:val="17"/>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6"/>
                <w:szCs w:val="16"/>
                <w:color w:val="auto"/>
                <w:w w:val="97"/>
              </w:rPr>
              <w:t>Significant</w:t>
            </w:r>
          </w:p>
        </w:tc>
        <w:tc>
          <w:tcPr>
            <w:tcW w:w="1280" w:type="dxa"/>
            <w:vAlign w:val="bottom"/>
            <w:gridSpan w:val="2"/>
          </w:tcPr>
          <w:p>
            <w:pPr>
              <w:jc w:val="center"/>
              <w:spacing w:after="0"/>
              <w:rPr>
                <w:sz w:val="20"/>
                <w:szCs w:val="20"/>
                <w:color w:val="auto"/>
              </w:rPr>
            </w:pPr>
            <w:r>
              <w:rPr>
                <w:rFonts w:ascii="Arial" w:cs="Arial" w:eastAsia="Arial" w:hAnsi="Arial"/>
                <w:sz w:val="16"/>
                <w:szCs w:val="16"/>
                <w:color w:val="auto"/>
                <w:w w:val="91"/>
              </w:rPr>
              <w:t>Unobservable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color w:val="auto"/>
              </w:rPr>
              <w:t>Identical Assets</w:t>
            </w:r>
          </w:p>
        </w:tc>
        <w:tc>
          <w:tcPr>
            <w:tcW w:w="1440" w:type="dxa"/>
            <w:vAlign w:val="bottom"/>
            <w:gridSpan w:val="3"/>
          </w:tcPr>
          <w:p>
            <w:pPr>
              <w:jc w:val="center"/>
              <w:ind w:right="220"/>
              <w:spacing w:after="0"/>
              <w:rPr>
                <w:sz w:val="20"/>
                <w:szCs w:val="20"/>
                <w:color w:val="auto"/>
              </w:rPr>
            </w:pPr>
            <w:r>
              <w:rPr>
                <w:rFonts w:ascii="Arial" w:cs="Arial" w:eastAsia="Arial" w:hAnsi="Arial"/>
                <w:sz w:val="16"/>
                <w:szCs w:val="16"/>
                <w:color w:val="auto"/>
                <w:w w:val="90"/>
              </w:rPr>
              <w:t>Observable Inputs</w:t>
            </w:r>
          </w:p>
        </w:tc>
        <w:tc>
          <w:tcPr>
            <w:tcW w:w="240" w:type="dxa"/>
            <w:vAlign w:val="bottom"/>
          </w:tcPr>
          <w:p>
            <w:pPr>
              <w:spacing w:after="0"/>
              <w:rPr>
                <w:sz w:val="17"/>
                <w:szCs w:val="17"/>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Inputs</w:t>
            </w:r>
          </w:p>
        </w:tc>
        <w:tc>
          <w:tcPr>
            <w:tcW w:w="0" w:type="dxa"/>
            <w:vAlign w:val="bottom"/>
          </w:tcPr>
          <w:p>
            <w:pPr>
              <w:spacing w:after="0"/>
              <w:rPr>
                <w:sz w:val="1"/>
                <w:szCs w:val="1"/>
                <w:color w:val="auto"/>
              </w:rPr>
            </w:pPr>
          </w:p>
        </w:tc>
      </w:tr>
      <w:tr>
        <w:trPr>
          <w:trHeight w:val="219"/>
        </w:trPr>
        <w:tc>
          <w:tcPr>
            <w:tcW w:w="19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(Level 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color w:val="auto"/>
                <w:w w:val="96"/>
              </w:rPr>
              <w:t>(Level 2)</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6"/>
              </w:rPr>
              <w:t>(Level 3)</w:t>
            </w:r>
          </w:p>
        </w:tc>
        <w:tc>
          <w:tcPr>
            <w:tcW w:w="0" w:type="dxa"/>
            <w:vAlign w:val="bottom"/>
          </w:tcPr>
          <w:p>
            <w:pPr>
              <w:spacing w:after="0"/>
              <w:rPr>
                <w:sz w:val="1"/>
                <w:szCs w:val="1"/>
                <w:color w:val="auto"/>
              </w:rPr>
            </w:pPr>
          </w:p>
        </w:tc>
      </w:tr>
      <w:tr>
        <w:trPr>
          <w:trHeight w:val="193"/>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5"/>
              </w:rPr>
              <w:t>Assets accounted for at fair value on a recurring</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basis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Fixed maturity securities available for sale</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294,656,679</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292,455,504</w:t>
            </w:r>
          </w:p>
        </w:tc>
        <w:tc>
          <w:tcPr>
            <w:tcW w:w="2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2,201,175</w:t>
            </w:r>
          </w:p>
        </w:tc>
        <w:tc>
          <w:tcPr>
            <w:tcW w:w="0" w:type="dxa"/>
            <w:vAlign w:val="bottom"/>
          </w:tcPr>
          <w:p>
            <w:pPr>
              <w:spacing w:after="0"/>
              <w:rPr>
                <w:sz w:val="1"/>
                <w:szCs w:val="1"/>
                <w:color w:val="auto"/>
              </w:rPr>
            </w:pPr>
          </w:p>
        </w:tc>
      </w:tr>
      <w:tr>
        <w:trPr>
          <w:trHeight w:val="23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11,324,239</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11,324,239</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Loans held for sale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422,772,418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422,772,418</w:t>
            </w:r>
          </w:p>
        </w:tc>
        <w:tc>
          <w:tcPr>
            <w:tcW w:w="0" w:type="dxa"/>
            <w:vAlign w:val="bottom"/>
          </w:tcPr>
          <w:p>
            <w:pPr>
              <w:spacing w:after="0"/>
              <w:rPr>
                <w:sz w:val="1"/>
                <w:szCs w:val="1"/>
                <w:color w:val="auto"/>
              </w:rPr>
            </w:pPr>
          </w:p>
        </w:tc>
      </w:tr>
      <w:tr>
        <w:trPr>
          <w:trHeight w:val="23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Restricted assets (1)</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1,473,637</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1,473,637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Restricted assets (2)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2,515,778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2,515,778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Cemetery perpetual care trust investments (1)</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747,767</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747,767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Cemetery perpetual care trust investments (2)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2,062,303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2,062,303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Derivatives - loan commitments (3)</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12,592,672</w:t>
            </w:r>
          </w:p>
        </w:tc>
        <w:tc>
          <w:tcPr>
            <w:tcW w:w="2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12,592,672</w:t>
            </w:r>
          </w:p>
        </w:tc>
        <w:tc>
          <w:tcPr>
            <w:tcW w:w="0" w:type="dxa"/>
            <w:vAlign w:val="bottom"/>
          </w:tcPr>
          <w:p>
            <w:pPr>
              <w:spacing w:after="0"/>
              <w:rPr>
                <w:sz w:val="1"/>
                <w:szCs w:val="1"/>
                <w:color w:val="auto"/>
              </w:rPr>
            </w:pPr>
          </w:p>
        </w:tc>
      </w:tr>
      <w:tr>
        <w:trPr>
          <w:trHeight w:val="186"/>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Total assets accounted for at fair value on a</w:t>
            </w:r>
          </w:p>
        </w:tc>
        <w:tc>
          <w:tcPr>
            <w:tcW w:w="3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748,145,493</w:t>
            </w:r>
          </w:p>
        </w:tc>
        <w:tc>
          <w:tcPr>
            <w:tcW w:w="240" w:type="dxa"/>
            <w:vAlign w:val="bottom"/>
          </w:tcPr>
          <w:p>
            <w:pPr>
              <w:spacing w:after="0"/>
              <w:rPr>
                <w:sz w:val="16"/>
                <w:szCs w:val="16"/>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15,902,320</w:t>
            </w:r>
          </w:p>
        </w:tc>
        <w:tc>
          <w:tcPr>
            <w:tcW w:w="24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294,676,908</w:t>
            </w:r>
          </w:p>
        </w:tc>
        <w:tc>
          <w:tcPr>
            <w:tcW w:w="220" w:type="dxa"/>
            <w:vAlign w:val="bottom"/>
          </w:tcPr>
          <w:p>
            <w:pPr>
              <w:spacing w:after="0"/>
              <w:rPr>
                <w:sz w:val="16"/>
                <w:szCs w:val="16"/>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437,566,265</w:t>
            </w:r>
          </w:p>
        </w:tc>
        <w:tc>
          <w:tcPr>
            <w:tcW w:w="0" w:type="dxa"/>
            <w:vAlign w:val="bottom"/>
          </w:tcPr>
          <w:p>
            <w:pPr>
              <w:spacing w:after="0"/>
              <w:rPr>
                <w:sz w:val="1"/>
                <w:szCs w:val="1"/>
                <w:color w:val="auto"/>
              </w:rPr>
            </w:pPr>
          </w:p>
        </w:tc>
      </w:tr>
      <w:tr>
        <w:trPr>
          <w:trHeight w:val="249"/>
        </w:trPr>
        <w:tc>
          <w:tcPr>
            <w:tcW w:w="33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recurring basis</w:t>
            </w:r>
          </w:p>
        </w:tc>
        <w:tc>
          <w:tcPr>
            <w:tcW w:w="32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Liabilities accounted for at fair value on a</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40"/>
              <w:spacing w:after="0"/>
              <w:rPr>
                <w:sz w:val="20"/>
                <w:szCs w:val="20"/>
                <w:color w:val="auto"/>
              </w:rPr>
            </w:pPr>
            <w:r>
              <w:rPr>
                <w:rFonts w:ascii="Arial" w:cs="Arial" w:eastAsia="Arial" w:hAnsi="Arial"/>
                <w:sz w:val="16"/>
                <w:szCs w:val="16"/>
                <w:color w:val="auto"/>
              </w:rPr>
              <w:t>recurring basis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Derivatives - call options (4)</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(43,097)</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(43,097)</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Derivatives - loan commitments (4)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(2,464,062)</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(2,464,062)</w:t>
            </w:r>
          </w:p>
        </w:tc>
        <w:tc>
          <w:tcPr>
            <w:tcW w:w="0" w:type="dxa"/>
            <w:vAlign w:val="bottom"/>
          </w:tcPr>
          <w:p>
            <w:pPr>
              <w:spacing w:after="0"/>
              <w:rPr>
                <w:sz w:val="1"/>
                <w:szCs w:val="1"/>
                <w:color w:val="auto"/>
              </w:rPr>
            </w:pPr>
          </w:p>
        </w:tc>
      </w:tr>
      <w:tr>
        <w:trPr>
          <w:trHeight w:val="193"/>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 accounted for at fair value on a</w:t>
            </w:r>
          </w:p>
        </w:tc>
        <w:tc>
          <w:tcPr>
            <w:tcW w:w="3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(2,507,159)</w:t>
            </w:r>
          </w:p>
        </w:tc>
        <w:tc>
          <w:tcPr>
            <w:tcW w:w="24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(43,097)</w:t>
            </w:r>
          </w:p>
        </w:tc>
        <w:tc>
          <w:tcPr>
            <w:tcW w:w="24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(2,464,062)</w:t>
            </w:r>
          </w:p>
        </w:tc>
        <w:tc>
          <w:tcPr>
            <w:tcW w:w="0" w:type="dxa"/>
            <w:vAlign w:val="bottom"/>
          </w:tcPr>
          <w:p>
            <w:pPr>
              <w:spacing w:after="0"/>
              <w:rPr>
                <w:sz w:val="1"/>
                <w:szCs w:val="1"/>
                <w:color w:val="auto"/>
              </w:rPr>
            </w:pPr>
          </w:p>
        </w:tc>
      </w:tr>
      <w:tr>
        <w:trPr>
          <w:trHeight w:val="209"/>
        </w:trPr>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recurring basis</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1920" w:type="dxa"/>
            <w:vAlign w:val="bottom"/>
            <w:tcBorders>
              <w:bottom w:val="single" w:sz="8" w:color="auto"/>
            </w:tcBorders>
          </w:tcPr>
          <w:p>
            <w:pPr>
              <w:spacing w:after="0"/>
              <w:rPr>
                <w:sz w:val="3"/>
                <w:szCs w:val="3"/>
                <w:color w:val="auto"/>
              </w:rPr>
            </w:pPr>
          </w:p>
        </w:tc>
        <w:tc>
          <w:tcPr>
            <w:tcW w:w="1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261" w:hanging="261"/>
        <w:spacing w:after="0"/>
        <w:tabs>
          <w:tab w:leader="none" w:pos="2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Fixed maturity securities available for sale</w:t>
      </w:r>
    </w:p>
    <w:p>
      <w:pPr>
        <w:spacing w:after="0" w:line="9" w:lineRule="exact"/>
        <w:rPr>
          <w:rFonts w:ascii="Arial" w:cs="Arial" w:eastAsia="Arial" w:hAnsi="Arial"/>
          <w:sz w:val="18"/>
          <w:szCs w:val="18"/>
          <w:color w:val="auto"/>
        </w:rPr>
      </w:pPr>
    </w:p>
    <w:p>
      <w:pPr>
        <w:ind w:left="261" w:hanging="261"/>
        <w:spacing w:after="0"/>
        <w:tabs>
          <w:tab w:leader="none" w:pos="2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Equity securities</w:t>
      </w:r>
    </w:p>
    <w:p>
      <w:pPr>
        <w:spacing w:after="0" w:line="9" w:lineRule="exact"/>
        <w:rPr>
          <w:rFonts w:ascii="Arial" w:cs="Arial" w:eastAsia="Arial" w:hAnsi="Arial"/>
          <w:sz w:val="18"/>
          <w:szCs w:val="18"/>
          <w:color w:val="auto"/>
        </w:rPr>
      </w:pPr>
    </w:p>
    <w:p>
      <w:pPr>
        <w:ind w:left="261" w:hanging="261"/>
        <w:spacing w:after="0"/>
        <w:tabs>
          <w:tab w:leader="none" w:pos="2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Included in other assets on the consolidated balance sheets</w:t>
      </w:r>
    </w:p>
    <w:p>
      <w:pPr>
        <w:spacing w:after="0" w:line="9" w:lineRule="exact"/>
        <w:rPr>
          <w:rFonts w:ascii="Arial" w:cs="Arial" w:eastAsia="Arial" w:hAnsi="Arial"/>
          <w:sz w:val="18"/>
          <w:szCs w:val="18"/>
          <w:color w:val="auto"/>
        </w:rPr>
      </w:pPr>
    </w:p>
    <w:p>
      <w:pPr>
        <w:ind w:left="261" w:hanging="261"/>
        <w:spacing w:after="0"/>
        <w:tabs>
          <w:tab w:leader="none" w:pos="2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Included in other liabilities and accrued expenses on the consolidated balance sheets</w:t>
      </w:r>
    </w:p>
    <w:p>
      <w:pPr>
        <w:spacing w:after="0" w:line="235" w:lineRule="exact"/>
        <w:rPr>
          <w:sz w:val="20"/>
          <w:szCs w:val="20"/>
          <w:color w:val="auto"/>
        </w:rPr>
      </w:pPr>
    </w:p>
    <w:p>
      <w:pPr>
        <w:jc w:val="center"/>
        <w:ind w:right="158"/>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1" w:right="1440" w:bottom="1440" w:gutter="0" w:footer="0" w:header="0"/>
        </w:sectPr>
      </w:pPr>
    </w:p>
    <w:bookmarkStart w:id="35" w:name="page36"/>
    <w:bookmarkEnd w:id="35"/>
    <w:p>
      <w:pPr>
        <w:jc w:val="center"/>
        <w:ind w:right="158"/>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92" w:lineRule="exact"/>
        <w:rPr>
          <w:sz w:val="20"/>
          <w:szCs w:val="20"/>
          <w:color w:val="auto"/>
        </w:rPr>
      </w:pPr>
    </w:p>
    <w:p>
      <w:pPr>
        <w:ind w:left="481" w:hanging="481"/>
        <w:spacing w:after="0"/>
        <w:tabs>
          <w:tab w:leader="none" w:pos="481"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r>
        <w:rPr>
          <w:rFonts w:ascii="Arial" w:cs="Arial" w:eastAsia="Arial" w:hAnsi="Arial"/>
          <w:sz w:val="20"/>
          <w:szCs w:val="20"/>
          <w:color w:val="auto"/>
        </w:rPr>
        <w:t xml:space="preserve"> (Continued)</w:t>
      </w:r>
    </w:p>
    <w:p>
      <w:pPr>
        <w:spacing w:after="0" w:line="256" w:lineRule="exact"/>
        <w:rPr>
          <w:sz w:val="20"/>
          <w:szCs w:val="20"/>
          <w:color w:val="auto"/>
        </w:rPr>
      </w:pPr>
    </w:p>
    <w:p>
      <w:pPr>
        <w:ind w:left="1" w:right="159"/>
        <w:spacing w:after="0" w:line="260" w:lineRule="auto"/>
        <w:rPr>
          <w:sz w:val="20"/>
          <w:szCs w:val="20"/>
          <w:color w:val="auto"/>
        </w:rPr>
      </w:pPr>
      <w:r>
        <w:rPr>
          <w:rFonts w:ascii="Arial" w:cs="Arial" w:eastAsia="Arial" w:hAnsi="Arial"/>
          <w:sz w:val="20"/>
          <w:szCs w:val="20"/>
          <w:color w:val="auto"/>
        </w:rPr>
        <w:t>For Level 3 assets and liabilities measured at fair value on a recurring basis as of March 31, 2021, the significant unobservable inputs used in the fair value measurements were as follows:</w:t>
      </w:r>
    </w:p>
    <w:p>
      <w:pPr>
        <w:spacing w:after="0" w:line="233" w:lineRule="exact"/>
        <w:rPr>
          <w:sz w:val="20"/>
          <w:szCs w:val="20"/>
          <w:color w:val="auto"/>
        </w:rPr>
      </w:pPr>
    </w:p>
    <w:tbl>
      <w:tblPr>
        <w:tblLayout w:type="fixed"/>
        <w:tblInd w:w="1" w:type="dxa"/>
        <w:tblCellMar>
          <w:top w:w="0" w:type="dxa"/>
          <w:left w:w="0" w:type="dxa"/>
          <w:bottom w:w="0" w:type="dxa"/>
          <w:right w:w="0" w:type="dxa"/>
        </w:tblCellMar>
      </w:tblPr>
      <w:tr>
        <w:trPr>
          <w:trHeight w:val="237"/>
        </w:trPr>
        <w:tc>
          <w:tcPr>
            <w:tcW w:w="2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Significant</w:t>
            </w:r>
          </w:p>
        </w:tc>
        <w:tc>
          <w:tcPr>
            <w:tcW w:w="1620" w:type="dxa"/>
            <w:vAlign w:val="bottom"/>
            <w:gridSpan w:val="3"/>
          </w:tcPr>
          <w:p>
            <w:pPr>
              <w:ind w:left="200"/>
              <w:spacing w:after="0"/>
              <w:rPr>
                <w:sz w:val="20"/>
                <w:szCs w:val="20"/>
                <w:color w:val="auto"/>
              </w:rPr>
            </w:pPr>
            <w:r>
              <w:rPr>
                <w:rFonts w:ascii="Arial" w:cs="Arial" w:eastAsia="Arial" w:hAnsi="Arial"/>
                <w:sz w:val="18"/>
                <w:szCs w:val="18"/>
                <w:color w:val="auto"/>
              </w:rPr>
              <w:t>Range of Inputs</w:t>
            </w:r>
          </w:p>
        </w:tc>
        <w:tc>
          <w:tcPr>
            <w:tcW w:w="720" w:type="dxa"/>
            <w:vAlign w:val="bottom"/>
          </w:tcPr>
          <w:p>
            <w:pPr>
              <w:spacing w:after="0"/>
              <w:rPr>
                <w:sz w:val="20"/>
                <w:szCs w:val="20"/>
                <w:color w:val="auto"/>
              </w:rPr>
            </w:pPr>
          </w:p>
        </w:tc>
      </w:tr>
      <w:tr>
        <w:trPr>
          <w:trHeight w:val="230"/>
        </w:trPr>
        <w:tc>
          <w:tcPr>
            <w:tcW w:w="2740" w:type="dxa"/>
            <w:vAlign w:val="bottom"/>
          </w:tcPr>
          <w:p>
            <w:pPr>
              <w:spacing w:after="0"/>
              <w:rPr>
                <w:sz w:val="20"/>
                <w:szCs w:val="20"/>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Fair Value at</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rPr>
              <w:t>Valuation</w:t>
            </w:r>
          </w:p>
        </w:tc>
        <w:tc>
          <w:tcPr>
            <w:tcW w:w="16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5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6"/>
              </w:rPr>
              <w:t>Minimum Maximum</w:t>
            </w:r>
          </w:p>
        </w:tc>
        <w:tc>
          <w:tcPr>
            <w:tcW w:w="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49"/>
        </w:trPr>
        <w:tc>
          <w:tcPr>
            <w:tcW w:w="27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3/31/2021</w:t>
            </w:r>
          </w:p>
        </w:tc>
        <w:tc>
          <w:tcPr>
            <w:tcW w:w="80" w:type="dxa"/>
            <w:vAlign w:val="bottom"/>
          </w:tcPr>
          <w:p>
            <w:pPr>
              <w:spacing w:after="0"/>
              <w:rPr>
                <w:sz w:val="21"/>
                <w:szCs w:val="21"/>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Technique</w:t>
            </w:r>
          </w:p>
        </w:tc>
        <w:tc>
          <w:tcPr>
            <w:tcW w:w="16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Input(s)</w:t>
            </w:r>
          </w:p>
        </w:tc>
        <w:tc>
          <w:tcPr>
            <w:tcW w:w="740" w:type="dxa"/>
            <w:vAlign w:val="bottom"/>
          </w:tcPr>
          <w:p>
            <w:pPr>
              <w:ind w:left="160"/>
              <w:spacing w:after="0"/>
              <w:rPr>
                <w:sz w:val="20"/>
                <w:szCs w:val="20"/>
                <w:color w:val="auto"/>
              </w:rPr>
            </w:pPr>
            <w:r>
              <w:rPr>
                <w:rFonts w:ascii="Arial" w:cs="Arial" w:eastAsia="Arial" w:hAnsi="Arial"/>
                <w:sz w:val="18"/>
                <w:szCs w:val="18"/>
                <w:color w:val="auto"/>
              </w:rPr>
              <w:t>Value</w:t>
            </w: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Value</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Average</w:t>
            </w:r>
          </w:p>
        </w:tc>
      </w:tr>
      <w:tr>
        <w:trPr>
          <w:trHeight w:val="215"/>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$ 304,030,372</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Market</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Investor contract</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r>
      <w:tr>
        <w:trPr>
          <w:trHeight w:val="216"/>
        </w:trPr>
        <w:tc>
          <w:tcPr>
            <w:tcW w:w="2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approach</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pricing as a</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percentage of unpaid</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4"/>
        </w:trPr>
        <w:tc>
          <w:tcPr>
            <w:tcW w:w="27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principal balance</w:t>
            </w:r>
          </w:p>
        </w:tc>
        <w:tc>
          <w:tcPr>
            <w:tcW w:w="7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43"/>
        </w:trPr>
        <w:tc>
          <w:tcPr>
            <w:tcW w:w="2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15"/>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 loan commitments</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10,443,076</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4"/>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approach</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Pull-through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30"/>
        </w:trPr>
        <w:tc>
          <w:tcPr>
            <w:tcW w:w="2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Initial-Value</w:t>
            </w:r>
          </w:p>
        </w:tc>
        <w:tc>
          <w:tcPr>
            <w:tcW w:w="740" w:type="dxa"/>
            <w:vAlign w:val="bottom"/>
          </w:tcPr>
          <w:p>
            <w:pPr>
              <w:ind w:left="22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rPr>
              <w:t>N/A</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56"/>
        </w:trPr>
        <w:tc>
          <w:tcPr>
            <w:tcW w:w="27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Servicing</w:t>
            </w: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 bps</w:t>
            </w: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129 bps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 bps</w:t>
            </w:r>
          </w:p>
        </w:tc>
      </w:tr>
      <w:tr>
        <w:trPr>
          <w:trHeight w:val="243"/>
        </w:trPr>
        <w:tc>
          <w:tcPr>
            <w:tcW w:w="2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15"/>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Fixed maturity securities available</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2,191,093</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4"/>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sale</w:t>
            </w: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Broker quotes</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Pricing quotes</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90.83</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$ 119.33</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$ 113.57</w:t>
            </w:r>
          </w:p>
        </w:tc>
      </w:tr>
    </w:tbl>
    <w:p>
      <w:pPr>
        <w:spacing w:after="0" w:line="213" w:lineRule="exact"/>
        <w:rPr>
          <w:sz w:val="20"/>
          <w:szCs w:val="20"/>
          <w:color w:val="auto"/>
        </w:rPr>
      </w:pPr>
    </w:p>
    <w:p>
      <w:pPr>
        <w:jc w:val="both"/>
        <w:ind w:left="1" w:right="179"/>
        <w:spacing w:after="0" w:line="260" w:lineRule="auto"/>
        <w:rPr>
          <w:sz w:val="20"/>
          <w:szCs w:val="20"/>
          <w:color w:val="auto"/>
        </w:rPr>
      </w:pPr>
      <w:r>
        <w:rPr>
          <w:rFonts w:ascii="Arial" w:cs="Arial" w:eastAsia="Arial" w:hAnsi="Arial"/>
          <w:sz w:val="20"/>
          <w:szCs w:val="20"/>
          <w:color w:val="auto"/>
        </w:rPr>
        <w:t>For Level 3 assets and liabilities measured at fair value on a recurring basis as of December 31, 2020, the significant unobservable inputs used in the fair value measurements were as follows:</w:t>
      </w:r>
    </w:p>
    <w:p>
      <w:pPr>
        <w:spacing w:after="0" w:line="233" w:lineRule="exact"/>
        <w:rPr>
          <w:sz w:val="20"/>
          <w:szCs w:val="20"/>
          <w:color w:val="auto"/>
        </w:rPr>
      </w:pPr>
    </w:p>
    <w:tbl>
      <w:tblPr>
        <w:tblLayout w:type="fixed"/>
        <w:tblInd w:w="1" w:type="dxa"/>
        <w:tblCellMar>
          <w:top w:w="0" w:type="dxa"/>
          <w:left w:w="0" w:type="dxa"/>
          <w:bottom w:w="0" w:type="dxa"/>
          <w:right w:w="0" w:type="dxa"/>
        </w:tblCellMar>
      </w:tblPr>
      <w:tr>
        <w:trPr>
          <w:trHeight w:val="237"/>
        </w:trPr>
        <w:tc>
          <w:tcPr>
            <w:tcW w:w="2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Significant</w:t>
            </w:r>
          </w:p>
        </w:tc>
        <w:tc>
          <w:tcPr>
            <w:tcW w:w="1620" w:type="dxa"/>
            <w:vAlign w:val="bottom"/>
            <w:gridSpan w:val="3"/>
          </w:tcPr>
          <w:p>
            <w:pPr>
              <w:ind w:left="200"/>
              <w:spacing w:after="0"/>
              <w:rPr>
                <w:sz w:val="20"/>
                <w:szCs w:val="20"/>
                <w:color w:val="auto"/>
              </w:rPr>
            </w:pPr>
            <w:r>
              <w:rPr>
                <w:rFonts w:ascii="Arial" w:cs="Arial" w:eastAsia="Arial" w:hAnsi="Arial"/>
                <w:sz w:val="18"/>
                <w:szCs w:val="18"/>
                <w:color w:val="auto"/>
              </w:rPr>
              <w:t>Range of Inputs</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74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Fair Value at</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rPr>
              <w:t>Valuation</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Unobservable</w:t>
            </w:r>
          </w:p>
        </w:tc>
        <w:tc>
          <w:tcPr>
            <w:tcW w:w="15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6"/>
              </w:rPr>
              <w:t>Minimum Maximum</w:t>
            </w:r>
          </w:p>
        </w:tc>
        <w:tc>
          <w:tcPr>
            <w:tcW w:w="80" w:type="dxa"/>
            <w:vAlign w:val="bottom"/>
          </w:tcPr>
          <w:p>
            <w:pPr>
              <w:spacing w:after="0"/>
              <w:rPr>
                <w:sz w:val="20"/>
                <w:szCs w:val="20"/>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Weighted</w:t>
            </w:r>
          </w:p>
        </w:tc>
      </w:tr>
      <w:tr>
        <w:trPr>
          <w:trHeight w:val="249"/>
        </w:trPr>
        <w:tc>
          <w:tcPr>
            <w:tcW w:w="27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12/31/2020</w:t>
            </w:r>
          </w:p>
        </w:tc>
        <w:tc>
          <w:tcPr>
            <w:tcW w:w="80" w:type="dxa"/>
            <w:vAlign w:val="bottom"/>
          </w:tcPr>
          <w:p>
            <w:pPr>
              <w:spacing w:after="0"/>
              <w:rPr>
                <w:sz w:val="21"/>
                <w:szCs w:val="21"/>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Technique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Input(s)</w:t>
            </w:r>
          </w:p>
        </w:tc>
        <w:tc>
          <w:tcPr>
            <w:tcW w:w="740" w:type="dxa"/>
            <w:vAlign w:val="bottom"/>
          </w:tcPr>
          <w:p>
            <w:pPr>
              <w:ind w:left="160"/>
              <w:spacing w:after="0"/>
              <w:rPr>
                <w:sz w:val="20"/>
                <w:szCs w:val="20"/>
                <w:color w:val="auto"/>
              </w:rPr>
            </w:pPr>
            <w:r>
              <w:rPr>
                <w:rFonts w:ascii="Arial" w:cs="Arial" w:eastAsia="Arial" w:hAnsi="Arial"/>
                <w:sz w:val="18"/>
                <w:szCs w:val="18"/>
                <w:color w:val="auto"/>
              </w:rPr>
              <w:t>Value</w:t>
            </w: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Value</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Average</w:t>
            </w:r>
          </w:p>
        </w:tc>
      </w:tr>
      <w:tr>
        <w:trPr>
          <w:trHeight w:val="215"/>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$ 422,772,418</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Market</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Investor contract</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approach</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pricing as a</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unpaid principal</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27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w:t>
            </w:r>
          </w:p>
        </w:tc>
        <w:tc>
          <w:tcPr>
            <w:tcW w:w="7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 loan commitments</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10,128,610</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approach</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Pull-through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21"/>
                <w:szCs w:val="21"/>
                <w:color w:val="auto"/>
              </w:rPr>
            </w:pPr>
          </w:p>
        </w:tc>
      </w:tr>
      <w:tr>
        <w:trPr>
          <w:trHeight w:val="230"/>
        </w:trPr>
        <w:tc>
          <w:tcPr>
            <w:tcW w:w="2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Initial-Value</w:t>
            </w:r>
          </w:p>
        </w:tc>
        <w:tc>
          <w:tcPr>
            <w:tcW w:w="740" w:type="dxa"/>
            <w:vAlign w:val="bottom"/>
          </w:tcPr>
          <w:p>
            <w:pPr>
              <w:ind w:left="22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rPr>
              <w:t>N/A</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20"/>
                <w:szCs w:val="20"/>
                <w:color w:val="auto"/>
              </w:rPr>
            </w:pPr>
          </w:p>
        </w:tc>
      </w:tr>
      <w:tr>
        <w:trPr>
          <w:trHeight w:val="256"/>
        </w:trPr>
        <w:tc>
          <w:tcPr>
            <w:tcW w:w="27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Servicing</w:t>
            </w: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 bps</w:t>
            </w: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184 bps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58 bps</w:t>
            </w:r>
          </w:p>
        </w:tc>
        <w:tc>
          <w:tcPr>
            <w:tcW w:w="20" w:type="dxa"/>
            <w:vAlign w:val="bottom"/>
          </w:tcPr>
          <w:p>
            <w:pPr>
              <w:spacing w:after="0"/>
              <w:rPr>
                <w:sz w:val="22"/>
                <w:szCs w:val="22"/>
                <w:color w:val="auto"/>
              </w:rPr>
            </w:pPr>
          </w:p>
        </w:tc>
      </w:tr>
      <w:tr>
        <w:trPr>
          <w:trHeight w:val="243"/>
        </w:trPr>
        <w:tc>
          <w:tcPr>
            <w:tcW w:w="2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Fixed maturity securities available</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2,201,175</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sale</w:t>
            </w: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Broker quotes</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Pricing quotes</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90.83</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$ 119.33</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$ 113.47</w:t>
            </w:r>
          </w:p>
        </w:tc>
        <w:tc>
          <w:tcPr>
            <w:tcW w:w="20" w:type="dxa"/>
            <w:vAlign w:val="bottom"/>
          </w:tcPr>
          <w:p>
            <w:pPr>
              <w:spacing w:after="0"/>
              <w:rPr>
                <w:sz w:val="21"/>
                <w:szCs w:val="21"/>
                <w:color w:val="auto"/>
              </w:rPr>
            </w:pPr>
          </w:p>
        </w:tc>
      </w:tr>
    </w:tbl>
    <w:p>
      <w:pPr>
        <w:spacing w:after="0" w:line="226" w:lineRule="exact"/>
        <w:rPr>
          <w:sz w:val="20"/>
          <w:szCs w:val="20"/>
          <w:color w:val="auto"/>
        </w:rPr>
      </w:pPr>
    </w:p>
    <w:p>
      <w:pPr>
        <w:jc w:val="center"/>
        <w:ind w:right="158"/>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1" w:right="1440" w:bottom="1440" w:gutter="0" w:footer="0" w:header="0"/>
        </w:sectPr>
      </w:pPr>
    </w:p>
    <w:bookmarkStart w:id="36" w:name="page37"/>
    <w:bookmarkEnd w:id="36"/>
    <w:p>
      <w:pPr>
        <w:jc w:val="center"/>
        <w:ind w:left="1220" w:right="132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92" w:lineRule="exact"/>
        <w:rPr>
          <w:sz w:val="20"/>
          <w:szCs w:val="20"/>
          <w:color w:val="auto"/>
        </w:rPr>
      </w:pPr>
    </w:p>
    <w:p>
      <w:pPr>
        <w:ind w:left="481" w:hanging="481"/>
        <w:spacing w:after="0"/>
        <w:tabs>
          <w:tab w:leader="none" w:pos="481"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r>
        <w:rPr>
          <w:rFonts w:ascii="Arial" w:cs="Arial" w:eastAsia="Arial" w:hAnsi="Arial"/>
          <w:sz w:val="20"/>
          <w:szCs w:val="20"/>
          <w:color w:val="auto"/>
        </w:rPr>
        <w:t xml:space="preserve"> (Continued)</w:t>
      </w:r>
    </w:p>
    <w:p>
      <w:pPr>
        <w:spacing w:after="0" w:line="256" w:lineRule="exact"/>
        <w:rPr>
          <w:sz w:val="20"/>
          <w:szCs w:val="20"/>
          <w:color w:val="auto"/>
        </w:rPr>
      </w:pPr>
    </w:p>
    <w:p>
      <w:pPr>
        <w:ind w:left="1" w:right="179"/>
        <w:spacing w:after="0" w:line="260" w:lineRule="auto"/>
        <w:rPr>
          <w:sz w:val="20"/>
          <w:szCs w:val="20"/>
          <w:color w:val="auto"/>
        </w:rPr>
      </w:pPr>
      <w:r>
        <w:rPr>
          <w:rFonts w:ascii="Arial" w:cs="Arial" w:eastAsia="Arial" w:hAnsi="Arial"/>
          <w:sz w:val="20"/>
          <w:szCs w:val="20"/>
          <w:color w:val="auto"/>
        </w:rPr>
        <w:t>Following is a summary of changes in the condensed consolidated balance sheet line items measured using level 3 inputs:</w:t>
      </w:r>
    </w:p>
    <w:p>
      <w:pPr>
        <w:spacing w:after="0" w:line="206"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color w:val="auto"/>
                <w:w w:val="95"/>
              </w:rPr>
              <w:t>Fixed Maturity</w:t>
            </w:r>
          </w:p>
        </w:tc>
        <w:tc>
          <w:tcPr>
            <w:tcW w:w="3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w w:val="93"/>
              </w:rPr>
              <w:t>Net Loan</w:t>
            </w: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Loans Held for</w:t>
            </w:r>
          </w:p>
        </w:tc>
        <w:tc>
          <w:tcPr>
            <w:tcW w:w="38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1"/>
              </w:rPr>
              <w:t>Securities Available</w:t>
            </w:r>
          </w:p>
        </w:tc>
        <w:tc>
          <w:tcPr>
            <w:tcW w:w="380" w:type="dxa"/>
            <w:vAlign w:val="bottom"/>
          </w:tcPr>
          <w:p>
            <w:pPr>
              <w:spacing w:after="0"/>
              <w:rPr>
                <w:sz w:val="18"/>
                <w:szCs w:val="18"/>
                <w:color w:val="auto"/>
              </w:rPr>
            </w:pPr>
          </w:p>
        </w:tc>
      </w:tr>
      <w:tr>
        <w:trPr>
          <w:trHeight w:val="237"/>
        </w:trPr>
        <w:tc>
          <w:tcPr>
            <w:tcW w:w="1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Commitments</w:t>
            </w:r>
          </w:p>
        </w:tc>
        <w:tc>
          <w:tcPr>
            <w:tcW w:w="16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Sale</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color w:val="auto"/>
                <w:w w:val="90"/>
              </w:rPr>
              <w:t>for Sale</w:t>
            </w:r>
          </w:p>
        </w:tc>
        <w:tc>
          <w:tcPr>
            <w:tcW w:w="380" w:type="dxa"/>
            <w:vAlign w:val="bottom"/>
          </w:tcPr>
          <w:p>
            <w:pPr>
              <w:spacing w:after="0"/>
              <w:rPr>
                <w:sz w:val="20"/>
                <w:szCs w:val="20"/>
                <w:color w:val="auto"/>
              </w:rPr>
            </w:pPr>
          </w:p>
        </w:tc>
      </w:tr>
      <w:tr>
        <w:trPr>
          <w:trHeight w:val="243"/>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 December 31, 2020</w:t>
            </w:r>
          </w:p>
        </w:tc>
        <w:tc>
          <w:tcPr>
            <w:tcW w:w="2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10,128,610</w:t>
            </w:r>
          </w:p>
        </w:tc>
        <w:tc>
          <w:tcPr>
            <w:tcW w:w="4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422,772,418</w:t>
            </w:r>
          </w:p>
        </w:tc>
        <w:tc>
          <w:tcPr>
            <w:tcW w:w="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2,201,175</w:t>
            </w:r>
          </w:p>
        </w:tc>
        <w:tc>
          <w:tcPr>
            <w:tcW w:w="380" w:type="dxa"/>
            <w:vAlign w:val="bottom"/>
            <w:tcBorders>
              <w:top w:val="single" w:sz="8" w:color="CCEEFF"/>
            </w:tcBorders>
            <w:shd w:val="clear" w:color="auto" w:fill="CCEEFF"/>
          </w:tcPr>
          <w:p>
            <w:pPr>
              <w:spacing w:after="0"/>
              <w:rPr>
                <w:sz w:val="21"/>
                <w:szCs w:val="21"/>
                <w:color w:val="auto"/>
              </w:rPr>
            </w:pPr>
          </w:p>
        </w:tc>
      </w:tr>
      <w:tr>
        <w:trPr>
          <w:trHeight w:val="237"/>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Originations and purchases</w:t>
            </w:r>
          </w:p>
        </w:tc>
        <w:tc>
          <w:tcPr>
            <w:tcW w:w="26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1,449,841,009</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r>
      <w:tr>
        <w:trPr>
          <w:trHeight w:val="24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maturities and paydowns</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(1,614,880,058)</w:t>
            </w: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(11,100)</w:t>
            </w:r>
          </w:p>
        </w:tc>
      </w:tr>
      <w:tr>
        <w:trPr>
          <w:trHeight w:val="215"/>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Transfer to mortgage loans held for</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7"/>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investment</w:t>
            </w:r>
          </w:p>
        </w:tc>
        <w:tc>
          <w:tcPr>
            <w:tcW w:w="26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(201,951)</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r>
      <w:tr>
        <w:trPr>
          <w:trHeight w:val="25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gains (losses):</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37"/>
        </w:trPr>
        <w:tc>
          <w:tcPr>
            <w:tcW w:w="3640" w:type="dxa"/>
            <w:vAlign w:val="bottom"/>
            <w:gridSpan w:val="2"/>
          </w:tcPr>
          <w:p>
            <w:pPr>
              <w:ind w:left="200"/>
              <w:spacing w:after="0"/>
              <w:rPr>
                <w:sz w:val="20"/>
                <w:szCs w:val="20"/>
                <w:color w:val="auto"/>
              </w:rPr>
            </w:pPr>
            <w:r>
              <w:rPr>
                <w:rFonts w:ascii="Arial" w:cs="Arial" w:eastAsia="Arial" w:hAnsi="Arial"/>
                <w:sz w:val="18"/>
                <w:szCs w:val="18"/>
                <w:color w:val="auto"/>
              </w:rPr>
              <w:t>Included in earnings</w:t>
            </w:r>
          </w:p>
        </w:tc>
        <w:tc>
          <w:tcPr>
            <w:tcW w:w="26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314,466(1)</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46,498,954</w:t>
            </w:r>
          </w:p>
        </w:tc>
        <w:tc>
          <w:tcPr>
            <w:tcW w:w="20" w:type="dxa"/>
            <w:vAlign w:val="bottom"/>
          </w:tcPr>
          <w:p>
            <w:pPr>
              <w:spacing w:after="0"/>
              <w:rPr>
                <w:sz w:val="20"/>
                <w:szCs w:val="20"/>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(1)</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(2)</w:t>
            </w:r>
          </w:p>
        </w:tc>
      </w:tr>
      <w:tr>
        <w:trPr>
          <w:trHeight w:val="249"/>
        </w:trPr>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CEEFF"/>
          </w:tcPr>
          <w:p>
            <w:pPr>
              <w:spacing w:after="0"/>
              <w:rPr>
                <w:sz w:val="21"/>
                <w:szCs w:val="21"/>
                <w:color w:val="auto"/>
              </w:rPr>
            </w:pPr>
          </w:p>
        </w:tc>
      </w:tr>
      <w:tr>
        <w:trPr>
          <w:trHeight w:val="243"/>
        </w:trPr>
        <w:tc>
          <w:tcPr>
            <w:tcW w:w="192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r>
      <w:tr>
        <w:trPr>
          <w:trHeight w:val="237"/>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 March 31, 2021</w:t>
            </w:r>
          </w:p>
        </w:tc>
        <w:tc>
          <w:tcPr>
            <w:tcW w:w="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10,443,076</w:t>
            </w:r>
          </w:p>
        </w:tc>
        <w:tc>
          <w:tcPr>
            <w:tcW w:w="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304,030,372</w:t>
            </w: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2,191,093</w:t>
            </w:r>
          </w:p>
        </w:tc>
        <w:tc>
          <w:tcPr>
            <w:tcW w:w="380" w:type="dxa"/>
            <w:vAlign w:val="bottom"/>
            <w:tcBorders>
              <w:bottom w:val="single" w:sz="8" w:color="CCEEFF"/>
            </w:tcBorders>
            <w:shd w:val="clear" w:color="auto" w:fill="CCEEFF"/>
          </w:tcPr>
          <w:p>
            <w:pPr>
              <w:spacing w:after="0"/>
              <w:rPr>
                <w:sz w:val="20"/>
                <w:szCs w:val="20"/>
                <w:color w:val="auto"/>
              </w:rPr>
            </w:pPr>
          </w:p>
        </w:tc>
      </w:tr>
      <w:tr>
        <w:trPr>
          <w:trHeight w:val="20"/>
        </w:trPr>
        <w:tc>
          <w:tcPr>
            <w:tcW w:w="1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5"/>
        </w:trPr>
        <w:tc>
          <w:tcPr>
            <w:tcW w:w="1920" w:type="dxa"/>
            <w:vAlign w:val="bottom"/>
            <w:tcBorders>
              <w:bottom w:val="single" w:sz="8" w:color="auto"/>
            </w:tcBorders>
          </w:tcPr>
          <w:p>
            <w:pPr>
              <w:spacing w:after="0"/>
              <w:rPr>
                <w:sz w:val="3"/>
                <w:szCs w:val="3"/>
                <w:color w:val="auto"/>
              </w:rPr>
            </w:pPr>
          </w:p>
        </w:tc>
        <w:tc>
          <w:tcPr>
            <w:tcW w:w="1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80" w:type="dxa"/>
            <w:vAlign w:val="bottom"/>
          </w:tcPr>
          <w:p>
            <w:pPr>
              <w:spacing w:after="0"/>
              <w:rPr>
                <w:sz w:val="3"/>
                <w:szCs w:val="3"/>
                <w:color w:val="auto"/>
              </w:rPr>
            </w:pPr>
          </w:p>
        </w:tc>
      </w:tr>
    </w:tbl>
    <w:p>
      <w:pPr>
        <w:ind w:left="261" w:hanging="261"/>
        <w:spacing w:after="0"/>
        <w:tabs>
          <w:tab w:leader="none" w:pos="26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a component of Mortgage fee income on the condensed consolidated statements of earnings</w:t>
      </w:r>
    </w:p>
    <w:p>
      <w:pPr>
        <w:spacing w:after="0" w:line="9" w:lineRule="exact"/>
        <w:rPr>
          <w:rFonts w:ascii="Arial" w:cs="Arial" w:eastAsia="Arial" w:hAnsi="Arial"/>
          <w:sz w:val="18"/>
          <w:szCs w:val="18"/>
          <w:color w:val="auto"/>
        </w:rPr>
      </w:pPr>
    </w:p>
    <w:p>
      <w:pPr>
        <w:ind w:left="261" w:hanging="261"/>
        <w:spacing w:after="0"/>
        <w:tabs>
          <w:tab w:leader="none" w:pos="26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a component of Net investment income on the condensed consolidated statements of earnings</w:t>
      </w:r>
    </w:p>
    <w:p>
      <w:pPr>
        <w:spacing w:after="0" w:line="222" w:lineRule="exact"/>
        <w:rPr>
          <w:sz w:val="20"/>
          <w:szCs w:val="20"/>
          <w:color w:val="auto"/>
        </w:rPr>
      </w:pPr>
    </w:p>
    <w:p>
      <w:pPr>
        <w:ind w:left="1" w:right="179"/>
        <w:spacing w:after="0" w:line="260" w:lineRule="auto"/>
        <w:rPr>
          <w:sz w:val="20"/>
          <w:szCs w:val="20"/>
          <w:color w:val="auto"/>
        </w:rPr>
      </w:pPr>
      <w:r>
        <w:rPr>
          <w:rFonts w:ascii="Arial" w:cs="Arial" w:eastAsia="Arial" w:hAnsi="Arial"/>
          <w:sz w:val="20"/>
          <w:szCs w:val="20"/>
          <w:color w:val="auto"/>
        </w:rPr>
        <w:t>Following is a summary of changes in the condensed consolidated balance sheet line items measured using level 3 inputs:</w:t>
      </w:r>
    </w:p>
    <w:p>
      <w:pPr>
        <w:spacing w:after="0" w:line="220"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Fixed Maturity</w:t>
            </w:r>
          </w:p>
        </w:tc>
        <w:tc>
          <w:tcPr>
            <w:tcW w:w="40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w w:val="95"/>
              </w:rPr>
              <w:t>Net Loan</w:t>
            </w:r>
          </w:p>
        </w:tc>
        <w:tc>
          <w:tcPr>
            <w:tcW w:w="400" w:type="dxa"/>
            <w:vAlign w:val="bottom"/>
          </w:tcPr>
          <w:p>
            <w:pPr>
              <w:spacing w:after="0"/>
              <w:rPr>
                <w:sz w:val="18"/>
                <w:szCs w:val="18"/>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Loans Held for</w:t>
            </w:r>
          </w:p>
        </w:tc>
        <w:tc>
          <w:tcPr>
            <w:tcW w:w="400" w:type="dxa"/>
            <w:vAlign w:val="bottom"/>
          </w:tcPr>
          <w:p>
            <w:pPr>
              <w:spacing w:after="0"/>
              <w:rPr>
                <w:sz w:val="18"/>
                <w:szCs w:val="18"/>
                <w:color w:val="auto"/>
              </w:rPr>
            </w:pPr>
          </w:p>
        </w:tc>
        <w:tc>
          <w:tcPr>
            <w:tcW w:w="15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Securities Available</w:t>
            </w:r>
          </w:p>
        </w:tc>
        <w:tc>
          <w:tcPr>
            <w:tcW w:w="400" w:type="dxa"/>
            <w:vAlign w:val="bottom"/>
          </w:tcPr>
          <w:p>
            <w:pPr>
              <w:spacing w:after="0"/>
              <w:rPr>
                <w:sz w:val="18"/>
                <w:szCs w:val="18"/>
                <w:color w:val="auto"/>
              </w:rPr>
            </w:pPr>
          </w:p>
        </w:tc>
      </w:tr>
      <w:tr>
        <w:trPr>
          <w:trHeight w:val="237"/>
        </w:trPr>
        <w:tc>
          <w:tcPr>
            <w:tcW w:w="1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Commitments</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Sale</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for Sale</w:t>
            </w:r>
          </w:p>
        </w:tc>
        <w:tc>
          <w:tcPr>
            <w:tcW w:w="400" w:type="dxa"/>
            <w:vAlign w:val="bottom"/>
          </w:tcPr>
          <w:p>
            <w:pPr>
              <w:spacing w:after="0"/>
              <w:rPr>
                <w:sz w:val="20"/>
                <w:szCs w:val="20"/>
                <w:color w:val="auto"/>
              </w:rPr>
            </w:pPr>
          </w:p>
        </w:tc>
      </w:tr>
      <w:tr>
        <w:trPr>
          <w:trHeight w:val="243"/>
        </w:trPr>
        <w:tc>
          <w:tcPr>
            <w:tcW w:w="3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 December 31, 2019</w:t>
            </w:r>
          </w:p>
        </w:tc>
        <w:tc>
          <w:tcPr>
            <w:tcW w:w="2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2,491,233</w:t>
            </w:r>
          </w:p>
        </w:tc>
        <w:tc>
          <w:tcPr>
            <w:tcW w:w="4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213,457,632</w:t>
            </w:r>
          </w:p>
        </w:tc>
        <w:tc>
          <w:tcPr>
            <w:tcW w:w="4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3,216,382</w:t>
            </w:r>
          </w:p>
        </w:tc>
        <w:tc>
          <w:tcPr>
            <w:tcW w:w="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r>
      <w:tr>
        <w:trPr>
          <w:trHeight w:val="237"/>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Originations and purchases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792,193,592</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4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maturities and paydowns</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(739,130,456)</w:t>
            </w: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400" w:type="dxa"/>
            <w:vAlign w:val="bottom"/>
            <w:shd w:val="clear" w:color="auto" w:fill="CCEEFF"/>
          </w:tcPr>
          <w:p>
            <w:pPr>
              <w:spacing w:after="0"/>
              <w:rPr>
                <w:sz w:val="21"/>
                <w:szCs w:val="21"/>
                <w:color w:val="auto"/>
              </w:rPr>
            </w:pPr>
          </w:p>
        </w:tc>
      </w:tr>
      <w:tr>
        <w:trPr>
          <w:trHeight w:val="215"/>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Transfer to mortgage loans held for</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7"/>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investment</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(8,933,676)</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5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gains (losses):</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37"/>
        </w:trPr>
        <w:tc>
          <w:tcPr>
            <w:tcW w:w="3620" w:type="dxa"/>
            <w:vAlign w:val="bottom"/>
            <w:gridSpan w:val="2"/>
          </w:tcPr>
          <w:p>
            <w:pPr>
              <w:ind w:left="200"/>
              <w:spacing w:after="0"/>
              <w:rPr>
                <w:sz w:val="20"/>
                <w:szCs w:val="20"/>
                <w:color w:val="auto"/>
              </w:rPr>
            </w:pPr>
            <w:r>
              <w:rPr>
                <w:rFonts w:ascii="Arial" w:cs="Arial" w:eastAsia="Arial" w:hAnsi="Arial"/>
                <w:sz w:val="18"/>
                <w:szCs w:val="18"/>
                <w:color w:val="auto"/>
              </w:rPr>
              <w:t>Included in earnings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3,275,032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(1)</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23,465,484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(1)</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20"/>
                <w:szCs w:val="20"/>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81"/>
              </w:rPr>
              <w:t>(2)</w:t>
            </w:r>
          </w:p>
        </w:tc>
      </w:tr>
      <w:tr>
        <w:trPr>
          <w:trHeight w:val="249"/>
        </w:trPr>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68,416</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43"/>
        </w:trPr>
        <w:tc>
          <w:tcPr>
            <w:tcW w:w="1920" w:type="dxa"/>
            <w:vAlign w:val="bottom"/>
            <w:tcBorders>
              <w:bottom w:val="single" w:sz="8" w:color="CCEEFF"/>
            </w:tcBorders>
          </w:tcPr>
          <w:p>
            <w:pPr>
              <w:spacing w:after="0"/>
              <w:rPr>
                <w:sz w:val="21"/>
                <w:szCs w:val="21"/>
                <w:color w:val="auto"/>
              </w:rPr>
            </w:pPr>
          </w:p>
        </w:tc>
        <w:tc>
          <w:tcPr>
            <w:tcW w:w="17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r>
      <w:tr>
        <w:trPr>
          <w:trHeight w:val="236"/>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 March 31, 2020</w:t>
            </w:r>
          </w:p>
        </w:tc>
        <w:tc>
          <w:tcPr>
            <w:tcW w:w="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5,766,265</w:t>
            </w:r>
          </w:p>
        </w:tc>
        <w:tc>
          <w:tcPr>
            <w:tcW w:w="4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281,052,576</w:t>
            </w:r>
          </w:p>
        </w:tc>
        <w:tc>
          <w:tcPr>
            <w:tcW w:w="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3,275,326</w:t>
            </w: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r>
      <w:tr>
        <w:trPr>
          <w:trHeight w:val="20"/>
        </w:trPr>
        <w:tc>
          <w:tcPr>
            <w:tcW w:w="1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5"/>
        </w:trPr>
        <w:tc>
          <w:tcPr>
            <w:tcW w:w="1920" w:type="dxa"/>
            <w:vAlign w:val="bottom"/>
            <w:tcBorders>
              <w:bottom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r>
    </w:tbl>
    <w:p>
      <w:pPr>
        <w:ind w:left="261" w:hanging="261"/>
        <w:spacing w:after="0"/>
        <w:tabs>
          <w:tab w:leader="none" w:pos="26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a component of Mortgage fee income on the condensed consolidated statements of earnings</w:t>
      </w:r>
    </w:p>
    <w:p>
      <w:pPr>
        <w:spacing w:after="0" w:line="9" w:lineRule="exact"/>
        <w:rPr>
          <w:rFonts w:ascii="Arial" w:cs="Arial" w:eastAsia="Arial" w:hAnsi="Arial"/>
          <w:sz w:val="18"/>
          <w:szCs w:val="18"/>
          <w:color w:val="auto"/>
        </w:rPr>
      </w:pPr>
    </w:p>
    <w:p>
      <w:pPr>
        <w:ind w:left="261" w:hanging="261"/>
        <w:spacing w:after="0"/>
        <w:tabs>
          <w:tab w:leader="none" w:pos="26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a component of Net investment income on the condensed consolidated statements of earnings</w:t>
      </w:r>
    </w:p>
    <w:p>
      <w:pPr>
        <w:spacing w:after="0" w:line="235" w:lineRule="exact"/>
        <w:rPr>
          <w:sz w:val="20"/>
          <w:szCs w:val="20"/>
          <w:color w:val="auto"/>
        </w:rPr>
      </w:pPr>
    </w:p>
    <w:p>
      <w:pPr>
        <w:jc w:val="center"/>
        <w:ind w:right="158"/>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1" w:right="1440" w:bottom="1440" w:gutter="0" w:footer="0" w:header="0"/>
        </w:sectPr>
      </w:pPr>
    </w:p>
    <w:bookmarkStart w:id="37" w:name="page38"/>
    <w:bookmarkEnd w:id="37"/>
    <w:p>
      <w:pPr>
        <w:jc w:val="center"/>
        <w:ind w:left="1220" w:right="132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92" w:lineRule="exact"/>
        <w:rPr>
          <w:sz w:val="20"/>
          <w:szCs w:val="20"/>
          <w:color w:val="auto"/>
        </w:rPr>
      </w:pPr>
    </w:p>
    <w:p>
      <w:pPr>
        <w:ind w:left="481" w:hanging="481"/>
        <w:spacing w:after="0"/>
        <w:tabs>
          <w:tab w:leader="none" w:pos="481"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r>
        <w:rPr>
          <w:rFonts w:ascii="Arial" w:cs="Arial" w:eastAsia="Arial" w:hAnsi="Arial"/>
          <w:sz w:val="20"/>
          <w:szCs w:val="20"/>
          <w:color w:val="auto"/>
        </w:rPr>
        <w:t xml:space="preserve"> (Continued)</w:t>
      </w:r>
    </w:p>
    <w:p>
      <w:pPr>
        <w:spacing w:after="0" w:line="256" w:lineRule="exact"/>
        <w:rPr>
          <w:sz w:val="20"/>
          <w:szCs w:val="20"/>
          <w:color w:val="auto"/>
        </w:rPr>
      </w:pPr>
    </w:p>
    <w:p>
      <w:pPr>
        <w:ind w:left="1" w:right="199"/>
        <w:spacing w:after="0" w:line="316"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nonrecurring basis by their classification in the condensed consolidated balance sheet at March 31, 2021.</w:t>
      </w:r>
    </w:p>
    <w:p>
      <w:pPr>
        <w:spacing w:after="0" w:line="159"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Quoted Prices in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Active Markets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rPr>
              <w:t>Significant</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for Identical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color w:val="auto"/>
              </w:rPr>
              <w:t>Observable</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0"/>
              </w:rPr>
              <w:t>Unobservable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Inputs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Inputs</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4"/>
              </w:rPr>
              <w:t>(Level 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w w:val="97"/>
              </w:rPr>
              <w:t>(Level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right="15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Assets accounted for at fair value on a nonrecurring</w:t>
            </w:r>
          </w:p>
        </w:tc>
        <w:tc>
          <w:tcPr>
            <w:tcW w:w="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basis</w:t>
            </w: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Impaired mortgage loans held for investment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1,174,242</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1,174,242</w:t>
            </w:r>
          </w:p>
        </w:tc>
        <w:tc>
          <w:tcPr>
            <w:tcW w:w="0" w:type="dxa"/>
            <w:vAlign w:val="bottom"/>
          </w:tcPr>
          <w:p>
            <w:pPr>
              <w:spacing w:after="0"/>
              <w:rPr>
                <w:sz w:val="1"/>
                <w:szCs w:val="1"/>
                <w:color w:val="auto"/>
              </w:rPr>
            </w:pPr>
          </w:p>
        </w:tc>
      </w:tr>
      <w:tr>
        <w:trPr>
          <w:trHeight w:val="201"/>
        </w:trPr>
        <w:tc>
          <w:tcPr>
            <w:tcW w:w="4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Total assets accounted for at fair value on a</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w w:val="92"/>
              </w:rPr>
              <w:t>1,174,242</w:t>
            </w:r>
          </w:p>
        </w:tc>
        <w:tc>
          <w:tcPr>
            <w:tcW w:w="1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1,174,242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nonrecurring basis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 w:right="179"/>
        <w:spacing w:after="0" w:line="316"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nonrecurring basis by their classification in the condensed consolidated balance sheet at December 31, 2020.</w:t>
      </w:r>
    </w:p>
    <w:p>
      <w:pPr>
        <w:spacing w:after="0" w:line="159"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Quoted Prices in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Active Markets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rPr>
              <w:t>Significant</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for Identical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color w:val="auto"/>
              </w:rPr>
              <w:t>Observable</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0"/>
              </w:rPr>
              <w:t>Unobservable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Inputs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Inputs</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4"/>
              </w:rPr>
              <w:t>(Level 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w w:val="97"/>
              </w:rPr>
              <w:t>(Level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right="15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Assets accounted for at fair value on a nonrecurring</w:t>
            </w:r>
          </w:p>
        </w:tc>
        <w:tc>
          <w:tcPr>
            <w:tcW w:w="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basis</w:t>
            </w: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Impaired mortgage loans held for investment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80"/>
              <w:spacing w:after="0"/>
              <w:rPr>
                <w:sz w:val="20"/>
                <w:szCs w:val="20"/>
                <w:color w:val="auto"/>
              </w:rPr>
            </w:pPr>
            <w:r>
              <w:rPr>
                <w:rFonts w:ascii="Arial" w:cs="Arial" w:eastAsia="Arial" w:hAnsi="Arial"/>
                <w:sz w:val="18"/>
                <w:szCs w:val="18"/>
                <w:color w:val="auto"/>
                <w:w w:val="92"/>
              </w:rPr>
              <w:t>1,297,356</w:t>
            </w:r>
          </w:p>
        </w:tc>
        <w:tc>
          <w:tcPr>
            <w:tcW w:w="100" w:type="dxa"/>
            <w:vAlign w:val="bottom"/>
          </w:tcPr>
          <w:p>
            <w:pPr>
              <w:spacing w:after="0"/>
              <w:rPr>
                <w:sz w:val="20"/>
                <w:szCs w:val="20"/>
                <w:color w:val="auto"/>
              </w:rPr>
            </w:pPr>
          </w:p>
        </w:tc>
        <w:tc>
          <w:tcPr>
            <w:tcW w:w="12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860" w:type="dxa"/>
            <w:vAlign w:val="bottom"/>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1,297,356</w:t>
            </w:r>
          </w:p>
        </w:tc>
        <w:tc>
          <w:tcPr>
            <w:tcW w:w="0" w:type="dxa"/>
            <w:vAlign w:val="bottom"/>
          </w:tcPr>
          <w:p>
            <w:pPr>
              <w:spacing w:after="0"/>
              <w:rPr>
                <w:sz w:val="1"/>
                <w:szCs w:val="1"/>
                <w:color w:val="auto"/>
              </w:rPr>
            </w:pPr>
          </w:p>
        </w:tc>
      </w:tr>
      <w:tr>
        <w:trPr>
          <w:trHeight w:val="24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Impaired real estate held for sale</w:t>
            </w: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2"/>
              </w:rPr>
              <w:t>4,249,000</w:t>
            </w:r>
          </w:p>
        </w:tc>
        <w:tc>
          <w:tcPr>
            <w:tcW w:w="10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4,249,000</w:t>
            </w:r>
          </w:p>
        </w:tc>
        <w:tc>
          <w:tcPr>
            <w:tcW w:w="0" w:type="dxa"/>
            <w:vAlign w:val="bottom"/>
          </w:tcPr>
          <w:p>
            <w:pPr>
              <w:spacing w:after="0"/>
              <w:rPr>
                <w:sz w:val="1"/>
                <w:szCs w:val="1"/>
                <w:color w:val="auto"/>
              </w:rPr>
            </w:pPr>
          </w:p>
        </w:tc>
      </w:tr>
      <w:tr>
        <w:trPr>
          <w:trHeight w:val="195"/>
        </w:trPr>
        <w:tc>
          <w:tcPr>
            <w:tcW w:w="4080" w:type="dxa"/>
            <w:vAlign w:val="bottom"/>
          </w:tcPr>
          <w:p>
            <w:pPr>
              <w:ind w:left="20"/>
              <w:spacing w:after="0" w:line="195" w:lineRule="exact"/>
              <w:rPr>
                <w:sz w:val="20"/>
                <w:szCs w:val="20"/>
                <w:color w:val="auto"/>
              </w:rPr>
            </w:pPr>
            <w:r>
              <w:rPr>
                <w:rFonts w:ascii="Arial" w:cs="Arial" w:eastAsia="Arial" w:hAnsi="Arial"/>
                <w:sz w:val="18"/>
                <w:szCs w:val="18"/>
                <w:color w:val="auto"/>
              </w:rPr>
              <w:t>Total assets accounted for at fair value on a</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ind w:left="80"/>
              <w:spacing w:after="0"/>
              <w:rPr>
                <w:sz w:val="20"/>
                <w:szCs w:val="20"/>
                <w:color w:val="auto"/>
              </w:rPr>
            </w:pPr>
            <w:r>
              <w:rPr>
                <w:rFonts w:ascii="Arial" w:cs="Arial" w:eastAsia="Arial" w:hAnsi="Arial"/>
                <w:sz w:val="18"/>
                <w:szCs w:val="18"/>
                <w:color w:val="auto"/>
                <w:w w:val="92"/>
              </w:rPr>
              <w:t>5,546,356</w:t>
            </w:r>
          </w:p>
        </w:tc>
        <w:tc>
          <w:tcPr>
            <w:tcW w:w="100" w:type="dxa"/>
            <w:vAlign w:val="bottom"/>
          </w:tcPr>
          <w:p>
            <w:pPr>
              <w:spacing w:after="0"/>
              <w:rPr>
                <w:sz w:val="16"/>
                <w:szCs w:val="16"/>
                <w:color w:val="auto"/>
              </w:rPr>
            </w:pPr>
          </w:p>
        </w:tc>
        <w:tc>
          <w:tcPr>
            <w:tcW w:w="124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6"/>
                <w:szCs w:val="16"/>
                <w:color w:val="auto"/>
              </w:rPr>
            </w:pPr>
          </w:p>
        </w:tc>
        <w:tc>
          <w:tcPr>
            <w:tcW w:w="8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5,546,356</w:t>
            </w:r>
          </w:p>
        </w:tc>
        <w:tc>
          <w:tcPr>
            <w:tcW w:w="0" w:type="dxa"/>
            <w:vAlign w:val="bottom"/>
          </w:tcPr>
          <w:p>
            <w:pPr>
              <w:spacing w:after="0"/>
              <w:rPr>
                <w:sz w:val="1"/>
                <w:szCs w:val="1"/>
                <w:color w:val="auto"/>
              </w:rPr>
            </w:pPr>
          </w:p>
        </w:tc>
      </w:tr>
      <w:tr>
        <w:trPr>
          <w:trHeight w:val="235"/>
        </w:trPr>
        <w:tc>
          <w:tcPr>
            <w:tcW w:w="4080" w:type="dxa"/>
            <w:vAlign w:val="bottom"/>
          </w:tcPr>
          <w:p>
            <w:pPr>
              <w:ind w:left="20"/>
              <w:spacing w:after="0"/>
              <w:rPr>
                <w:sz w:val="20"/>
                <w:szCs w:val="20"/>
                <w:color w:val="auto"/>
              </w:rPr>
            </w:pPr>
            <w:r>
              <w:rPr>
                <w:rFonts w:ascii="Arial" w:cs="Arial" w:eastAsia="Arial" w:hAnsi="Arial"/>
                <w:sz w:val="18"/>
                <w:szCs w:val="18"/>
                <w:color w:val="auto"/>
              </w:rPr>
              <w:t>nonrecurring basis</w:t>
            </w:r>
          </w:p>
        </w:tc>
        <w:tc>
          <w:tcPr>
            <w:tcW w:w="3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ind w:right="158"/>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1" w:right="1440" w:bottom="1440" w:gutter="0" w:footer="0" w:header="0"/>
        </w:sectPr>
      </w:pPr>
    </w:p>
    <w:bookmarkStart w:id="38" w:name="page39"/>
    <w:bookmarkEnd w:id="38"/>
    <w:p>
      <w:pPr>
        <w:jc w:val="center"/>
        <w:ind w:left="1220" w:right="132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93" w:lineRule="exact"/>
        <w:rPr>
          <w:sz w:val="20"/>
          <w:szCs w:val="20"/>
          <w:color w:val="auto"/>
        </w:rPr>
      </w:pPr>
    </w:p>
    <w:p>
      <w:pPr>
        <w:ind w:left="481" w:hanging="481"/>
        <w:spacing w:after="0"/>
        <w:tabs>
          <w:tab w:leader="none" w:pos="481"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r>
        <w:rPr>
          <w:rFonts w:ascii="Arial" w:cs="Arial" w:eastAsia="Arial" w:hAnsi="Arial"/>
          <w:sz w:val="20"/>
          <w:szCs w:val="20"/>
          <w:color w:val="auto"/>
        </w:rPr>
        <w:t xml:space="preserve"> (Continued)</w:t>
      </w:r>
    </w:p>
    <w:p>
      <w:pPr>
        <w:spacing w:after="0" w:line="25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Fair Value of Financial Instruments Carried at Other Than Fair Value</w:t>
      </w:r>
    </w:p>
    <w:p>
      <w:pPr>
        <w:spacing w:after="0" w:line="235" w:lineRule="exact"/>
        <w:rPr>
          <w:sz w:val="20"/>
          <w:szCs w:val="20"/>
          <w:color w:val="auto"/>
        </w:rPr>
      </w:pPr>
    </w:p>
    <w:p>
      <w:pPr>
        <w:jc w:val="both"/>
        <w:ind w:left="1" w:right="179"/>
        <w:spacing w:after="0" w:line="287" w:lineRule="auto"/>
        <w:rPr>
          <w:sz w:val="20"/>
          <w:szCs w:val="20"/>
          <w:color w:val="auto"/>
        </w:rPr>
      </w:pPr>
      <w:r>
        <w:rPr>
          <w:rFonts w:ascii="Arial" w:cs="Arial" w:eastAsia="Arial" w:hAnsi="Arial"/>
          <w:sz w:val="19"/>
          <w:szCs w:val="19"/>
          <w:color w:val="auto"/>
        </w:rPr>
        <w:t>ASC 825, Financial Instruments, requires disclosure of fair value information about financial instruments, whether or not recognized in the balance sheet, for which it is practicable to estimate that value.</w:t>
      </w:r>
    </w:p>
    <w:p>
      <w:pPr>
        <w:spacing w:after="0" w:line="166" w:lineRule="exact"/>
        <w:rPr>
          <w:sz w:val="20"/>
          <w:szCs w:val="20"/>
          <w:color w:val="auto"/>
        </w:rPr>
      </w:pPr>
    </w:p>
    <w:p>
      <w:pPr>
        <w:jc w:val="both"/>
        <w:ind w:left="1" w:right="159"/>
        <w:spacing w:after="0" w:line="263" w:lineRule="auto"/>
        <w:rPr>
          <w:sz w:val="20"/>
          <w:szCs w:val="20"/>
          <w:color w:val="auto"/>
        </w:rPr>
      </w:pPr>
      <w:r>
        <w:rPr>
          <w:rFonts w:ascii="Arial" w:cs="Arial" w:eastAsia="Arial" w:hAnsi="Arial"/>
          <w:sz w:val="19"/>
          <w:szCs w:val="19"/>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March 31, 2021 and December 31, 2020.</w:t>
      </w:r>
    </w:p>
    <w:p>
      <w:pPr>
        <w:spacing w:after="0" w:line="190" w:lineRule="exact"/>
        <w:rPr>
          <w:sz w:val="20"/>
          <w:szCs w:val="20"/>
          <w:color w:val="auto"/>
        </w:rPr>
      </w:pPr>
    </w:p>
    <w:p>
      <w:pPr>
        <w:jc w:val="both"/>
        <w:ind w:left="1" w:right="179"/>
        <w:spacing w:after="0" w:line="260" w:lineRule="auto"/>
        <w:rPr>
          <w:sz w:val="20"/>
          <w:szCs w:val="20"/>
          <w:color w:val="auto"/>
        </w:rPr>
      </w:pPr>
      <w:r>
        <w:rPr>
          <w:rFonts w:ascii="Arial" w:cs="Arial" w:eastAsia="Arial" w:hAnsi="Arial"/>
          <w:sz w:val="20"/>
          <w:szCs w:val="20"/>
          <w:color w:val="auto"/>
        </w:rPr>
        <w:t>The carrying values and estimated fair values for such financial instruments, and their corresponding placement in the fair value hierarchy, are summarized as follows as of March 31, 2021:</w:t>
      </w:r>
    </w:p>
    <w:p>
      <w:pPr>
        <w:spacing w:after="0" w:line="206"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color w:val="auto"/>
                <w:w w:val="91"/>
              </w:rPr>
              <w:t>Total Estimated</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Carrying Value</w:t>
            </w: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6"/>
              </w:rPr>
              <w:t>Level 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Level 3</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Fair Value</w:t>
            </w: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20"/>
              <w:spacing w:after="0"/>
              <w:rPr>
                <w:sz w:val="20"/>
                <w:szCs w:val="20"/>
                <w:color w:val="auto"/>
              </w:rPr>
            </w:pPr>
            <w:r>
              <w:rPr>
                <w:rFonts w:ascii="Arial" w:cs="Arial" w:eastAsia="Arial" w:hAnsi="Arial"/>
                <w:sz w:val="18"/>
                <w:szCs w:val="18"/>
                <w:color w:val="auto"/>
              </w:rPr>
              <w:t>Mortgage loans held for investment</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85,296,730</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90,940,077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90,940,077</w:t>
            </w: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105,251,376</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105,251,376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105,251,376</w:t>
            </w:r>
          </w:p>
        </w:tc>
        <w:tc>
          <w:tcPr>
            <w:tcW w:w="0" w:type="dxa"/>
            <w:vAlign w:val="bottom"/>
          </w:tcPr>
          <w:p>
            <w:pPr>
              <w:spacing w:after="0"/>
              <w:rPr>
                <w:sz w:val="1"/>
                <w:szCs w:val="1"/>
                <w:color w:val="auto"/>
              </w:rPr>
            </w:pPr>
          </w:p>
        </w:tc>
      </w:tr>
      <w:tr>
        <w:trPr>
          <w:trHeight w:val="249"/>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54,403,846</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55,014,500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55,014,500</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20"/>
              <w:spacing w:after="0"/>
              <w:rPr>
                <w:sz w:val="20"/>
                <w:szCs w:val="20"/>
                <w:color w:val="auto"/>
              </w:rPr>
            </w:pPr>
            <w:r>
              <w:rPr>
                <w:rFonts w:ascii="Arial" w:cs="Arial" w:eastAsia="Arial" w:hAnsi="Arial"/>
                <w:sz w:val="18"/>
                <w:szCs w:val="18"/>
                <w:color w:val="auto"/>
              </w:rPr>
              <w:t>Mortgage loans held for investment, net</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244,951,952</w:t>
            </w:r>
          </w:p>
        </w:tc>
        <w:tc>
          <w:tcPr>
            <w:tcW w:w="120" w:type="dxa"/>
            <w:vAlign w:val="bottom"/>
            <w:vMerge w:val="continue"/>
          </w:tcPr>
          <w:p>
            <w:pPr>
              <w:spacing w:after="0"/>
              <w:rPr>
                <w:sz w:val="20"/>
                <w:szCs w:val="20"/>
                <w:color w:val="auto"/>
              </w:rPr>
            </w:pPr>
          </w:p>
        </w:tc>
        <w:tc>
          <w:tcPr>
            <w:tcW w:w="720" w:type="dxa"/>
            <w:vAlign w:val="bottom"/>
          </w:tcPr>
          <w:p>
            <w:pPr>
              <w:ind w:lef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 w:type="dxa"/>
            <w:vAlign w:val="bottom"/>
          </w:tcPr>
          <w:p>
            <w:pPr>
              <w:ind w:left="80"/>
              <w:spacing w:after="0"/>
              <w:rPr>
                <w:sz w:val="20"/>
                <w:szCs w:val="20"/>
                <w:color w:val="auto"/>
              </w:rPr>
            </w:pPr>
            <w:r>
              <w:rPr>
                <w:rFonts w:ascii="Arial" w:cs="Arial" w:eastAsia="Arial" w:hAnsi="Arial"/>
                <w:sz w:val="16"/>
                <w:szCs w:val="16"/>
                <w:color w:val="auto"/>
                <w:w w:val="74"/>
              </w:rPr>
              <w:t>-</w:t>
            </w:r>
          </w:p>
        </w:tc>
        <w:tc>
          <w:tcPr>
            <w:tcW w:w="8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251,205,953</w:t>
            </w:r>
          </w:p>
        </w:tc>
        <w:tc>
          <w:tcPr>
            <w:tcW w:w="120" w:type="dxa"/>
            <w:vAlign w:val="bottom"/>
            <w:vMerge w:val="continue"/>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251,205,953</w:t>
            </w:r>
          </w:p>
        </w:tc>
        <w:tc>
          <w:tcPr>
            <w:tcW w:w="0" w:type="dxa"/>
            <w:vAlign w:val="bottom"/>
          </w:tcPr>
          <w:p>
            <w:pPr>
              <w:spacing w:after="0"/>
              <w:rPr>
                <w:sz w:val="1"/>
                <w:szCs w:val="1"/>
                <w:color w:val="auto"/>
              </w:rPr>
            </w:pPr>
          </w:p>
        </w:tc>
      </w:tr>
      <w:tr>
        <w:trPr>
          <w:trHeight w:val="24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Policy loans</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13,946,739</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13,946,739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13,946,739</w:t>
            </w:r>
          </w:p>
        </w:tc>
        <w:tc>
          <w:tcPr>
            <w:tcW w:w="0" w:type="dxa"/>
            <w:vAlign w:val="bottom"/>
          </w:tcPr>
          <w:p>
            <w:pPr>
              <w:spacing w:after="0"/>
              <w:rPr>
                <w:sz w:val="1"/>
                <w:szCs w:val="1"/>
                <w:color w:val="auto"/>
              </w:rPr>
            </w:pPr>
          </w:p>
        </w:tc>
      </w:tr>
      <w:tr>
        <w:trPr>
          <w:trHeight w:val="237"/>
        </w:trPr>
        <w:tc>
          <w:tcPr>
            <w:tcW w:w="3300" w:type="dxa"/>
            <w:vAlign w:val="bottom"/>
          </w:tcPr>
          <w:p>
            <w:pPr>
              <w:ind w:left="20"/>
              <w:spacing w:after="0"/>
              <w:rPr>
                <w:sz w:val="20"/>
                <w:szCs w:val="20"/>
                <w:color w:val="auto"/>
              </w:rPr>
            </w:pPr>
            <w:r>
              <w:rPr>
                <w:rFonts w:ascii="Arial" w:cs="Arial" w:eastAsia="Arial" w:hAnsi="Arial"/>
                <w:sz w:val="18"/>
                <w:szCs w:val="18"/>
                <w:color w:val="auto"/>
              </w:rPr>
              <w:t>Insurance assignments, net (1)</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52,955,925</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52,955,925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52,955,925</w:t>
            </w:r>
          </w:p>
        </w:tc>
        <w:tc>
          <w:tcPr>
            <w:tcW w:w="0" w:type="dxa"/>
            <w:vAlign w:val="bottom"/>
          </w:tcPr>
          <w:p>
            <w:pPr>
              <w:spacing w:after="0"/>
              <w:rPr>
                <w:sz w:val="1"/>
                <w:szCs w:val="1"/>
                <w:color w:val="auto"/>
              </w:rPr>
            </w:pPr>
          </w:p>
        </w:tc>
      </w:tr>
      <w:tr>
        <w:trPr>
          <w:trHeight w:val="24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assets (2)</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3,076,760</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3,076,760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3,076,760</w:t>
            </w:r>
          </w:p>
        </w:tc>
        <w:tc>
          <w:tcPr>
            <w:tcW w:w="0" w:type="dxa"/>
            <w:vAlign w:val="bottom"/>
          </w:tcPr>
          <w:p>
            <w:pPr>
              <w:spacing w:after="0"/>
              <w:rPr>
                <w:sz w:val="1"/>
                <w:szCs w:val="1"/>
                <w:color w:val="auto"/>
              </w:rPr>
            </w:pPr>
          </w:p>
        </w:tc>
      </w:tr>
      <w:tr>
        <w:trPr>
          <w:trHeight w:val="215"/>
        </w:trPr>
        <w:tc>
          <w:tcPr>
            <w:tcW w:w="3300" w:type="dxa"/>
            <w:vAlign w:val="bottom"/>
          </w:tcPr>
          <w:p>
            <w:pPr>
              <w:ind w:left="20"/>
              <w:spacing w:after="0"/>
              <w:rPr>
                <w:sz w:val="20"/>
                <w:szCs w:val="20"/>
                <w:color w:val="auto"/>
              </w:rPr>
            </w:pPr>
            <w:r>
              <w:rPr>
                <w:rFonts w:ascii="Arial" w:cs="Arial" w:eastAsia="Arial" w:hAnsi="Arial"/>
                <w:sz w:val="18"/>
                <w:szCs w:val="18"/>
                <w:color w:val="auto"/>
                <w:w w:val="96"/>
              </w:rPr>
              <w:t>Cemetery perpetual care trust investments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1,450,600</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1,450,600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1,450,600</w:t>
            </w:r>
          </w:p>
        </w:tc>
        <w:tc>
          <w:tcPr>
            <w:tcW w:w="0" w:type="dxa"/>
            <w:vAlign w:val="bottom"/>
          </w:tcPr>
          <w:p>
            <w:pPr>
              <w:spacing w:after="0"/>
              <w:rPr>
                <w:sz w:val="1"/>
                <w:szCs w:val="1"/>
                <w:color w:val="auto"/>
              </w:rPr>
            </w:pPr>
          </w:p>
        </w:tc>
      </w:tr>
      <w:tr>
        <w:trPr>
          <w:trHeight w:val="25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servicing rights, net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42,779,361</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55,087,150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55,087,150</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Bank and other loans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(245,973,378)</w:t>
            </w:r>
          </w:p>
        </w:tc>
        <w:tc>
          <w:tcPr>
            <w:tcW w:w="720" w:type="dxa"/>
            <w:vAlign w:val="bottom"/>
          </w:tcPr>
          <w:p>
            <w:pPr>
              <w:ind w:lef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36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(245,973,378)</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(245,973,378)</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Policyholder account balances (3)</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(43,728,587)</w:t>
            </w:r>
          </w:p>
        </w:tc>
        <w:tc>
          <w:tcPr>
            <w:tcW w:w="7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(42,141,870)</w:t>
            </w: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(42,141,870)</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Future policy benefits - annuities (3)</w:t>
            </w:r>
          </w:p>
        </w:tc>
        <w:tc>
          <w:tcPr>
            <w:tcW w:w="1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(108,202,268)</w:t>
            </w:r>
          </w:p>
        </w:tc>
        <w:tc>
          <w:tcPr>
            <w:tcW w:w="72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(112,119,227)</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(112,119,227)</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61" w:hanging="261"/>
        <w:spacing w:after="0"/>
        <w:tabs>
          <w:tab w:leader="none" w:pos="26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Included in other investments and policy loans on the condensed consolidated balance sheets</w:t>
      </w:r>
    </w:p>
    <w:p>
      <w:pPr>
        <w:spacing w:after="0" w:line="23" w:lineRule="exact"/>
        <w:rPr>
          <w:rFonts w:ascii="Arial" w:cs="Arial" w:eastAsia="Arial" w:hAnsi="Arial"/>
          <w:sz w:val="18"/>
          <w:szCs w:val="18"/>
          <w:color w:val="auto"/>
        </w:rPr>
      </w:pPr>
    </w:p>
    <w:p>
      <w:pPr>
        <w:ind w:left="261" w:hanging="261"/>
        <w:spacing w:after="0"/>
        <w:tabs>
          <w:tab w:leader="none" w:pos="261"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Mortgage loans held for investment</w:t>
      </w:r>
    </w:p>
    <w:p>
      <w:pPr>
        <w:spacing w:after="0" w:line="9" w:lineRule="exact"/>
        <w:rPr>
          <w:rFonts w:ascii="Arial" w:cs="Arial" w:eastAsia="Arial" w:hAnsi="Arial"/>
          <w:sz w:val="18"/>
          <w:szCs w:val="18"/>
          <w:color w:val="auto"/>
        </w:rPr>
      </w:pPr>
    </w:p>
    <w:p>
      <w:pPr>
        <w:ind w:left="261" w:hanging="261"/>
        <w:spacing w:after="0"/>
        <w:tabs>
          <w:tab w:leader="none" w:pos="26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Included in future policy benefits and unpaid claims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-413385</wp:posOffset>
            </wp:positionV>
            <wp:extent cx="12255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15" w:lineRule="exact"/>
        <w:rPr>
          <w:sz w:val="20"/>
          <w:szCs w:val="20"/>
          <w:color w:val="auto"/>
        </w:rPr>
      </w:pPr>
    </w:p>
    <w:p>
      <w:pPr>
        <w:jc w:val="center"/>
        <w:ind w:right="158"/>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2" w:right="1440" w:bottom="1440" w:gutter="0" w:footer="0" w:header="0"/>
        </w:sectPr>
      </w:pPr>
    </w:p>
    <w:bookmarkStart w:id="39" w:name="page40"/>
    <w:bookmarkEnd w:id="39"/>
    <w:p>
      <w:pPr>
        <w:jc w:val="center"/>
        <w:ind w:left="1220" w:right="132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93" w:lineRule="exact"/>
        <w:rPr>
          <w:sz w:val="20"/>
          <w:szCs w:val="20"/>
          <w:color w:val="auto"/>
        </w:rPr>
      </w:pPr>
    </w:p>
    <w:p>
      <w:pPr>
        <w:ind w:left="481" w:hanging="481"/>
        <w:spacing w:after="0"/>
        <w:tabs>
          <w:tab w:leader="none" w:pos="481"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r>
        <w:rPr>
          <w:rFonts w:ascii="Arial" w:cs="Arial" w:eastAsia="Arial" w:hAnsi="Arial"/>
          <w:sz w:val="20"/>
          <w:szCs w:val="20"/>
          <w:color w:val="auto"/>
        </w:rPr>
        <w:t xml:space="preserve"> (Continued)</w:t>
      </w:r>
    </w:p>
    <w:p>
      <w:pPr>
        <w:spacing w:after="0" w:line="256" w:lineRule="exact"/>
        <w:rPr>
          <w:sz w:val="20"/>
          <w:szCs w:val="20"/>
          <w:color w:val="auto"/>
        </w:rPr>
      </w:pPr>
    </w:p>
    <w:p>
      <w:pPr>
        <w:ind w:left="1" w:right="179"/>
        <w:spacing w:after="0" w:line="260" w:lineRule="auto"/>
        <w:rPr>
          <w:sz w:val="20"/>
          <w:szCs w:val="20"/>
          <w:color w:val="auto"/>
        </w:rPr>
      </w:pPr>
      <w:r>
        <w:rPr>
          <w:rFonts w:ascii="Arial" w:cs="Arial" w:eastAsia="Arial" w:hAnsi="Arial"/>
          <w:sz w:val="20"/>
          <w:szCs w:val="20"/>
          <w:color w:val="auto"/>
        </w:rPr>
        <w:t>The carrying values and estimated fair values for such financial instruments, and their corresponding placement in the fair value hierarchy, are summarized as follows as of December 31, 2020:</w:t>
      </w:r>
    </w:p>
    <w:p>
      <w:pPr>
        <w:spacing w:after="0" w:line="206"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color w:val="auto"/>
                <w:w w:val="91"/>
              </w:rPr>
              <w:t>Total Estimated</w:t>
            </w:r>
          </w:p>
        </w:tc>
      </w:tr>
      <w:tr>
        <w:trPr>
          <w:trHeight w:val="237"/>
        </w:trPr>
        <w:tc>
          <w:tcPr>
            <w:tcW w:w="33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Carrying Value</w:t>
            </w: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Level 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Level 3</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Fair Value</w:t>
            </w:r>
          </w:p>
        </w:tc>
      </w:tr>
      <w:tr>
        <w:trPr>
          <w:trHeight w:val="24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7"/>
        </w:trPr>
        <w:tc>
          <w:tcPr>
            <w:tcW w:w="3300" w:type="dxa"/>
            <w:vAlign w:val="bottom"/>
          </w:tcPr>
          <w:p>
            <w:pPr>
              <w:ind w:left="20"/>
              <w:spacing w:after="0"/>
              <w:rPr>
                <w:sz w:val="20"/>
                <w:szCs w:val="20"/>
                <w:color w:val="auto"/>
              </w:rPr>
            </w:pPr>
            <w:r>
              <w:rPr>
                <w:rFonts w:ascii="Arial" w:cs="Arial" w:eastAsia="Arial" w:hAnsi="Arial"/>
                <w:sz w:val="18"/>
                <w:szCs w:val="18"/>
                <w:color w:val="auto"/>
              </w:rPr>
              <w:t>Mortgage loans held for investment</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9"/>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92,757,613</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100,384,283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100,384,283</w:t>
            </w:r>
          </w:p>
        </w:tc>
      </w:tr>
      <w:tr>
        <w:trPr>
          <w:trHeight w:val="237"/>
        </w:trPr>
        <w:tc>
          <w:tcPr>
            <w:tcW w:w="330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110,849,864</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110,849,864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110,849,864</w:t>
            </w:r>
          </w:p>
        </w:tc>
      </w:tr>
      <w:tr>
        <w:trPr>
          <w:trHeight w:val="249"/>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45,736,459</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45,259,425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45,259,425</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Mortgage loans held for investment,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249,343,936</w:t>
            </w:r>
          </w:p>
        </w:tc>
        <w:tc>
          <w:tcPr>
            <w:tcW w:w="120" w:type="dxa"/>
            <w:vAlign w:val="bottom"/>
          </w:tcPr>
          <w:p>
            <w:pPr>
              <w:spacing w:after="0"/>
              <w:rPr>
                <w:sz w:val="20"/>
                <w:szCs w:val="20"/>
                <w:color w:val="auto"/>
              </w:rPr>
            </w:pPr>
          </w:p>
        </w:tc>
        <w:tc>
          <w:tcPr>
            <w:tcW w:w="7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ind w:left="4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256,493,572</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256,493,572</w:t>
            </w:r>
          </w:p>
        </w:tc>
      </w:tr>
      <w:tr>
        <w:trPr>
          <w:trHeight w:val="24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Policy loans</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14,171,589</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14,171,589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14,171,589</w:t>
            </w:r>
          </w:p>
        </w:tc>
      </w:tr>
      <w:tr>
        <w:trPr>
          <w:trHeight w:val="237"/>
        </w:trPr>
        <w:tc>
          <w:tcPr>
            <w:tcW w:w="3300" w:type="dxa"/>
            <w:vAlign w:val="bottom"/>
          </w:tcPr>
          <w:p>
            <w:pPr>
              <w:ind w:left="20"/>
              <w:spacing w:after="0"/>
              <w:rPr>
                <w:sz w:val="20"/>
                <w:szCs w:val="20"/>
                <w:color w:val="auto"/>
              </w:rPr>
            </w:pPr>
            <w:r>
              <w:rPr>
                <w:rFonts w:ascii="Arial" w:cs="Arial" w:eastAsia="Arial" w:hAnsi="Arial"/>
                <w:sz w:val="18"/>
                <w:szCs w:val="18"/>
                <w:color w:val="auto"/>
              </w:rPr>
              <w:t>Insurance assignments, net (1)</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51,585,656</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51,585,656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51,585,656</w:t>
            </w:r>
          </w:p>
        </w:tc>
      </w:tr>
      <w:tr>
        <w:trPr>
          <w:trHeight w:val="24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assets (2)</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3,317,877</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3,317,877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3,317,877</w:t>
            </w:r>
          </w:p>
        </w:tc>
      </w:tr>
      <w:tr>
        <w:trPr>
          <w:trHeight w:val="215"/>
        </w:trPr>
        <w:tc>
          <w:tcPr>
            <w:tcW w:w="3300" w:type="dxa"/>
            <w:vAlign w:val="bottom"/>
          </w:tcPr>
          <w:p>
            <w:pPr>
              <w:ind w:left="20"/>
              <w:spacing w:after="0"/>
              <w:rPr>
                <w:sz w:val="20"/>
                <w:szCs w:val="20"/>
                <w:color w:val="auto"/>
              </w:rPr>
            </w:pPr>
            <w:r>
              <w:rPr>
                <w:rFonts w:ascii="Arial" w:cs="Arial" w:eastAsia="Arial" w:hAnsi="Arial"/>
                <w:sz w:val="18"/>
                <w:szCs w:val="18"/>
                <w:color w:val="auto"/>
                <w:w w:val="96"/>
              </w:rPr>
              <w:t>Cemetery perpetual care trust investments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7"/>
        </w:trPr>
        <w:tc>
          <w:tcPr>
            <w:tcW w:w="3300" w:type="dxa"/>
            <w:vAlign w:val="bottom"/>
          </w:tcPr>
          <w:p>
            <w:pPr>
              <w:ind w:lef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1,468,600</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1,468,600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1,468,600</w:t>
            </w:r>
          </w:p>
        </w:tc>
      </w:tr>
      <w:tr>
        <w:trPr>
          <w:trHeight w:val="25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servicing rights, net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35,210,516</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38,702,358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38,702,358</w:t>
            </w:r>
          </w:p>
        </w:tc>
      </w:tr>
      <w:tr>
        <w:trPr>
          <w:trHeight w:val="243"/>
        </w:trPr>
        <w:tc>
          <w:tcPr>
            <w:tcW w:w="3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Bank and other loans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(297,824,368)</w:t>
            </w:r>
          </w:p>
        </w:tc>
        <w:tc>
          <w:tcPr>
            <w:tcW w:w="720" w:type="dxa"/>
            <w:vAlign w:val="bottom"/>
          </w:tcPr>
          <w:p>
            <w:pPr>
              <w:ind w:lef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(297,824,368)</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(297,824,368)</w:t>
            </w:r>
          </w:p>
        </w:tc>
      </w:tr>
      <w:tr>
        <w:trPr>
          <w:trHeight w:val="25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Policyholder account balances (3)</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(44,026,809)</w:t>
            </w:r>
          </w:p>
        </w:tc>
        <w:tc>
          <w:tcPr>
            <w:tcW w:w="7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(42,220,725)</w:t>
            </w: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(42,220,725)</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Future policy benefits - annuities (3)</w:t>
            </w:r>
          </w:p>
        </w:tc>
        <w:tc>
          <w:tcPr>
            <w:tcW w:w="1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(106,522,113)</w:t>
            </w:r>
          </w:p>
        </w:tc>
        <w:tc>
          <w:tcPr>
            <w:tcW w:w="720" w:type="dxa"/>
            <w:vAlign w:val="bottom"/>
          </w:tcPr>
          <w:p>
            <w:pPr>
              <w:spacing w:after="0"/>
              <w:rPr>
                <w:sz w:val="20"/>
                <w:szCs w:val="20"/>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(112,354,186)</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(112,354,186)</w:t>
            </w:r>
          </w:p>
        </w:tc>
      </w:tr>
    </w:tbl>
    <w:p>
      <w:pPr>
        <w:spacing w:after="0" w:line="66" w:lineRule="exact"/>
        <w:rPr>
          <w:sz w:val="20"/>
          <w:szCs w:val="20"/>
          <w:color w:val="auto"/>
        </w:rPr>
      </w:pPr>
    </w:p>
    <w:p>
      <w:pPr>
        <w:ind w:left="261" w:hanging="261"/>
        <w:spacing w:after="0"/>
        <w:tabs>
          <w:tab w:leader="none" w:pos="2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Included in other investments and policy loans on the consolidated balance sheets</w:t>
      </w:r>
    </w:p>
    <w:p>
      <w:pPr>
        <w:spacing w:after="0" w:line="23" w:lineRule="exact"/>
        <w:rPr>
          <w:rFonts w:ascii="Arial" w:cs="Arial" w:eastAsia="Arial" w:hAnsi="Arial"/>
          <w:sz w:val="18"/>
          <w:szCs w:val="18"/>
          <w:color w:val="auto"/>
        </w:rPr>
      </w:pPr>
    </w:p>
    <w:p>
      <w:pPr>
        <w:ind w:left="261" w:hanging="261"/>
        <w:spacing w:after="0"/>
        <w:tabs>
          <w:tab w:leader="none" w:pos="2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Mortgage loans held for investment</w:t>
      </w:r>
    </w:p>
    <w:p>
      <w:pPr>
        <w:spacing w:after="0" w:line="9" w:lineRule="exact"/>
        <w:rPr>
          <w:rFonts w:ascii="Arial" w:cs="Arial" w:eastAsia="Arial" w:hAnsi="Arial"/>
          <w:sz w:val="18"/>
          <w:szCs w:val="18"/>
          <w:color w:val="auto"/>
        </w:rPr>
      </w:pPr>
    </w:p>
    <w:p>
      <w:pPr>
        <w:ind w:left="261" w:hanging="261"/>
        <w:spacing w:after="0"/>
        <w:tabs>
          <w:tab w:leader="none" w:pos="2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Included in future policy benefits and unpaid claims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-413385</wp:posOffset>
            </wp:positionV>
            <wp:extent cx="12255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2" w:lineRule="exact"/>
        <w:rPr>
          <w:sz w:val="20"/>
          <w:szCs w:val="20"/>
          <w:color w:val="auto"/>
        </w:rPr>
      </w:pPr>
    </w:p>
    <w:p>
      <w:pPr>
        <w:jc w:val="both"/>
        <w:ind w:left="1" w:right="179"/>
        <w:spacing w:after="0" w:line="260" w:lineRule="auto"/>
        <w:rPr>
          <w:sz w:val="20"/>
          <w:szCs w:val="20"/>
          <w:color w:val="auto"/>
        </w:rPr>
      </w:pPr>
      <w:r>
        <w:rPr>
          <w:rFonts w:ascii="Arial" w:cs="Arial" w:eastAsia="Arial" w:hAnsi="Arial"/>
          <w:sz w:val="20"/>
          <w:szCs w:val="20"/>
          <w:color w:val="auto"/>
        </w:rPr>
        <w:t>The methods, assumptions and significant valuation techniques and inputs used to estimate the fair value of these financial instruments are summarized as follows:</w:t>
      </w:r>
    </w:p>
    <w:p>
      <w:pPr>
        <w:spacing w:after="0" w:line="190" w:lineRule="exact"/>
        <w:rPr>
          <w:sz w:val="20"/>
          <w:szCs w:val="20"/>
          <w:color w:val="auto"/>
        </w:rPr>
      </w:pPr>
    </w:p>
    <w:p>
      <w:pPr>
        <w:jc w:val="both"/>
        <w:ind w:left="1" w:right="179"/>
        <w:spacing w:after="0" w:line="244" w:lineRule="auto"/>
        <w:rPr>
          <w:sz w:val="20"/>
          <w:szCs w:val="20"/>
          <w:color w:val="auto"/>
        </w:rPr>
      </w:pPr>
      <w:r>
        <w:rPr>
          <w:rFonts w:ascii="Arial" w:cs="Arial" w:eastAsia="Arial" w:hAnsi="Arial"/>
          <w:sz w:val="20"/>
          <w:szCs w:val="20"/>
          <w:i w:val="1"/>
          <w:iCs w:val="1"/>
          <w:u w:val="single" w:color="auto"/>
          <w:color w:val="auto"/>
        </w:rPr>
        <w:t>Mortgage Loans Held for Investment</w:t>
      </w:r>
      <w:r>
        <w:rPr>
          <w:rFonts w:ascii="Arial" w:cs="Arial" w:eastAsia="Arial" w:hAnsi="Arial"/>
          <w:sz w:val="20"/>
          <w:szCs w:val="20"/>
          <w:i w:val="1"/>
          <w:iCs w:val="1"/>
          <w:color w:val="auto"/>
        </w:rPr>
        <w:t xml:space="preserve">: </w:t>
      </w:r>
      <w:r>
        <w:rPr>
          <w:rFonts w:ascii="Arial" w:cs="Arial" w:eastAsia="Arial" w:hAnsi="Arial"/>
          <w:sz w:val="20"/>
          <w:szCs w:val="20"/>
          <w:color w:val="auto"/>
        </w:rPr>
        <w:t>The estimated fair value of the Company’s mortgage loans held for</w:t>
      </w:r>
      <w:r>
        <w:rPr>
          <w:rFonts w:ascii="Arial" w:cs="Arial" w:eastAsia="Arial" w:hAnsi="Arial"/>
          <w:sz w:val="20"/>
          <w:szCs w:val="20"/>
          <w:i w:val="1"/>
          <w:iCs w:val="1"/>
          <w:color w:val="auto"/>
        </w:rPr>
        <w:t xml:space="preserve"> </w:t>
      </w:r>
      <w:r>
        <w:rPr>
          <w:rFonts w:ascii="Arial" w:cs="Arial" w:eastAsia="Arial" w:hAnsi="Arial"/>
          <w:sz w:val="20"/>
          <w:szCs w:val="20"/>
          <w:color w:val="auto"/>
        </w:rPr>
        <w:t>investment is determined using various methods. 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208" w:lineRule="exact"/>
        <w:rPr>
          <w:sz w:val="20"/>
          <w:szCs w:val="20"/>
          <w:color w:val="auto"/>
        </w:rPr>
      </w:pPr>
    </w:p>
    <w:p>
      <w:pPr>
        <w:jc w:val="both"/>
        <w:ind w:left="641" w:right="179"/>
        <w:spacing w:after="0" w:line="291" w:lineRule="auto"/>
        <w:rPr>
          <w:sz w:val="20"/>
          <w:szCs w:val="20"/>
          <w:color w:val="auto"/>
        </w:rPr>
      </w:pPr>
      <w:r>
        <w:rPr>
          <w:rFonts w:ascii="Arial" w:cs="Arial" w:eastAsia="Arial" w:hAnsi="Arial"/>
          <w:sz w:val="18"/>
          <w:szCs w:val="18"/>
          <w:color w:val="auto"/>
        </w:rPr>
        <w:t>Residential – The estimated fair value is determined through a combination of discounted cash flows (estimating expected future cash flows of payments and discounting them using current interest rates from single family mortgages) and considering pricing of similar loans that were sold recently.</w:t>
      </w:r>
    </w:p>
    <w:p>
      <w:pPr>
        <w:spacing w:after="0" w:line="165" w:lineRule="exact"/>
        <w:rPr>
          <w:sz w:val="20"/>
          <w:szCs w:val="20"/>
          <w:color w:val="auto"/>
        </w:rPr>
      </w:pPr>
    </w:p>
    <w:p>
      <w:pPr>
        <w:jc w:val="both"/>
        <w:ind w:left="641" w:right="179"/>
        <w:spacing w:after="0" w:line="260" w:lineRule="auto"/>
        <w:rPr>
          <w:sz w:val="20"/>
          <w:szCs w:val="20"/>
          <w:color w:val="auto"/>
        </w:rPr>
      </w:pPr>
      <w:r>
        <w:rPr>
          <w:rFonts w:ascii="Arial" w:cs="Arial" w:eastAsia="Arial" w:hAnsi="Arial"/>
          <w:sz w:val="20"/>
          <w:szCs w:val="20"/>
          <w:color w:val="auto"/>
        </w:rPr>
        <w:t>Residential Construction – These loans are primarily short in maturity. Accordingly, the estimated fair value is determined to be the carrying value.</w:t>
      </w:r>
    </w:p>
    <w:p>
      <w:pPr>
        <w:spacing w:after="0" w:line="190" w:lineRule="exact"/>
        <w:rPr>
          <w:sz w:val="20"/>
          <w:szCs w:val="20"/>
          <w:color w:val="auto"/>
        </w:rPr>
      </w:pPr>
    </w:p>
    <w:p>
      <w:pPr>
        <w:jc w:val="both"/>
        <w:ind w:left="641" w:right="179"/>
        <w:spacing w:after="0" w:line="260" w:lineRule="auto"/>
        <w:rPr>
          <w:sz w:val="20"/>
          <w:szCs w:val="20"/>
          <w:color w:val="auto"/>
        </w:rPr>
      </w:pPr>
      <w:r>
        <w:rPr>
          <w:rFonts w:ascii="Arial" w:cs="Arial" w:eastAsia="Arial" w:hAnsi="Arial"/>
          <w:sz w:val="20"/>
          <w:szCs w:val="20"/>
          <w:color w:val="auto"/>
        </w:rPr>
        <w:t>Commercial – The estimated fair value is determined by estimating expected future cash flows of payments and discounting them using current interest rates for commercial mortgages.</w:t>
      </w:r>
    </w:p>
    <w:p>
      <w:pPr>
        <w:spacing w:after="0" w:line="190" w:lineRule="exact"/>
        <w:rPr>
          <w:sz w:val="20"/>
          <w:szCs w:val="20"/>
          <w:color w:val="auto"/>
        </w:rPr>
      </w:pPr>
    </w:p>
    <w:p>
      <w:pPr>
        <w:jc w:val="both"/>
        <w:ind w:left="1" w:right="179"/>
        <w:spacing w:after="0" w:line="250" w:lineRule="auto"/>
        <w:rPr>
          <w:sz w:val="20"/>
          <w:szCs w:val="20"/>
          <w:color w:val="auto"/>
        </w:rPr>
      </w:pPr>
      <w:r>
        <w:rPr>
          <w:rFonts w:ascii="Arial" w:cs="Arial" w:eastAsia="Arial" w:hAnsi="Arial"/>
          <w:sz w:val="20"/>
          <w:szCs w:val="20"/>
          <w:i w:val="1"/>
          <w:iCs w:val="1"/>
          <w:u w:val="single" w:color="auto"/>
          <w:color w:val="auto"/>
        </w:rPr>
        <w:t>Policy Loans</w:t>
      </w:r>
      <w:r>
        <w:rPr>
          <w:rFonts w:ascii="Arial" w:cs="Arial" w:eastAsia="Arial" w:hAnsi="Arial"/>
          <w:sz w:val="20"/>
          <w:szCs w:val="20"/>
          <w:color w:val="auto"/>
        </w:rPr>
        <w:t>: The carrying amounts reported in the accompanying condensed consolidated balance sheet for these</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instruments approximate their fair values because they are fully collateralized by the cash surrender value of the underlying insurance policies.</w:t>
      </w:r>
    </w:p>
    <w:p>
      <w:pPr>
        <w:spacing w:after="0" w:line="199" w:lineRule="exact"/>
        <w:rPr>
          <w:sz w:val="20"/>
          <w:szCs w:val="20"/>
          <w:color w:val="auto"/>
        </w:rPr>
      </w:pPr>
    </w:p>
    <w:p>
      <w:pPr>
        <w:jc w:val="both"/>
        <w:ind w:left="1" w:right="179"/>
        <w:spacing w:after="0" w:line="250" w:lineRule="auto"/>
        <w:rPr>
          <w:sz w:val="20"/>
          <w:szCs w:val="20"/>
          <w:color w:val="auto"/>
        </w:rPr>
      </w:pPr>
      <w:r>
        <w:rPr>
          <w:rFonts w:ascii="Arial" w:cs="Arial" w:eastAsia="Arial" w:hAnsi="Arial"/>
          <w:sz w:val="20"/>
          <w:szCs w:val="20"/>
          <w:i w:val="1"/>
          <w:iCs w:val="1"/>
          <w:u w:val="single" w:color="auto"/>
          <w:color w:val="auto"/>
        </w:rPr>
        <w:t>Insurance Assignments, Net</w:t>
      </w:r>
      <w:r>
        <w:rPr>
          <w:rFonts w:ascii="Arial" w:cs="Arial" w:eastAsia="Arial" w:hAnsi="Arial"/>
          <w:sz w:val="20"/>
          <w:szCs w:val="20"/>
          <w:color w:val="auto"/>
        </w:rPr>
        <w:t>: These investments are primarily short in maturity, accordingly, the carrying amounts</w:t>
      </w:r>
      <w:r>
        <w:rPr>
          <w:rFonts w:ascii="Arial" w:cs="Arial" w:eastAsia="Arial" w:hAnsi="Arial"/>
          <w:sz w:val="20"/>
          <w:szCs w:val="20"/>
          <w:i w:val="1"/>
          <w:iCs w:val="1"/>
          <w:color w:val="auto"/>
        </w:rPr>
        <w:t xml:space="preserve"> </w:t>
      </w:r>
      <w:r>
        <w:rPr>
          <w:rFonts w:ascii="Arial" w:cs="Arial" w:eastAsia="Arial" w:hAnsi="Arial"/>
          <w:sz w:val="20"/>
          <w:szCs w:val="20"/>
          <w:color w:val="auto"/>
        </w:rPr>
        <w:t>reported in the accompanying condensed consolidated balance sheet for these financial instruments approximate their fair values.</w:t>
      </w:r>
    </w:p>
    <w:p>
      <w:pPr>
        <w:sectPr>
          <w:pgSz w:w="11900" w:h="16838" w:orient="portrait"/>
          <w:cols w:equalWidth="0" w:num="1">
            <w:col w:w="9240"/>
          </w:cols>
          <w:pgMar w:left="1219" w:top="122" w:right="1440" w:bottom="1440" w:gutter="0" w:footer="0" w:header="0"/>
        </w:sectPr>
      </w:pPr>
    </w:p>
    <w:p>
      <w:pPr>
        <w:spacing w:after="0" w:line="213" w:lineRule="exact"/>
        <w:rPr>
          <w:sz w:val="20"/>
          <w:szCs w:val="20"/>
          <w:color w:val="auto"/>
        </w:rPr>
      </w:pPr>
    </w:p>
    <w:p>
      <w:pPr>
        <w:jc w:val="center"/>
        <w:ind w:right="158"/>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57607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2" w:right="1440" w:bottom="1440" w:gutter="0" w:footer="0" w:header="0"/>
          <w:type w:val="continuous"/>
        </w:sectPr>
      </w:pPr>
    </w:p>
    <w:bookmarkStart w:id="40" w:name="page41"/>
    <w:bookmarkEnd w:id="40"/>
    <w:p>
      <w:pPr>
        <w:jc w:val="center"/>
        <w:ind w:left="1220" w:right="132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93" w:lineRule="exact"/>
        <w:rPr>
          <w:sz w:val="20"/>
          <w:szCs w:val="20"/>
          <w:color w:val="auto"/>
        </w:rPr>
      </w:pPr>
    </w:p>
    <w:p>
      <w:pPr>
        <w:ind w:left="481" w:hanging="481"/>
        <w:spacing w:after="0"/>
        <w:tabs>
          <w:tab w:leader="none" w:pos="481"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Fair Value of Financial Instruments</w:t>
      </w:r>
      <w:r>
        <w:rPr>
          <w:rFonts w:ascii="Arial" w:cs="Arial" w:eastAsia="Arial" w:hAnsi="Arial"/>
          <w:sz w:val="20"/>
          <w:szCs w:val="20"/>
          <w:color w:val="auto"/>
        </w:rPr>
        <w:t xml:space="preserve"> (Continued)</w:t>
      </w:r>
    </w:p>
    <w:p>
      <w:pPr>
        <w:spacing w:after="0" w:line="256" w:lineRule="exact"/>
        <w:rPr>
          <w:sz w:val="20"/>
          <w:szCs w:val="20"/>
          <w:color w:val="auto"/>
        </w:rPr>
      </w:pPr>
    </w:p>
    <w:p>
      <w:pPr>
        <w:jc w:val="both"/>
        <w:ind w:left="1" w:right="179"/>
        <w:spacing w:after="0" w:line="250" w:lineRule="auto"/>
        <w:rPr>
          <w:sz w:val="20"/>
          <w:szCs w:val="20"/>
          <w:color w:val="auto"/>
        </w:rPr>
      </w:pPr>
      <w:r>
        <w:rPr>
          <w:rFonts w:ascii="Arial" w:cs="Arial" w:eastAsia="Arial" w:hAnsi="Arial"/>
          <w:sz w:val="20"/>
          <w:szCs w:val="20"/>
          <w:i w:val="1"/>
          <w:iCs w:val="1"/>
          <w:u w:val="single" w:color="auto"/>
          <w:color w:val="auto"/>
        </w:rPr>
        <w:t>Bank and Other Loans Payable</w:t>
      </w:r>
      <w:r>
        <w:rPr>
          <w:rFonts w:ascii="Arial" w:cs="Arial" w:eastAsia="Arial" w:hAnsi="Arial"/>
          <w:sz w:val="20"/>
          <w:szCs w:val="20"/>
          <w:color w:val="auto"/>
        </w:rPr>
        <w:t>: The carrying amounts reported in the accompanying condensed consolidated</w:t>
      </w:r>
      <w:r>
        <w:rPr>
          <w:rFonts w:ascii="Arial" w:cs="Arial" w:eastAsia="Arial" w:hAnsi="Arial"/>
          <w:sz w:val="20"/>
          <w:szCs w:val="20"/>
          <w:i w:val="1"/>
          <w:iCs w:val="1"/>
          <w:color w:val="auto"/>
        </w:rPr>
        <w:t xml:space="preserve"> </w:t>
      </w:r>
      <w:r>
        <w:rPr>
          <w:rFonts w:ascii="Arial" w:cs="Arial" w:eastAsia="Arial" w:hAnsi="Arial"/>
          <w:sz w:val="20"/>
          <w:szCs w:val="20"/>
          <w:color w:val="auto"/>
        </w:rPr>
        <w:t>balance sheet for these financial instruments approximate their fair values due to their relatively short-term maturities and variable interest rates.</w:t>
      </w:r>
    </w:p>
    <w:p>
      <w:pPr>
        <w:spacing w:after="0" w:line="199" w:lineRule="exact"/>
        <w:rPr>
          <w:sz w:val="20"/>
          <w:szCs w:val="20"/>
          <w:color w:val="auto"/>
        </w:rPr>
      </w:pPr>
    </w:p>
    <w:p>
      <w:pPr>
        <w:jc w:val="both"/>
        <w:ind w:left="1" w:right="159"/>
        <w:spacing w:after="0" w:line="271" w:lineRule="auto"/>
        <w:rPr>
          <w:sz w:val="20"/>
          <w:szCs w:val="20"/>
          <w:color w:val="auto"/>
        </w:rPr>
      </w:pPr>
      <w:r>
        <w:rPr>
          <w:rFonts w:ascii="Arial" w:cs="Arial" w:eastAsia="Arial" w:hAnsi="Arial"/>
          <w:sz w:val="18"/>
          <w:szCs w:val="18"/>
          <w:i w:val="1"/>
          <w:iCs w:val="1"/>
          <w:u w:val="single" w:color="auto"/>
          <w:color w:val="auto"/>
        </w:rPr>
        <w:t>Policyholder Account Balances and Future Policy Benefits-Annuities</w:t>
      </w:r>
      <w:r>
        <w:rPr>
          <w:rFonts w:ascii="Arial" w:cs="Arial" w:eastAsia="Arial" w:hAnsi="Arial"/>
          <w:sz w:val="18"/>
          <w:szCs w:val="18"/>
          <w:color w:val="auto"/>
        </w:rPr>
        <w:t>: Future policy benefit reserves for interest-sensitive insurance products are computed 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87" w:lineRule="exact"/>
        <w:rPr>
          <w:sz w:val="20"/>
          <w:szCs w:val="20"/>
          <w:color w:val="auto"/>
        </w:rPr>
      </w:pPr>
    </w:p>
    <w:p>
      <w:pPr>
        <w:ind w:left="481" w:hanging="481"/>
        <w:spacing w:after="0"/>
        <w:tabs>
          <w:tab w:leader="none" w:pos="481"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Allowance for Doubtful Accounts</w:t>
      </w:r>
    </w:p>
    <w:p>
      <w:pPr>
        <w:spacing w:after="0" w:line="229" w:lineRule="exact"/>
        <w:rPr>
          <w:sz w:val="20"/>
          <w:szCs w:val="20"/>
          <w:color w:val="auto"/>
        </w:rPr>
      </w:pPr>
    </w:p>
    <w:p>
      <w:pPr>
        <w:jc w:val="both"/>
        <w:ind w:left="1" w:right="179"/>
        <w:spacing w:after="0" w:line="260" w:lineRule="auto"/>
        <w:rPr>
          <w:sz w:val="20"/>
          <w:szCs w:val="20"/>
          <w:color w:val="auto"/>
        </w:rPr>
      </w:pPr>
      <w:r>
        <w:rPr>
          <w:rFonts w:ascii="Arial" w:cs="Arial" w:eastAsia="Arial" w:hAnsi="Arial"/>
          <w:sz w:val="20"/>
          <w:szCs w:val="20"/>
          <w:color w:val="auto"/>
        </w:rPr>
        <w:t>The Company records an allowance and recognizes an expense for potential losses from other investments and receivables in accordance with generally accepted accounting principles.</w:t>
      </w:r>
    </w:p>
    <w:p>
      <w:pPr>
        <w:spacing w:after="0" w:line="190" w:lineRule="exact"/>
        <w:rPr>
          <w:sz w:val="20"/>
          <w:szCs w:val="20"/>
          <w:color w:val="auto"/>
        </w:rPr>
      </w:pPr>
    </w:p>
    <w:p>
      <w:pPr>
        <w:jc w:val="both"/>
        <w:ind w:left="1" w:right="179"/>
        <w:spacing w:after="0" w:line="243" w:lineRule="auto"/>
        <w:rPr>
          <w:sz w:val="20"/>
          <w:szCs w:val="20"/>
          <w:color w:val="auto"/>
        </w:rPr>
      </w:pPr>
      <w:r>
        <w:rPr>
          <w:rFonts w:ascii="Arial" w:cs="Arial" w:eastAsia="Arial" w:hAnsi="Arial"/>
          <w:sz w:val="20"/>
          <w:szCs w:val="20"/>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209" w:lineRule="exact"/>
        <w:rPr>
          <w:sz w:val="20"/>
          <w:szCs w:val="20"/>
          <w:color w:val="auto"/>
        </w:rPr>
      </w:pPr>
    </w:p>
    <w:p>
      <w:pPr>
        <w:ind w:left="481" w:hanging="481"/>
        <w:spacing w:after="0"/>
        <w:tabs>
          <w:tab w:leader="none" w:pos="481"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Derivative Instruments</w:t>
      </w:r>
    </w:p>
    <w:p>
      <w:pPr>
        <w:spacing w:after="0" w:line="22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Mortgage Banking Derivatives</w:t>
      </w:r>
    </w:p>
    <w:p>
      <w:pPr>
        <w:spacing w:after="0" w:line="235"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Loan Commitments</w:t>
      </w:r>
    </w:p>
    <w:p>
      <w:pPr>
        <w:spacing w:after="0" w:line="229" w:lineRule="exact"/>
        <w:rPr>
          <w:sz w:val="20"/>
          <w:szCs w:val="20"/>
          <w:color w:val="auto"/>
        </w:rPr>
      </w:pPr>
    </w:p>
    <w:p>
      <w:pPr>
        <w:jc w:val="both"/>
        <w:ind w:left="1" w:right="159"/>
        <w:spacing w:after="0" w:line="257" w:lineRule="auto"/>
        <w:rPr>
          <w:sz w:val="20"/>
          <w:szCs w:val="20"/>
          <w:color w:val="auto"/>
        </w:rPr>
      </w:pPr>
      <w:r>
        <w:rPr>
          <w:rFonts w:ascii="Arial" w:cs="Arial" w:eastAsia="Arial" w:hAnsi="Arial"/>
          <w:sz w:val="19"/>
          <w:szCs w:val="19"/>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198" w:lineRule="exact"/>
        <w:rPr>
          <w:sz w:val="20"/>
          <w:szCs w:val="20"/>
          <w:color w:val="auto"/>
        </w:rPr>
      </w:pPr>
    </w:p>
    <w:p>
      <w:pPr>
        <w:jc w:val="both"/>
        <w:ind w:left="1" w:right="159"/>
        <w:spacing w:after="0" w:line="272" w:lineRule="auto"/>
        <w:rPr>
          <w:sz w:val="20"/>
          <w:szCs w:val="20"/>
          <w:color w:val="auto"/>
        </w:rPr>
      </w:pPr>
      <w:r>
        <w:rPr>
          <w:rFonts w:ascii="Arial" w:cs="Arial" w:eastAsia="Arial" w:hAnsi="Arial"/>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97" w:lineRule="exact"/>
        <w:rPr>
          <w:sz w:val="20"/>
          <w:szCs w:val="20"/>
          <w:color w:val="auto"/>
        </w:rPr>
      </w:pPr>
    </w:p>
    <w:p>
      <w:pPr>
        <w:jc w:val="center"/>
        <w:ind w:right="158"/>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2" w:right="1440" w:bottom="1440" w:gutter="0" w:footer="0" w:header="0"/>
        </w:sectPr>
      </w:pPr>
    </w:p>
    <w:bookmarkStart w:id="41" w:name="page42"/>
    <w:bookmarkEnd w:id="41"/>
    <w:p>
      <w:pPr>
        <w:jc w:val="center"/>
        <w:ind w:left="1220" w:right="132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93" w:lineRule="exact"/>
        <w:rPr>
          <w:sz w:val="20"/>
          <w:szCs w:val="20"/>
          <w:color w:val="auto"/>
        </w:rPr>
      </w:pPr>
    </w:p>
    <w:p>
      <w:pPr>
        <w:ind w:left="481" w:hanging="481"/>
        <w:spacing w:after="0"/>
        <w:tabs>
          <w:tab w:leader="none" w:pos="481"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Derivative Instruments</w:t>
      </w:r>
      <w:r>
        <w:rPr>
          <w:rFonts w:ascii="Arial" w:cs="Arial" w:eastAsia="Arial" w:hAnsi="Arial"/>
          <w:sz w:val="20"/>
          <w:szCs w:val="20"/>
          <w:color w:val="auto"/>
        </w:rPr>
        <w:t xml:space="preserve"> (Continued)</w:t>
      </w:r>
    </w:p>
    <w:p>
      <w:pPr>
        <w:spacing w:after="0" w:line="256" w:lineRule="exact"/>
        <w:rPr>
          <w:sz w:val="20"/>
          <w:szCs w:val="20"/>
          <w:color w:val="auto"/>
        </w:rPr>
      </w:pPr>
    </w:p>
    <w:p>
      <w:pPr>
        <w:jc w:val="both"/>
        <w:ind w:left="1" w:right="179"/>
        <w:spacing w:after="0" w:line="276" w:lineRule="auto"/>
        <w:rPr>
          <w:sz w:val="20"/>
          <w:szCs w:val="20"/>
          <w:color w:val="auto"/>
        </w:rPr>
      </w:pPr>
      <w:r>
        <w:rPr>
          <w:rFonts w:ascii="Arial" w:cs="Arial" w:eastAsia="Arial" w:hAnsi="Arial"/>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w:t>
      </w:r>
    </w:p>
    <w:p>
      <w:pPr>
        <w:spacing w:after="0" w:line="178"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Forward Sale Commitments</w:t>
      </w:r>
    </w:p>
    <w:p>
      <w:pPr>
        <w:spacing w:after="0" w:line="229" w:lineRule="exact"/>
        <w:rPr>
          <w:sz w:val="20"/>
          <w:szCs w:val="20"/>
          <w:color w:val="auto"/>
        </w:rPr>
      </w:pPr>
    </w:p>
    <w:p>
      <w:pPr>
        <w:jc w:val="both"/>
        <w:ind w:left="1" w:right="179"/>
        <w:spacing w:after="0" w:line="278" w:lineRule="auto"/>
        <w:rPr>
          <w:sz w:val="20"/>
          <w:szCs w:val="20"/>
          <w:color w:val="auto"/>
        </w:rPr>
      </w:pPr>
      <w:r>
        <w:rPr>
          <w:rFonts w:ascii="Arial" w:cs="Arial" w:eastAsia="Arial" w:hAnsi="Arial"/>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78" w:lineRule="exact"/>
        <w:rPr>
          <w:sz w:val="20"/>
          <w:szCs w:val="20"/>
          <w:color w:val="auto"/>
        </w:rPr>
      </w:pPr>
    </w:p>
    <w:p>
      <w:pPr>
        <w:jc w:val="both"/>
        <w:ind w:left="1" w:right="179"/>
        <w:spacing w:after="0" w:line="342" w:lineRule="auto"/>
        <w:rPr>
          <w:sz w:val="20"/>
          <w:szCs w:val="20"/>
          <w:color w:val="auto"/>
        </w:rPr>
      </w:pPr>
      <w:r>
        <w:rPr>
          <w:rFonts w:ascii="Arial" w:cs="Arial" w:eastAsia="Arial" w:hAnsi="Arial"/>
          <w:sz w:val="16"/>
          <w:szCs w:val="16"/>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2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Call and Put Options</w:t>
      </w:r>
    </w:p>
    <w:p>
      <w:pPr>
        <w:spacing w:after="0" w:line="235" w:lineRule="exact"/>
        <w:rPr>
          <w:sz w:val="20"/>
          <w:szCs w:val="20"/>
          <w:color w:val="auto"/>
        </w:rPr>
      </w:pPr>
    </w:p>
    <w:p>
      <w:pPr>
        <w:jc w:val="both"/>
        <w:ind w:left="1" w:right="159"/>
        <w:spacing w:after="0" w:line="270" w:lineRule="auto"/>
        <w:rPr>
          <w:sz w:val="20"/>
          <w:szCs w:val="20"/>
          <w:color w:val="auto"/>
        </w:rPr>
      </w:pPr>
      <w:r>
        <w:rPr>
          <w:rFonts w:ascii="Arial" w:cs="Arial" w:eastAsia="Arial" w:hAnsi="Arial"/>
          <w:sz w:val="18"/>
          <w:szCs w:val="18"/>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recognizes a gain from the expired option. In the event a put option is exercised, the Company acquires an equity security at the strike price of the option reduced by the value received from the sale of the put option. The equity security is then treated as a normal equity security in the Company’s portfolio. The net changes in the fair value of call and put options are shown in current earnings as a component of realized gains (losses) on investments and other assets. Call and put options are shown in other liabilities and accrued expenses on the condensed consolidated balance sheets.</w:t>
      </w:r>
    </w:p>
    <w:p>
      <w:pPr>
        <w:spacing w:after="0" w:line="186" w:lineRule="exact"/>
        <w:rPr>
          <w:sz w:val="20"/>
          <w:szCs w:val="20"/>
          <w:color w:val="auto"/>
        </w:rPr>
      </w:pPr>
    </w:p>
    <w:p>
      <w:pPr>
        <w:jc w:val="both"/>
        <w:ind w:left="1" w:right="179"/>
        <w:spacing w:after="0" w:line="260" w:lineRule="auto"/>
        <w:rPr>
          <w:sz w:val="20"/>
          <w:szCs w:val="20"/>
          <w:color w:val="auto"/>
        </w:rPr>
      </w:pPr>
      <w:r>
        <w:rPr>
          <w:rFonts w:ascii="Arial" w:cs="Arial" w:eastAsia="Arial" w:hAnsi="Arial"/>
          <w:sz w:val="20"/>
          <w:szCs w:val="20"/>
          <w:color w:val="auto"/>
        </w:rPr>
        <w:t>The following table shows the notional amount and fair value of derivatives as of March 31, 2021 and December 31, 2020.</w:t>
      </w:r>
    </w:p>
    <w:p>
      <w:pPr>
        <w:spacing w:after="0" w:line="29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20" w:type="dxa"/>
            <w:vAlign w:val="bottom"/>
            <w:gridSpan w:val="10"/>
          </w:tcPr>
          <w:p>
            <w:pPr>
              <w:jc w:val="center"/>
              <w:ind w:left="208"/>
              <w:spacing w:after="0"/>
              <w:rPr>
                <w:sz w:val="20"/>
                <w:szCs w:val="20"/>
                <w:color w:val="auto"/>
              </w:rPr>
            </w:pPr>
            <w:r>
              <w:rPr>
                <w:rFonts w:ascii="Arial" w:cs="Arial" w:eastAsia="Arial" w:hAnsi="Arial"/>
                <w:sz w:val="14"/>
                <w:szCs w:val="14"/>
                <w:color w:val="auto"/>
                <w:w w:val="93"/>
              </w:rPr>
              <w:t>Fair Values and Notional Values of Derivative Instruments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23"/>
        </w:trPr>
        <w:tc>
          <w:tcPr>
            <w:tcW w:w="16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4"/>
          </w:tcPr>
          <w:p>
            <w:pPr>
              <w:ind w:left="40"/>
              <w:spacing w:after="0"/>
              <w:rPr>
                <w:sz w:val="20"/>
                <w:szCs w:val="20"/>
                <w:color w:val="auto"/>
              </w:rPr>
            </w:pPr>
            <w:r>
              <w:rPr>
                <w:rFonts w:ascii="Arial" w:cs="Arial" w:eastAsia="Arial" w:hAnsi="Arial"/>
                <w:sz w:val="14"/>
                <w:szCs w:val="14"/>
                <w:color w:val="auto"/>
              </w:rPr>
              <w:t>March 31, 2021</w:t>
            </w: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gridSpan w:val="5"/>
          </w:tcPr>
          <w:p>
            <w:pPr>
              <w:jc w:val="center"/>
              <w:ind w:left="568"/>
              <w:spacing w:after="0"/>
              <w:rPr>
                <w:sz w:val="20"/>
                <w:szCs w:val="20"/>
                <w:color w:val="auto"/>
              </w:rPr>
            </w:pPr>
            <w:r>
              <w:rPr>
                <w:rFonts w:ascii="Arial" w:cs="Arial" w:eastAsia="Arial" w:hAnsi="Arial"/>
                <w:sz w:val="14"/>
                <w:szCs w:val="14"/>
                <w:color w:val="auto"/>
                <w:w w:val="92"/>
              </w:rPr>
              <w:t>December 31, 2020</w:t>
            </w: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r>
      <w:tr>
        <w:trPr>
          <w:trHeight w:val="137"/>
        </w:trPr>
        <w:tc>
          <w:tcPr>
            <w:tcW w:w="1680" w:type="dxa"/>
            <w:vAlign w:val="bottom"/>
          </w:tcPr>
          <w:p>
            <w:pPr>
              <w:spacing w:after="0"/>
              <w:rPr>
                <w:sz w:val="11"/>
                <w:szCs w:val="11"/>
                <w:color w:val="auto"/>
              </w:rPr>
            </w:pPr>
          </w:p>
        </w:tc>
        <w:tc>
          <w:tcPr>
            <w:tcW w:w="1260" w:type="dxa"/>
            <w:vAlign w:val="bottom"/>
          </w:tcPr>
          <w:p>
            <w:pPr>
              <w:jc w:val="center"/>
              <w:spacing w:after="0" w:line="137" w:lineRule="exact"/>
              <w:rPr>
                <w:sz w:val="20"/>
                <w:szCs w:val="20"/>
                <w:color w:val="auto"/>
              </w:rPr>
            </w:pPr>
            <w:r>
              <w:rPr>
                <w:rFonts w:ascii="Arial" w:cs="Arial" w:eastAsia="Arial" w:hAnsi="Arial"/>
                <w:sz w:val="14"/>
                <w:szCs w:val="14"/>
                <w:color w:val="auto"/>
                <w:w w:val="90"/>
              </w:rPr>
              <w:t>Balance Sheet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188"/>
              <w:spacing w:after="0" w:line="137" w:lineRule="exact"/>
              <w:rPr>
                <w:sz w:val="20"/>
                <w:szCs w:val="20"/>
                <w:color w:val="auto"/>
              </w:rPr>
            </w:pPr>
            <w:r>
              <w:rPr>
                <w:rFonts w:ascii="Arial" w:cs="Arial" w:eastAsia="Arial" w:hAnsi="Arial"/>
                <w:sz w:val="14"/>
                <w:szCs w:val="14"/>
                <w:color w:val="auto"/>
                <w:w w:val="97"/>
              </w:rPr>
              <w:t>Notional</w:t>
            </w:r>
          </w:p>
        </w:tc>
        <w:tc>
          <w:tcPr>
            <w:tcW w:w="100" w:type="dxa"/>
            <w:vAlign w:val="bottom"/>
          </w:tcPr>
          <w:p>
            <w:pPr>
              <w:spacing w:after="0"/>
              <w:rPr>
                <w:sz w:val="11"/>
                <w:szCs w:val="11"/>
                <w:color w:val="auto"/>
              </w:rPr>
            </w:pPr>
          </w:p>
        </w:tc>
        <w:tc>
          <w:tcPr>
            <w:tcW w:w="1040" w:type="dxa"/>
            <w:vAlign w:val="bottom"/>
            <w:gridSpan w:val="3"/>
          </w:tcPr>
          <w:p>
            <w:pPr>
              <w:jc w:val="center"/>
              <w:ind w:right="100"/>
              <w:spacing w:after="0" w:line="137" w:lineRule="exact"/>
              <w:rPr>
                <w:sz w:val="20"/>
                <w:szCs w:val="20"/>
                <w:color w:val="auto"/>
              </w:rPr>
            </w:pPr>
            <w:r>
              <w:rPr>
                <w:rFonts w:ascii="Arial" w:cs="Arial" w:eastAsia="Arial" w:hAnsi="Arial"/>
                <w:sz w:val="14"/>
                <w:szCs w:val="14"/>
                <w:color w:val="auto"/>
                <w:w w:val="91"/>
              </w:rPr>
              <w:t>Asset Fair</w:t>
            </w:r>
          </w:p>
        </w:tc>
        <w:tc>
          <w:tcPr>
            <w:tcW w:w="880" w:type="dxa"/>
            <w:vAlign w:val="bottom"/>
            <w:gridSpan w:val="2"/>
          </w:tcPr>
          <w:p>
            <w:pPr>
              <w:jc w:val="center"/>
              <w:spacing w:after="0" w:line="137" w:lineRule="exact"/>
              <w:rPr>
                <w:sz w:val="20"/>
                <w:szCs w:val="20"/>
                <w:color w:val="auto"/>
              </w:rPr>
            </w:pPr>
            <w:r>
              <w:rPr>
                <w:rFonts w:ascii="Arial" w:cs="Arial" w:eastAsia="Arial" w:hAnsi="Arial"/>
                <w:sz w:val="14"/>
                <w:szCs w:val="14"/>
                <w:color w:val="auto"/>
              </w:rPr>
              <w:t>Liability Fair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28"/>
              <w:spacing w:after="0" w:line="137" w:lineRule="exact"/>
              <w:rPr>
                <w:sz w:val="20"/>
                <w:szCs w:val="20"/>
                <w:color w:val="auto"/>
              </w:rPr>
            </w:pPr>
            <w:r>
              <w:rPr>
                <w:rFonts w:ascii="Arial" w:cs="Arial" w:eastAsia="Arial" w:hAnsi="Arial"/>
                <w:sz w:val="14"/>
                <w:szCs w:val="14"/>
                <w:color w:val="auto"/>
                <w:w w:val="97"/>
              </w:rPr>
              <w:t>Notional</w:t>
            </w:r>
          </w:p>
        </w:tc>
        <w:tc>
          <w:tcPr>
            <w:tcW w:w="1000" w:type="dxa"/>
            <w:vAlign w:val="bottom"/>
            <w:gridSpan w:val="4"/>
          </w:tcPr>
          <w:p>
            <w:pPr>
              <w:jc w:val="center"/>
              <w:ind w:right="160"/>
              <w:spacing w:after="0" w:line="137" w:lineRule="exact"/>
              <w:rPr>
                <w:sz w:val="20"/>
                <w:szCs w:val="20"/>
                <w:color w:val="auto"/>
              </w:rPr>
            </w:pPr>
            <w:r>
              <w:rPr>
                <w:rFonts w:ascii="Arial" w:cs="Arial" w:eastAsia="Arial" w:hAnsi="Arial"/>
                <w:sz w:val="14"/>
                <w:szCs w:val="14"/>
                <w:color w:val="auto"/>
                <w:w w:val="95"/>
              </w:rPr>
              <w:t>Asset Fair</w:t>
            </w:r>
          </w:p>
        </w:tc>
        <w:tc>
          <w:tcPr>
            <w:tcW w:w="880" w:type="dxa"/>
            <w:vAlign w:val="bottom"/>
            <w:gridSpan w:val="2"/>
          </w:tcPr>
          <w:p>
            <w:pPr>
              <w:jc w:val="right"/>
              <w:ind w:right="8"/>
              <w:spacing w:after="0" w:line="137" w:lineRule="exact"/>
              <w:rPr>
                <w:sz w:val="20"/>
                <w:szCs w:val="20"/>
                <w:color w:val="auto"/>
              </w:rPr>
            </w:pPr>
            <w:r>
              <w:rPr>
                <w:rFonts w:ascii="Arial" w:cs="Arial" w:eastAsia="Arial" w:hAnsi="Arial"/>
                <w:sz w:val="14"/>
                <w:szCs w:val="14"/>
                <w:color w:val="auto"/>
              </w:rPr>
              <w:t>Liability Fair</w:t>
            </w:r>
          </w:p>
        </w:tc>
      </w:tr>
      <w:tr>
        <w:trPr>
          <w:trHeight w:val="181"/>
        </w:trPr>
        <w:tc>
          <w:tcPr>
            <w:tcW w:w="1680" w:type="dxa"/>
            <w:vAlign w:val="bottom"/>
          </w:tcPr>
          <w:p>
            <w:pPr>
              <w:spacing w:after="0"/>
              <w:rPr>
                <w:sz w:val="15"/>
                <w:szCs w:val="15"/>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Location</w:t>
            </w:r>
          </w:p>
        </w:tc>
        <w:tc>
          <w:tcPr>
            <w:tcW w:w="240" w:type="dxa"/>
            <w:vAlign w:val="bottom"/>
          </w:tcPr>
          <w:p>
            <w:pPr>
              <w:spacing w:after="0"/>
              <w:rPr>
                <w:sz w:val="15"/>
                <w:szCs w:val="15"/>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Value</w:t>
            </w:r>
          </w:p>
        </w:tc>
        <w:tc>
          <w:tcPr>
            <w:tcW w:w="240" w:type="dxa"/>
            <w:vAlign w:val="bottom"/>
          </w:tcPr>
          <w:p>
            <w:pPr>
              <w:spacing w:after="0"/>
              <w:rPr>
                <w:sz w:val="15"/>
                <w:szCs w:val="15"/>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5"/>
                <w:szCs w:val="15"/>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5"/>
                <w:szCs w:val="15"/>
                <w:color w:val="auto"/>
              </w:rPr>
            </w:pPr>
          </w:p>
        </w:tc>
        <w:tc>
          <w:tcPr>
            <w:tcW w:w="820" w:type="dxa"/>
            <w:vAlign w:val="bottom"/>
            <w:gridSpan w:val="3"/>
          </w:tcPr>
          <w:p>
            <w:pPr>
              <w:jc w:val="center"/>
              <w:ind w:right="34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5"/>
                <w:szCs w:val="15"/>
                <w:color w:val="auto"/>
              </w:rPr>
            </w:pPr>
          </w:p>
        </w:tc>
        <w:tc>
          <w:tcPr>
            <w:tcW w:w="660" w:type="dxa"/>
            <w:vAlign w:val="bottom"/>
          </w:tcPr>
          <w:p>
            <w:pPr>
              <w:jc w:val="right"/>
              <w:ind w:right="228"/>
              <w:spacing w:after="0"/>
              <w:rPr>
                <w:sz w:val="20"/>
                <w:szCs w:val="20"/>
                <w:color w:val="auto"/>
              </w:rPr>
            </w:pPr>
            <w:r>
              <w:rPr>
                <w:rFonts w:ascii="Arial" w:cs="Arial" w:eastAsia="Arial" w:hAnsi="Arial"/>
                <w:sz w:val="14"/>
                <w:szCs w:val="14"/>
                <w:color w:val="auto"/>
                <w:w w:val="94"/>
              </w:rPr>
              <w:t>Value</w:t>
            </w:r>
          </w:p>
        </w:tc>
      </w:tr>
      <w:tr>
        <w:trPr>
          <w:trHeight w:val="123"/>
        </w:trPr>
        <w:tc>
          <w:tcPr>
            <w:tcW w:w="1680" w:type="dxa"/>
            <w:vAlign w:val="bottom"/>
            <w:tcBorders>
              <w:top w:val="single" w:sz="8" w:color="CCEEFF"/>
            </w:tcBorders>
            <w:shd w:val="clear" w:color="auto" w:fill="CCEEFF"/>
          </w:tcPr>
          <w:p>
            <w:pPr>
              <w:ind w:left="20"/>
              <w:spacing w:after="0" w:line="123" w:lineRule="exact"/>
              <w:rPr>
                <w:sz w:val="20"/>
                <w:szCs w:val="20"/>
                <w:color w:val="auto"/>
              </w:rPr>
            </w:pPr>
            <w:r>
              <w:rPr>
                <w:rFonts w:ascii="Arial" w:cs="Arial" w:eastAsia="Arial" w:hAnsi="Arial"/>
                <w:sz w:val="14"/>
                <w:szCs w:val="14"/>
                <w:color w:val="auto"/>
                <w:w w:val="99"/>
              </w:rPr>
              <w:t>Derivatives not designated</w:t>
            </w:r>
          </w:p>
        </w:tc>
        <w:tc>
          <w:tcPr>
            <w:tcW w:w="1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r>
      <w:tr>
        <w:trPr>
          <w:trHeight w:val="181"/>
        </w:trPr>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hedging instruments:</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43"/>
        </w:trPr>
        <w:tc>
          <w:tcPr>
            <w:tcW w:w="1680" w:type="dxa"/>
            <w:vAlign w:val="bottom"/>
          </w:tcPr>
          <w:p>
            <w:pPr>
              <w:ind w:left="20"/>
              <w:spacing w:after="0" w:line="143" w:lineRule="exact"/>
              <w:rPr>
                <w:sz w:val="20"/>
                <w:szCs w:val="20"/>
                <w:color w:val="auto"/>
              </w:rPr>
            </w:pPr>
            <w:r>
              <w:rPr>
                <w:rFonts w:ascii="Arial" w:cs="Arial" w:eastAsia="Arial" w:hAnsi="Arial"/>
                <w:sz w:val="14"/>
                <w:szCs w:val="14"/>
                <w:color w:val="auto"/>
              </w:rPr>
              <w:t>Loan commitments</w:t>
            </w:r>
          </w:p>
        </w:tc>
        <w:tc>
          <w:tcPr>
            <w:tcW w:w="136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88"/>
              </w:rPr>
              <w:t>Other assets and</w:t>
            </w:r>
          </w:p>
        </w:tc>
        <w:tc>
          <w:tcPr>
            <w:tcW w:w="2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w w:val="95"/>
              </w:rPr>
              <w:t>817,802,853</w:t>
            </w:r>
          </w:p>
        </w:tc>
        <w:tc>
          <w:tcPr>
            <w:tcW w:w="3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w w:val="96"/>
              </w:rPr>
              <w:t>10,671,623</w:t>
            </w:r>
          </w:p>
        </w:tc>
        <w:tc>
          <w:tcPr>
            <w:tcW w:w="100" w:type="dxa"/>
            <w:vAlign w:val="bottom"/>
          </w:tcPr>
          <w:p>
            <w:pPr>
              <w:spacing w:after="0"/>
              <w:rPr>
                <w:sz w:val="12"/>
                <w:szCs w:val="12"/>
                <w:color w:val="auto"/>
              </w:rPr>
            </w:pPr>
          </w:p>
        </w:tc>
        <w:tc>
          <w:tcPr>
            <w:tcW w:w="240" w:type="dxa"/>
            <w:vAlign w:val="bottom"/>
          </w:tcPr>
          <w:p>
            <w:pPr>
              <w:jc w:val="center"/>
              <w:ind w:left="28"/>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rPr>
              <w:t>228,547</w:t>
            </w:r>
          </w:p>
        </w:tc>
        <w:tc>
          <w:tcPr>
            <w:tcW w:w="80" w:type="dxa"/>
            <w:vAlign w:val="bottom"/>
          </w:tcPr>
          <w:p>
            <w:pPr>
              <w:spacing w:after="0"/>
              <w:rPr>
                <w:sz w:val="12"/>
                <w:szCs w:val="12"/>
                <w:color w:val="auto"/>
              </w:rPr>
            </w:pPr>
          </w:p>
        </w:tc>
        <w:tc>
          <w:tcPr>
            <w:tcW w:w="2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w w:val="95"/>
              </w:rPr>
              <w:t>659,245,038</w:t>
            </w:r>
          </w:p>
        </w:tc>
        <w:tc>
          <w:tcPr>
            <w:tcW w:w="1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w w:val="94"/>
              </w:rPr>
              <w:t>12,592,672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w w:val="93"/>
              </w:rPr>
              <w:t>2,464,062</w:t>
            </w:r>
          </w:p>
        </w:tc>
      </w:tr>
      <w:tr>
        <w:trPr>
          <w:trHeight w:val="181"/>
        </w:trPr>
        <w:tc>
          <w:tcPr>
            <w:tcW w:w="168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Other liabilities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5"/>
        </w:trPr>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Call options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Other liabilities</w:t>
            </w: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2,042,500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79,567</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1,873,200</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43,097</w:t>
            </w:r>
          </w:p>
        </w:tc>
      </w:tr>
      <w:tr>
        <w:trPr>
          <w:trHeight w:val="210"/>
        </w:trPr>
        <w:tc>
          <w:tcPr>
            <w:tcW w:w="1680" w:type="dxa"/>
            <w:vAlign w:val="bottom"/>
          </w:tcPr>
          <w:p>
            <w:pPr>
              <w:ind w:left="20"/>
              <w:spacing w:after="0"/>
              <w:rPr>
                <w:sz w:val="20"/>
                <w:szCs w:val="20"/>
                <w:color w:val="auto"/>
              </w:rPr>
            </w:pPr>
            <w:r>
              <w:rPr>
                <w:rFonts w:ascii="Arial" w:cs="Arial" w:eastAsia="Arial" w:hAnsi="Arial"/>
                <w:sz w:val="14"/>
                <w:szCs w:val="14"/>
                <w:color w:val="auto"/>
              </w:rPr>
              <w:t>Total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5"/>
              </w:rPr>
              <w:t>819,845,353</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10,671,623</w:t>
            </w:r>
          </w:p>
        </w:tc>
        <w:tc>
          <w:tcPr>
            <w:tcW w:w="100" w:type="dxa"/>
            <w:vAlign w:val="bottom"/>
          </w:tcPr>
          <w:p>
            <w:pPr>
              <w:spacing w:after="0"/>
              <w:rPr>
                <w:sz w:val="18"/>
                <w:szCs w:val="18"/>
                <w:color w:val="auto"/>
              </w:rPr>
            </w:pPr>
          </w:p>
        </w:tc>
        <w:tc>
          <w:tcPr>
            <w:tcW w:w="240" w:type="dxa"/>
            <w:vAlign w:val="bottom"/>
          </w:tcPr>
          <w:p>
            <w:pPr>
              <w:jc w:val="center"/>
              <w:ind w:lef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308,114</w:t>
            </w:r>
          </w:p>
        </w:tc>
        <w:tc>
          <w:tcPr>
            <w:tcW w:w="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w w:val="95"/>
              </w:rPr>
              <w:t>661,118,238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4"/>
              </w:rPr>
              <w:t>12,592,672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3"/>
              </w:rPr>
              <w:t>2,507,159</w:t>
            </w:r>
          </w:p>
        </w:tc>
      </w:tr>
      <w:tr>
        <w:trPr>
          <w:trHeight w:val="20"/>
        </w:trPr>
        <w:tc>
          <w:tcPr>
            <w:tcW w:w="1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center"/>
        <w:ind w:right="158"/>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2" w:right="1440" w:bottom="1440" w:gutter="0" w:footer="0" w:header="0"/>
        </w:sectPr>
      </w:pPr>
    </w:p>
    <w:bookmarkStart w:id="42" w:name="page43"/>
    <w:bookmarkEnd w:id="42"/>
    <w:p>
      <w:pPr>
        <w:jc w:val="center"/>
        <w:ind w:right="158"/>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93" w:lineRule="exact"/>
        <w:rPr>
          <w:sz w:val="20"/>
          <w:szCs w:val="20"/>
          <w:color w:val="auto"/>
        </w:rPr>
      </w:pPr>
    </w:p>
    <w:p>
      <w:pPr>
        <w:ind w:left="481" w:hanging="481"/>
        <w:spacing w:after="0"/>
        <w:tabs>
          <w:tab w:leader="none" w:pos="481"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Derivative Instruments</w:t>
      </w:r>
      <w:r>
        <w:rPr>
          <w:rFonts w:ascii="Arial" w:cs="Arial" w:eastAsia="Arial" w:hAnsi="Arial"/>
          <w:sz w:val="20"/>
          <w:szCs w:val="20"/>
          <w:color w:val="auto"/>
        </w:rPr>
        <w:t xml:space="preserve"> (Continued)</w:t>
      </w:r>
    </w:p>
    <w:p>
      <w:pPr>
        <w:spacing w:after="0" w:line="256"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following table shows the gains and losses on derivatives for the periods presented.</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w w:val="99"/>
              </w:rPr>
              <w:t>Net Amount Gain (Loss)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20" w:type="dxa"/>
            <w:vAlign w:val="bottom"/>
            <w:gridSpan w:val="5"/>
          </w:tcPr>
          <w:p>
            <w:pPr>
              <w:ind w:left="22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37"/>
        </w:trPr>
        <w:tc>
          <w:tcPr>
            <w:tcW w:w="22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Derivative</w:t>
            </w:r>
          </w:p>
        </w:tc>
        <w:tc>
          <w:tcPr>
            <w:tcW w:w="260" w:type="dxa"/>
            <w:vAlign w:val="bottom"/>
            <w:tcBorders>
              <w:bottom w:val="single" w:sz="8" w:color="CCEEFF"/>
            </w:tcBorders>
          </w:tcPr>
          <w:p>
            <w:pPr>
              <w:spacing w:after="0"/>
              <w:rPr>
                <w:sz w:val="20"/>
                <w:szCs w:val="20"/>
                <w:color w:val="auto"/>
              </w:rPr>
            </w:pPr>
          </w:p>
        </w:tc>
        <w:tc>
          <w:tcPr>
            <w:tcW w:w="28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Classification</w:t>
            </w:r>
          </w:p>
        </w:tc>
        <w:tc>
          <w:tcPr>
            <w:tcW w:w="24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4"/>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Loan commitments</w:t>
            </w:r>
          </w:p>
        </w:tc>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Mortgage fee income</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314,466</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Call and put options</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Gains on investments and other assets</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26,762</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(737,860)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1" w:hanging="481"/>
        <w:spacing w:after="0"/>
        <w:tabs>
          <w:tab w:leader="none" w:pos="481"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Reinsurance, Commitments and Contingencies</w:t>
      </w:r>
    </w:p>
    <w:p>
      <w:pPr>
        <w:spacing w:after="0" w:line="22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Reinsurance</w:t>
      </w:r>
    </w:p>
    <w:p>
      <w:pPr>
        <w:spacing w:after="0" w:line="154" w:lineRule="exact"/>
        <w:rPr>
          <w:sz w:val="20"/>
          <w:szCs w:val="20"/>
          <w:color w:val="auto"/>
        </w:rPr>
      </w:pPr>
    </w:p>
    <w:p>
      <w:pPr>
        <w:jc w:val="both"/>
        <w:ind w:left="1" w:right="179"/>
        <w:spacing w:after="0" w:line="269" w:lineRule="auto"/>
        <w:rPr>
          <w:sz w:val="20"/>
          <w:szCs w:val="20"/>
          <w:color w:val="auto"/>
        </w:rPr>
      </w:pPr>
      <w:r>
        <w:rPr>
          <w:rFonts w:ascii="Arial" w:cs="Arial" w:eastAsia="Arial" w:hAnsi="Arial"/>
          <w:sz w:val="19"/>
          <w:szCs w:val="19"/>
          <w:color w:val="auto"/>
        </w:rPr>
        <w:t>The Company follows the procedure of reinsuring risks in excess of a specified limit, which ranges from $25,000 to $100,000. The Company is liable for these amounts in the event such reinsurers are unable to pay their portion of the claims. The Company has also assumed insurance from other companies.</w:t>
      </w:r>
    </w:p>
    <w:p>
      <w:pPr>
        <w:spacing w:after="0" w:line="9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Mortgage Loan Loss Settlements</w:t>
      </w:r>
    </w:p>
    <w:p>
      <w:pPr>
        <w:spacing w:after="0" w:line="154" w:lineRule="exact"/>
        <w:rPr>
          <w:sz w:val="20"/>
          <w:szCs w:val="20"/>
          <w:color w:val="auto"/>
        </w:rPr>
      </w:pPr>
    </w:p>
    <w:p>
      <w:pPr>
        <w:jc w:val="both"/>
        <w:ind w:left="1" w:right="179"/>
        <w:spacing w:after="0" w:line="243" w:lineRule="auto"/>
        <w:rPr>
          <w:sz w:val="20"/>
          <w:szCs w:val="20"/>
          <w:color w:val="auto"/>
        </w:rPr>
      </w:pPr>
      <w:r>
        <w:rPr>
          <w:rFonts w:ascii="Arial" w:cs="Arial" w:eastAsia="Arial" w:hAnsi="Arial"/>
          <w:sz w:val="20"/>
          <w:szCs w:val="20"/>
          <w:color w:val="auto"/>
        </w:rPr>
        <w:t>Future loan losses can be extremely difficult to estimate. However, the Company believes that the Company’s reserve methodology and its current practice of property preservation allow it to estimate its potential losses on loans sold. The estimated liability for indemnification losses is included in other liabilities and accrued expenses and, as of March 31, 2021 and December 31, 2020, the balances were $2,204,983 and $20,583,618, respectively. The Company believes that the final loan loss reserve as of March 31, 2021, represents its best estimate for adequate loss reserves on loans sold.</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Mortgage Loan Loss Litigation</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Settlement Agreement and Mutual Release with Lehman Brothers Holdings Inc.</w:t>
      </w:r>
    </w:p>
    <w:p>
      <w:pPr>
        <w:spacing w:after="0" w:line="154" w:lineRule="exact"/>
        <w:rPr>
          <w:sz w:val="20"/>
          <w:szCs w:val="20"/>
          <w:color w:val="auto"/>
        </w:rPr>
      </w:pPr>
    </w:p>
    <w:p>
      <w:pPr>
        <w:jc w:val="both"/>
        <w:ind w:left="1" w:right="159"/>
        <w:spacing w:after="0" w:line="255" w:lineRule="auto"/>
        <w:rPr>
          <w:sz w:val="20"/>
          <w:szCs w:val="20"/>
          <w:color w:val="auto"/>
        </w:rPr>
      </w:pPr>
      <w:r>
        <w:rPr>
          <w:rFonts w:ascii="Arial" w:cs="Arial" w:eastAsia="Arial" w:hAnsi="Arial"/>
          <w:sz w:val="19"/>
          <w:szCs w:val="19"/>
          <w:color w:val="auto"/>
        </w:rPr>
        <w:t>From 2004 to early 2008, SecurityNational Mortgage Company (“SecurityNational Mortgage”), a wholly owned subsidiary of the Company, originated “limited documentation” or “reduced documentation” loans which were sold to certain affiliates of Lehman Brothers Holdings Inc. (“Lehman Holdings”). Certain of these loans became the subject of disputes between SecurityNational Mortgage and Lehman Holdings and certain Lehman Holdings affiliates. Lehman Holdings filed a Petition for Relief under Chapter 11 of the United States Bankruptcy Code in 2008. In May of 2011, SecurityNational Mortgage filed a complaint in U.S. District Court against certain Lehman Holdings affiliates. In June of 2011, Lehman Holdings filed a complaint in Federal District Court against SecurityNational Mortgage, both of which were later resolved. In 2016, certain other pending loan disputes between SecurityNational Mortgage and Lehman Holdings became the subject of an unsuccessful, non-binding alternate dispute resolution mediation proceeding.</w:t>
      </w:r>
    </w:p>
    <w:p>
      <w:pPr>
        <w:spacing w:after="0" w:line="122" w:lineRule="exact"/>
        <w:rPr>
          <w:sz w:val="20"/>
          <w:szCs w:val="20"/>
          <w:color w:val="auto"/>
        </w:rPr>
      </w:pPr>
    </w:p>
    <w:p>
      <w:pPr>
        <w:jc w:val="both"/>
        <w:ind w:left="1" w:right="179"/>
        <w:spacing w:after="0" w:line="255" w:lineRule="auto"/>
        <w:rPr>
          <w:sz w:val="20"/>
          <w:szCs w:val="20"/>
          <w:color w:val="auto"/>
        </w:rPr>
      </w:pPr>
      <w:r>
        <w:rPr>
          <w:rFonts w:ascii="Arial" w:cs="Arial" w:eastAsia="Arial" w:hAnsi="Arial"/>
          <w:sz w:val="19"/>
          <w:szCs w:val="19"/>
          <w:color w:val="auto"/>
        </w:rPr>
        <w:t>Thereafter, in 2016, Lehman Holdings filed an adversary proceeding complaint against approximately 150 mortgage loan originators, including SecurityNational Mortgage, in the U.S. Bankruptcy Court of the Southern District of New York, which included seeking damages relating to the alleged obligations of the defendants under indemnification provisions of alleged agreements, in amounts to be determined at trial, including interest, attorneys’ fees and costs incurred by Lehman Holdings in enforcing the obligations of the defendants. The complaint was later amended with the latest amended complaint filed against SecurityNational Mortgage on December 27, 2016, seeking damages to be determined at trial, including interest, attorneys’ fees and costs. This complaint involved approximately 135 mortgage loans, there being millions of dollars allegedly in dispute. These claims against SecurityNational Mortgage were asserted as a result of Lehman Holdings’ earlier settlements with the FederalNational Mortgage Association (“Fannie Mae”) and the Federal Home Loan Corporation (“Freddie Mac”).</w:t>
      </w:r>
    </w:p>
    <w:p>
      <w:pPr>
        <w:spacing w:after="0" w:line="214" w:lineRule="exact"/>
        <w:rPr>
          <w:sz w:val="20"/>
          <w:szCs w:val="20"/>
          <w:color w:val="auto"/>
        </w:rPr>
      </w:pPr>
    </w:p>
    <w:p>
      <w:pPr>
        <w:jc w:val="center"/>
        <w:ind w:right="158"/>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2" w:right="1440" w:bottom="1440" w:gutter="0" w:footer="0" w:header="0"/>
        </w:sectPr>
      </w:pPr>
    </w:p>
    <w:bookmarkStart w:id="43" w:name="page44"/>
    <w:bookmarkEnd w:id="43"/>
    <w:p>
      <w:pPr>
        <w:jc w:val="center"/>
        <w:ind w:left="1220" w:right="132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93" w:lineRule="exact"/>
        <w:rPr>
          <w:sz w:val="20"/>
          <w:szCs w:val="20"/>
          <w:color w:val="auto"/>
        </w:rPr>
      </w:pPr>
    </w:p>
    <w:p>
      <w:pPr>
        <w:ind w:left="481" w:hanging="481"/>
        <w:spacing w:after="0"/>
        <w:tabs>
          <w:tab w:leader="none" w:pos="481"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Reinsurance, Commitments and Contingencies</w:t>
      </w:r>
      <w:r>
        <w:rPr>
          <w:rFonts w:ascii="Arial" w:cs="Arial" w:eastAsia="Arial" w:hAnsi="Arial"/>
          <w:sz w:val="20"/>
          <w:szCs w:val="20"/>
          <w:color w:val="auto"/>
        </w:rPr>
        <w:t xml:space="preserve"> (Continued)</w:t>
      </w:r>
    </w:p>
    <w:p>
      <w:pPr>
        <w:spacing w:after="0" w:line="256" w:lineRule="exact"/>
        <w:rPr>
          <w:sz w:val="20"/>
          <w:szCs w:val="20"/>
          <w:color w:val="auto"/>
        </w:rPr>
      </w:pPr>
    </w:p>
    <w:p>
      <w:pPr>
        <w:jc w:val="both"/>
        <w:ind w:left="1" w:right="159"/>
        <w:spacing w:after="0" w:line="259" w:lineRule="auto"/>
        <w:rPr>
          <w:sz w:val="20"/>
          <w:szCs w:val="20"/>
          <w:color w:val="auto"/>
        </w:rPr>
      </w:pPr>
      <w:r>
        <w:rPr>
          <w:rFonts w:ascii="Arial" w:cs="Arial" w:eastAsia="Arial" w:hAnsi="Arial"/>
          <w:sz w:val="19"/>
          <w:szCs w:val="19"/>
          <w:color w:val="auto"/>
        </w:rPr>
        <w:t>In 2018, Lehman Holdings filed a separate adversary proceeding complaint against SecurityNational Mortgage. This adversary proceeding allegedly involved approximately 577 mortgage loans relative to private securitization trusts (“RMBS Loans”) and millions of dollars in damages. Thereafter, Lehman Holdings made a filing that effectively reduced the number of RMBS Loans to 248. This proceeding was in addition to the above-referenced proceeding involving the Fannie Mae and Freddie Mac mortgage loans. As with the above-referenced proceeding, damages were sought including interest, costs, and attorneys’ fees.</w:t>
      </w:r>
    </w:p>
    <w:p>
      <w:pPr>
        <w:spacing w:after="0" w:line="192" w:lineRule="exact"/>
        <w:rPr>
          <w:sz w:val="20"/>
          <w:szCs w:val="20"/>
          <w:color w:val="auto"/>
        </w:rPr>
      </w:pPr>
    </w:p>
    <w:p>
      <w:pPr>
        <w:jc w:val="both"/>
        <w:ind w:left="1" w:right="179"/>
        <w:spacing w:after="0" w:line="246" w:lineRule="auto"/>
        <w:rPr>
          <w:sz w:val="20"/>
          <w:szCs w:val="20"/>
          <w:color w:val="auto"/>
        </w:rPr>
      </w:pPr>
      <w:r>
        <w:rPr>
          <w:rFonts w:ascii="Arial" w:cs="Arial" w:eastAsia="Arial" w:hAnsi="Arial"/>
          <w:sz w:val="20"/>
          <w:szCs w:val="20"/>
          <w:color w:val="auto"/>
        </w:rPr>
        <w:t>SecurityNational Mortgage, as well as other defendants, have been involved in written discovery, and production of documents relative to the cases, and the filing of motions. The deposition phase of the cases was yet to begin, as well as the later expert witness phase. Those phases would require substantial expenditures of legal fees and costs.</w:t>
      </w:r>
    </w:p>
    <w:p>
      <w:pPr>
        <w:spacing w:after="0" w:line="205" w:lineRule="exact"/>
        <w:rPr>
          <w:sz w:val="20"/>
          <w:szCs w:val="20"/>
          <w:color w:val="auto"/>
        </w:rPr>
      </w:pPr>
    </w:p>
    <w:p>
      <w:pPr>
        <w:jc w:val="both"/>
        <w:ind w:left="1" w:right="179"/>
        <w:spacing w:after="0" w:line="243" w:lineRule="auto"/>
        <w:rPr>
          <w:sz w:val="20"/>
          <w:szCs w:val="20"/>
          <w:color w:val="auto"/>
        </w:rPr>
      </w:pPr>
      <w:r>
        <w:rPr>
          <w:rFonts w:ascii="Arial" w:cs="Arial" w:eastAsia="Arial" w:hAnsi="Arial"/>
          <w:sz w:val="20"/>
          <w:szCs w:val="20"/>
          <w:color w:val="auto"/>
        </w:rPr>
        <w:t>On February 1, 2021, SecurityNational Mortgage executed a settlement agreement with Lehman Holdings in relation to these two adversary proceedings wherein all mortgage loan related claims were resolved, thereby ending all liabilities asserted by Lehman Holdings and conclusively ending all proceedings between SecurityNational Mortgage and Lehman Holdings. In accordance with GAAP, the full amount of SecurityNational Mortgage’s settlement payment was accounted for in the Company’s loan loss reserve as of December 31, 2020 and was paid during the first quarter 2021.</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Debt Covenants for Mortgage Warehouse Lines of Credit</w:t>
      </w:r>
    </w:p>
    <w:p>
      <w:pPr>
        <w:spacing w:after="0" w:line="235" w:lineRule="exact"/>
        <w:rPr>
          <w:sz w:val="20"/>
          <w:szCs w:val="20"/>
          <w:color w:val="auto"/>
        </w:rPr>
      </w:pPr>
    </w:p>
    <w:p>
      <w:pPr>
        <w:jc w:val="both"/>
        <w:ind w:left="1" w:right="159"/>
        <w:spacing w:after="0" w:line="244" w:lineRule="auto"/>
        <w:rPr>
          <w:sz w:val="20"/>
          <w:szCs w:val="20"/>
          <w:color w:val="auto"/>
        </w:rPr>
      </w:pPr>
      <w:r>
        <w:rPr>
          <w:rFonts w:ascii="Arial" w:cs="Arial" w:eastAsia="Arial" w:hAnsi="Arial"/>
          <w:sz w:val="20"/>
          <w:szCs w:val="20"/>
          <w:color w:val="auto"/>
        </w:rPr>
        <w:t>The Company, through its subsidiary SecurityNational Mortgage, has a $150,000,000 line of credit with Wells Fargo Bank N.A. The agreement charges interest at the 1-Month LIBOR rate plus 2.1% and matures on June 24, 2021. SecurityNational Mortgage is required to comply with covenants for adjusted tangible net worth, unrestricted cash balance, the ratio of indebtedness to adjusted tangible net worth, and the liquidity overhead coverage ratio, and a quarterly gross profit of at least $1.00.</w:t>
      </w:r>
    </w:p>
    <w:p>
      <w:pPr>
        <w:spacing w:after="0" w:line="208" w:lineRule="exact"/>
        <w:rPr>
          <w:sz w:val="20"/>
          <w:szCs w:val="20"/>
          <w:color w:val="auto"/>
        </w:rPr>
      </w:pPr>
    </w:p>
    <w:p>
      <w:pPr>
        <w:jc w:val="both"/>
        <w:ind w:left="1" w:right="159"/>
        <w:spacing w:after="0" w:line="259" w:lineRule="auto"/>
        <w:rPr>
          <w:sz w:val="20"/>
          <w:szCs w:val="20"/>
          <w:color w:val="auto"/>
        </w:rPr>
      </w:pPr>
      <w:r>
        <w:rPr>
          <w:rFonts w:ascii="Arial" w:cs="Arial" w:eastAsia="Arial" w:hAnsi="Arial"/>
          <w:sz w:val="19"/>
          <w:szCs w:val="19"/>
          <w:color w:val="auto"/>
        </w:rPr>
        <w:t>The Company, through its subsidiary SecurityNational Mortgage, has a line of credit with Texas Capital Bank N.A. This agreement with the bank allows SecurityNational Mortgage to borrow up to $175,000,000 for the sole purpose of funding mortgage loans. The agreement charges interest at the 1-Month LIBOR rate plus 2% and matures on November 15, 2021.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92" w:lineRule="exact"/>
        <w:rPr>
          <w:sz w:val="20"/>
          <w:szCs w:val="20"/>
          <w:color w:val="auto"/>
        </w:rPr>
      </w:pPr>
    </w:p>
    <w:p>
      <w:pPr>
        <w:jc w:val="both"/>
        <w:ind w:left="1" w:right="159"/>
        <w:spacing w:after="0" w:line="259" w:lineRule="auto"/>
        <w:rPr>
          <w:sz w:val="20"/>
          <w:szCs w:val="20"/>
          <w:color w:val="auto"/>
        </w:rPr>
      </w:pPr>
      <w:r>
        <w:rPr>
          <w:rFonts w:ascii="Arial" w:cs="Arial" w:eastAsia="Arial" w:hAnsi="Arial"/>
          <w:sz w:val="19"/>
          <w:szCs w:val="19"/>
          <w:color w:val="auto"/>
        </w:rPr>
        <w:t>The Company through its subsidiary SecurityNational Mortgage, has a line of credit with Comerica Bank. This agreement with the bank allows SecurityNational Mortgage to borrow up to $90,000,000 for the sole purpose of funding mortgage loans. The agreement charges interest at the 1-Month LIBOR rate plus 2.5% and matures on May 27, 2021.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92" w:lineRule="exact"/>
        <w:rPr>
          <w:sz w:val="20"/>
          <w:szCs w:val="20"/>
          <w:color w:val="auto"/>
        </w:rPr>
      </w:pPr>
    </w:p>
    <w:p>
      <w:pPr>
        <w:jc w:val="both"/>
        <w:ind w:left="1" w:right="159"/>
        <w:spacing w:after="0" w:line="259" w:lineRule="auto"/>
        <w:rPr>
          <w:sz w:val="20"/>
          <w:szCs w:val="20"/>
          <w:color w:val="auto"/>
        </w:rPr>
      </w:pPr>
      <w:r>
        <w:rPr>
          <w:rFonts w:ascii="Arial" w:cs="Arial" w:eastAsia="Arial" w:hAnsi="Arial"/>
          <w:sz w:val="19"/>
          <w:szCs w:val="19"/>
          <w:color w:val="auto"/>
        </w:rPr>
        <w:t>The Company, through its subsidiary EverLEND Mortgage, has a line of credit with Texas Capital Bank N.A. This agreement with the bank allows EverLEND Mortgage to borrow up to $5,000,000 for the sole purpose of funding mortgage loans. The agreement charges interest at the 1-Month LIBOR rate plus 2.5% and matures on August 1, 2021.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92" w:lineRule="exact"/>
        <w:rPr>
          <w:sz w:val="20"/>
          <w:szCs w:val="20"/>
          <w:color w:val="auto"/>
        </w:rPr>
      </w:pPr>
    </w:p>
    <w:p>
      <w:pPr>
        <w:jc w:val="both"/>
        <w:ind w:left="1" w:right="179"/>
        <w:spacing w:after="0" w:line="250" w:lineRule="auto"/>
        <w:rPr>
          <w:sz w:val="20"/>
          <w:szCs w:val="20"/>
          <w:color w:val="auto"/>
        </w:rPr>
      </w:pPr>
      <w:r>
        <w:rPr>
          <w:rFonts w:ascii="Arial" w:cs="Arial" w:eastAsia="Arial" w:hAnsi="Arial"/>
          <w:sz w:val="20"/>
          <w:szCs w:val="20"/>
          <w:color w:val="auto"/>
        </w:rPr>
        <w:t>The agreements for warehouse lines include cross default provisions in that a covenant violation under one agreement constitutes a covenant violation under the other agreement. As of March 31, 2021, the Company believes that it was in compliance with all debt covenants.</w:t>
      </w:r>
    </w:p>
    <w:p>
      <w:pPr>
        <w:sectPr>
          <w:pgSz w:w="11900" w:h="16838" w:orient="portrait"/>
          <w:cols w:equalWidth="0" w:num="1">
            <w:col w:w="9240"/>
          </w:cols>
          <w:pgMar w:left="1219" w:top="122" w:right="1440" w:bottom="1440" w:gutter="0" w:footer="0" w:header="0"/>
        </w:sectPr>
      </w:pPr>
    </w:p>
    <w:p>
      <w:pPr>
        <w:spacing w:after="0" w:line="213" w:lineRule="exact"/>
        <w:rPr>
          <w:sz w:val="20"/>
          <w:szCs w:val="20"/>
          <w:color w:val="auto"/>
        </w:rPr>
      </w:pPr>
    </w:p>
    <w:p>
      <w:pPr>
        <w:jc w:val="center"/>
        <w:ind w:right="158"/>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57607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2" w:right="1440" w:bottom="1440" w:gutter="0" w:footer="0" w:header="0"/>
          <w:type w:val="continuous"/>
        </w:sectPr>
      </w:pPr>
    </w:p>
    <w:bookmarkStart w:id="44" w:name="page45"/>
    <w:bookmarkEnd w:id="44"/>
    <w:p>
      <w:pPr>
        <w:jc w:val="center"/>
        <w:ind w:left="1240" w:right="130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93" w:lineRule="exact"/>
        <w:rPr>
          <w:sz w:val="20"/>
          <w:szCs w:val="20"/>
          <w:color w:val="auto"/>
        </w:rPr>
      </w:pPr>
    </w:p>
    <w:p>
      <w:pPr>
        <w:ind w:left="481" w:hanging="481"/>
        <w:spacing w:after="0"/>
        <w:tabs>
          <w:tab w:leader="none" w:pos="481"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Reinsurance, Commitments and Contingencies</w:t>
      </w:r>
      <w:r>
        <w:rPr>
          <w:rFonts w:ascii="Arial" w:cs="Arial" w:eastAsia="Arial" w:hAnsi="Arial"/>
          <w:sz w:val="20"/>
          <w:szCs w:val="20"/>
          <w:color w:val="auto"/>
        </w:rPr>
        <w:t xml:space="preserve"> (Continued)</w:t>
      </w:r>
    </w:p>
    <w:p>
      <w:pPr>
        <w:spacing w:after="0" w:line="25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Other Contingencies and Commitments</w:t>
      </w:r>
    </w:p>
    <w:p>
      <w:pPr>
        <w:spacing w:after="0" w:line="235" w:lineRule="exact"/>
        <w:rPr>
          <w:sz w:val="20"/>
          <w:szCs w:val="20"/>
          <w:color w:val="auto"/>
        </w:rPr>
      </w:pPr>
    </w:p>
    <w:p>
      <w:pPr>
        <w:jc w:val="both"/>
        <w:ind w:left="1" w:right="179"/>
        <w:spacing w:after="0" w:line="243" w:lineRule="auto"/>
        <w:rPr>
          <w:sz w:val="20"/>
          <w:szCs w:val="20"/>
          <w:color w:val="auto"/>
        </w:rPr>
      </w:pPr>
      <w:r>
        <w:rPr>
          <w:rFonts w:ascii="Arial" w:cs="Arial" w:eastAsia="Arial" w:hAnsi="Arial"/>
          <w:sz w:val="20"/>
          <w:szCs w:val="20"/>
          <w:color w:val="auto"/>
        </w:rPr>
        <w:t>The Company has entered into commitments to fund construction and land development loans and has also provided financing for land acquisition and development. As of March 31, 2021, the Company’s commitments were approximately $194,792,000 for these loans, of which $109,977,951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5.50% to 8.00% per annum. Maturities range between six and eighteen months.</w:t>
      </w:r>
    </w:p>
    <w:p>
      <w:pPr>
        <w:spacing w:after="0" w:line="206" w:lineRule="exact"/>
        <w:rPr>
          <w:sz w:val="20"/>
          <w:szCs w:val="20"/>
          <w:color w:val="auto"/>
        </w:rPr>
      </w:pPr>
    </w:p>
    <w:p>
      <w:pPr>
        <w:jc w:val="both"/>
        <w:ind w:left="1" w:right="179"/>
        <w:spacing w:after="0" w:line="272" w:lineRule="auto"/>
        <w:rPr>
          <w:sz w:val="20"/>
          <w:szCs w:val="20"/>
          <w:color w:val="auto"/>
        </w:rPr>
      </w:pPr>
      <w:r>
        <w:rPr>
          <w:rFonts w:ascii="Arial" w:cs="Arial" w:eastAsia="Arial" w:hAnsi="Arial"/>
          <w:sz w:val="18"/>
          <w:szCs w:val="18"/>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84" w:lineRule="exact"/>
        <w:rPr>
          <w:sz w:val="20"/>
          <w:szCs w:val="20"/>
          <w:color w:val="auto"/>
        </w:rPr>
      </w:pPr>
    </w:p>
    <w:p>
      <w:pPr>
        <w:jc w:val="both"/>
        <w:ind w:left="1" w:right="179"/>
        <w:spacing w:after="0" w:line="244" w:lineRule="auto"/>
        <w:rPr>
          <w:sz w:val="20"/>
          <w:szCs w:val="20"/>
          <w:color w:val="auto"/>
        </w:rPr>
      </w:pPr>
      <w:r>
        <w:rPr>
          <w:rFonts w:ascii="Arial" w:cs="Arial" w:eastAsia="Arial" w:hAnsi="Arial"/>
          <w:sz w:val="20"/>
          <w:szCs w:val="20"/>
          <w:color w:val="auto"/>
        </w:rPr>
        <w:t>The Company is a defendant in various other legal actions arising from the normal conduct of business. Management believes that none of the actions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208" w:lineRule="exact"/>
        <w:rPr>
          <w:sz w:val="20"/>
          <w:szCs w:val="20"/>
          <w:color w:val="auto"/>
        </w:rPr>
      </w:pPr>
    </w:p>
    <w:p>
      <w:pPr>
        <w:jc w:val="both"/>
        <w:ind w:left="1" w:right="179"/>
        <w:spacing w:after="0" w:line="250" w:lineRule="auto"/>
        <w:rPr>
          <w:sz w:val="20"/>
          <w:szCs w:val="20"/>
          <w:color w:val="auto"/>
        </w:rPr>
      </w:pPr>
      <w:r>
        <w:rPr>
          <w:rFonts w:ascii="Arial" w:cs="Arial" w:eastAsia="Arial" w:hAnsi="Arial"/>
          <w:sz w:val="20"/>
          <w:szCs w:val="20"/>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213" w:lineRule="exact"/>
        <w:rPr>
          <w:sz w:val="20"/>
          <w:szCs w:val="20"/>
          <w:color w:val="auto"/>
        </w:rPr>
      </w:pPr>
    </w:p>
    <w:p>
      <w:pPr>
        <w:jc w:val="center"/>
        <w:ind w:right="178"/>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2" w:right="1440" w:bottom="1440" w:gutter="0" w:footer="0" w:header="0"/>
        </w:sectPr>
      </w:pPr>
    </w:p>
    <w:bookmarkStart w:id="45" w:name="page46"/>
    <w:bookmarkEnd w:id="45"/>
    <w:p>
      <w:pPr>
        <w:jc w:val="center"/>
        <w:ind w:left="1220" w:right="132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120" w:lineRule="exact"/>
        <w:rPr>
          <w:sz w:val="20"/>
          <w:szCs w:val="20"/>
          <w:color w:val="auto"/>
        </w:rPr>
      </w:pPr>
    </w:p>
    <w:p>
      <w:pPr>
        <w:ind w:left="401" w:hanging="401"/>
        <w:spacing w:after="0"/>
        <w:tabs>
          <w:tab w:leader="none" w:pos="401"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Mortgage Servicing Rights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Company initially records these MSRs at fair value as discussed in Note 8.</w:t>
      </w:r>
    </w:p>
    <w:p>
      <w:pPr>
        <w:spacing w:after="0" w:line="229" w:lineRule="exact"/>
        <w:rPr>
          <w:sz w:val="20"/>
          <w:szCs w:val="20"/>
          <w:color w:val="auto"/>
        </w:rPr>
      </w:pPr>
    </w:p>
    <w:p>
      <w:pPr>
        <w:jc w:val="both"/>
        <w:ind w:left="1" w:right="179"/>
        <w:spacing w:after="0" w:line="246" w:lineRule="auto"/>
        <w:rPr>
          <w:sz w:val="20"/>
          <w:szCs w:val="20"/>
          <w:color w:val="auto"/>
        </w:rPr>
      </w:pPr>
      <w:r>
        <w:rPr>
          <w:rFonts w:ascii="Arial" w:cs="Arial" w:eastAsia="Arial" w:hAnsi="Arial"/>
          <w:sz w:val="20"/>
          <w:szCs w:val="20"/>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205" w:lineRule="exact"/>
        <w:rPr>
          <w:sz w:val="20"/>
          <w:szCs w:val="20"/>
          <w:color w:val="auto"/>
        </w:rPr>
      </w:pPr>
    </w:p>
    <w:p>
      <w:pPr>
        <w:jc w:val="both"/>
        <w:ind w:left="1" w:right="159"/>
        <w:spacing w:after="0" w:line="246" w:lineRule="auto"/>
        <w:rPr>
          <w:sz w:val="20"/>
          <w:szCs w:val="20"/>
          <w:color w:val="auto"/>
        </w:rPr>
      </w:pPr>
      <w:r>
        <w:rPr>
          <w:rFonts w:ascii="Arial" w:cs="Arial" w:eastAsia="Arial" w:hAnsi="Arial"/>
          <w:sz w:val="20"/>
          <w:szCs w:val="20"/>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205" w:lineRule="exact"/>
        <w:rPr>
          <w:sz w:val="20"/>
          <w:szCs w:val="20"/>
          <w:color w:val="auto"/>
        </w:rPr>
      </w:pPr>
    </w:p>
    <w:p>
      <w:pPr>
        <w:jc w:val="both"/>
        <w:ind w:left="1" w:right="179"/>
        <w:spacing w:after="0" w:line="246" w:lineRule="auto"/>
        <w:rPr>
          <w:sz w:val="20"/>
          <w:szCs w:val="20"/>
          <w:color w:val="auto"/>
        </w:rPr>
      </w:pPr>
      <w:r>
        <w:rPr>
          <w:rFonts w:ascii="Arial" w:cs="Arial" w:eastAsia="Arial" w:hAnsi="Arial"/>
          <w:sz w:val="20"/>
          <w:szCs w:val="20"/>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205" w:lineRule="exact"/>
        <w:rPr>
          <w:sz w:val="20"/>
          <w:szCs w:val="20"/>
          <w:color w:val="auto"/>
        </w:rPr>
      </w:pPr>
    </w:p>
    <w:tbl>
      <w:tblPr>
        <w:tblLayout w:type="fixed"/>
        <w:tblInd w:w="1" w:type="dxa"/>
        <w:tblCellMar>
          <w:top w:w="0" w:type="dxa"/>
          <w:left w:w="0" w:type="dxa"/>
          <w:bottom w:w="0" w:type="dxa"/>
          <w:right w:w="0" w:type="dxa"/>
        </w:tblCellMar>
      </w:tblPr>
      <w:tr>
        <w:trPr>
          <w:trHeight w:val="250"/>
        </w:trPr>
        <w:tc>
          <w:tcPr>
            <w:tcW w:w="6000" w:type="dxa"/>
            <w:vAlign w:val="bottom"/>
            <w:gridSpan w:val="2"/>
          </w:tcPr>
          <w:p>
            <w:pPr>
              <w:spacing w:after="0"/>
              <w:rPr>
                <w:sz w:val="20"/>
                <w:szCs w:val="20"/>
                <w:color w:val="auto"/>
              </w:rPr>
            </w:pPr>
            <w:r>
              <w:rPr>
                <w:rFonts w:ascii="Arial" w:cs="Arial" w:eastAsia="Arial" w:hAnsi="Arial"/>
                <w:sz w:val="20"/>
                <w:szCs w:val="20"/>
                <w:color w:val="auto"/>
                <w:w w:val="92"/>
              </w:rPr>
              <w:t>The following is a summary of the MSR activity for the periods presented.</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452"/>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gridSpan w:val="2"/>
          </w:tcPr>
          <w:p>
            <w:pPr>
              <w:ind w:left="140"/>
              <w:spacing w:after="0"/>
              <w:rPr>
                <w:sz w:val="20"/>
                <w:szCs w:val="20"/>
                <w:color w:val="auto"/>
              </w:rPr>
            </w:pPr>
            <w:r>
              <w:rPr>
                <w:rFonts w:ascii="Arial" w:cs="Arial" w:eastAsia="Arial" w:hAnsi="Arial"/>
                <w:sz w:val="20"/>
                <w:szCs w:val="20"/>
                <w:color w:val="auto"/>
                <w:w w:val="99"/>
              </w:rPr>
              <w:t>As of December</w:t>
            </w:r>
          </w:p>
        </w:tc>
      </w:tr>
      <w:tr>
        <w:trPr>
          <w:trHeight w:val="229"/>
        </w:trPr>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61"/>
              <w:spacing w:after="0"/>
              <w:rPr>
                <w:sz w:val="20"/>
                <w:szCs w:val="20"/>
                <w:color w:val="auto"/>
              </w:rPr>
            </w:pPr>
            <w:r>
              <w:rPr>
                <w:rFonts w:ascii="Arial" w:cs="Arial" w:eastAsia="Arial" w:hAnsi="Arial"/>
                <w:sz w:val="20"/>
                <w:szCs w:val="20"/>
                <w:color w:val="auto"/>
                <w:w w:val="98"/>
              </w:rPr>
              <w:t>As of March 31</w:t>
            </w:r>
          </w:p>
        </w:tc>
        <w:tc>
          <w:tcPr>
            <w:tcW w:w="360" w:type="dxa"/>
            <w:vAlign w:val="bottom"/>
          </w:tcPr>
          <w:p>
            <w:pPr>
              <w:spacing w:after="0"/>
              <w:rPr>
                <w:sz w:val="19"/>
                <w:szCs w:val="19"/>
                <w:color w:val="auto"/>
              </w:rPr>
            </w:pPr>
          </w:p>
        </w:tc>
        <w:tc>
          <w:tcPr>
            <w:tcW w:w="1220" w:type="dxa"/>
            <w:vAlign w:val="bottom"/>
          </w:tcPr>
          <w:p>
            <w:pPr>
              <w:jc w:val="right"/>
              <w:ind w:right="601"/>
              <w:spacing w:after="0"/>
              <w:rPr>
                <w:sz w:val="20"/>
                <w:szCs w:val="20"/>
                <w:color w:val="auto"/>
              </w:rPr>
            </w:pPr>
            <w:r>
              <w:rPr>
                <w:rFonts w:ascii="Arial" w:cs="Arial" w:eastAsia="Arial" w:hAnsi="Arial"/>
                <w:sz w:val="20"/>
                <w:szCs w:val="20"/>
                <w:color w:val="auto"/>
              </w:rPr>
              <w:t>31</w:t>
            </w:r>
          </w:p>
        </w:tc>
      </w:tr>
      <w:tr>
        <w:trPr>
          <w:trHeight w:val="255"/>
        </w:trPr>
        <w:tc>
          <w:tcPr>
            <w:tcW w:w="59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2021</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r>
      <w:tr>
        <w:trPr>
          <w:trHeight w:val="255"/>
        </w:trPr>
        <w:tc>
          <w:tcPr>
            <w:tcW w:w="5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Amortized cost: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3"/>
        </w:trPr>
        <w:tc>
          <w:tcPr>
            <w:tcW w:w="6000" w:type="dxa"/>
            <w:vAlign w:val="bottom"/>
            <w:gridSpan w:val="2"/>
          </w:tcPr>
          <w:p>
            <w:pPr>
              <w:ind w:left="20"/>
              <w:spacing w:after="0"/>
              <w:rPr>
                <w:sz w:val="20"/>
                <w:szCs w:val="20"/>
                <w:color w:val="auto"/>
              </w:rPr>
            </w:pPr>
            <w:r>
              <w:rPr>
                <w:rFonts w:ascii="Arial" w:cs="Arial" w:eastAsia="Arial" w:hAnsi="Arial"/>
                <w:sz w:val="20"/>
                <w:szCs w:val="20"/>
                <w:color w:val="auto"/>
              </w:rPr>
              <w:t>Balance before valuation allowance at beginning of year</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01"/>
              <w:spacing w:after="0"/>
              <w:rPr>
                <w:sz w:val="20"/>
                <w:szCs w:val="20"/>
                <w:color w:val="auto"/>
              </w:rPr>
            </w:pPr>
            <w:r>
              <w:rPr>
                <w:rFonts w:ascii="Arial" w:cs="Arial" w:eastAsia="Arial" w:hAnsi="Arial"/>
                <w:sz w:val="20"/>
                <w:szCs w:val="20"/>
                <w:color w:val="auto"/>
                <w:w w:val="95"/>
              </w:rPr>
              <w:t>35,210,516</w:t>
            </w:r>
          </w:p>
        </w:tc>
        <w:tc>
          <w:tcPr>
            <w:tcW w:w="360" w:type="dxa"/>
            <w:vAlign w:val="bottom"/>
          </w:tcPr>
          <w:p>
            <w:pPr>
              <w:ind w:left="14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17,155,529</w:t>
            </w:r>
          </w:p>
        </w:tc>
      </w:tr>
      <w:tr>
        <w:trPr>
          <w:trHeight w:val="26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MSR additions resulting from loan sales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95"/>
              </w:rPr>
              <w:t>11,008,149</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29,896,465</w:t>
            </w:r>
          </w:p>
        </w:tc>
      </w:tr>
      <w:tr>
        <w:trPr>
          <w:trHeight w:val="253"/>
        </w:trPr>
        <w:tc>
          <w:tcPr>
            <w:tcW w:w="6000" w:type="dxa"/>
            <w:vAlign w:val="bottom"/>
            <w:gridSpan w:val="2"/>
          </w:tcPr>
          <w:p>
            <w:pPr>
              <w:ind w:left="20"/>
              <w:spacing w:after="0"/>
              <w:rPr>
                <w:sz w:val="20"/>
                <w:szCs w:val="20"/>
                <w:color w:val="auto"/>
              </w:rPr>
            </w:pPr>
            <w:r>
              <w:rPr>
                <w:rFonts w:ascii="Arial" w:cs="Arial" w:eastAsia="Arial" w:hAnsi="Arial"/>
                <w:sz w:val="20"/>
                <w:szCs w:val="20"/>
                <w:color w:val="auto"/>
              </w:rPr>
              <w:t>Amortization (1)</w:t>
            </w:r>
          </w:p>
        </w:tc>
        <w:tc>
          <w:tcPr>
            <w:tcW w:w="320" w:type="dxa"/>
            <w:vAlign w:val="bottom"/>
          </w:tcPr>
          <w:p>
            <w:pPr>
              <w:spacing w:after="0"/>
              <w:rPr>
                <w:sz w:val="22"/>
                <w:szCs w:val="22"/>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w w:val="99"/>
              </w:rPr>
              <w:t>(3,439,304)</w:t>
            </w:r>
          </w:p>
        </w:tc>
        <w:tc>
          <w:tcPr>
            <w:tcW w:w="360" w:type="dxa"/>
            <w:vAlign w:val="bottom"/>
          </w:tcPr>
          <w:p>
            <w:pPr>
              <w:spacing w:after="0"/>
              <w:rPr>
                <w:sz w:val="22"/>
                <w:szCs w:val="22"/>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w w:val="96"/>
              </w:rPr>
              <w:t>(11,841,478)</w:t>
            </w:r>
          </w:p>
        </w:tc>
      </w:tr>
      <w:tr>
        <w:trPr>
          <w:trHeight w:val="229"/>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w w:val="96"/>
              </w:rPr>
              <w:t>Application of valuation allowance to write down MSRs with other than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0"/>
        </w:trPr>
        <w:tc>
          <w:tcPr>
            <w:tcW w:w="600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temporary impairment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r>
      <w:tr>
        <w:trPr>
          <w:trHeight w:val="247"/>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Balance before valuation allowance at end of period</w:t>
            </w: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95"/>
              </w:rPr>
              <w:t>42,779,361</w:t>
            </w: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1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35,210,516</w:t>
            </w:r>
          </w:p>
        </w:tc>
      </w:tr>
      <w:tr>
        <w:trPr>
          <w:trHeight w:val="253"/>
        </w:trPr>
        <w:tc>
          <w:tcPr>
            <w:tcW w:w="5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3"/>
        </w:trPr>
        <w:tc>
          <w:tcPr>
            <w:tcW w:w="6000" w:type="dxa"/>
            <w:vAlign w:val="bottom"/>
            <w:gridSpan w:val="2"/>
          </w:tcPr>
          <w:p>
            <w:pPr>
              <w:ind w:left="20"/>
              <w:spacing w:after="0"/>
              <w:rPr>
                <w:sz w:val="20"/>
                <w:szCs w:val="20"/>
                <w:color w:val="auto"/>
              </w:rPr>
            </w:pPr>
            <w:r>
              <w:rPr>
                <w:rFonts w:ascii="Arial" w:cs="Arial" w:eastAsia="Arial" w:hAnsi="Arial"/>
                <w:sz w:val="20"/>
                <w:szCs w:val="20"/>
                <w:color w:val="auto"/>
              </w:rPr>
              <w:t>Valuation allowance for impairment of MSRs:</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6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Balance at beginning of year</w:t>
            </w:r>
          </w:p>
        </w:tc>
        <w:tc>
          <w:tcPr>
            <w:tcW w:w="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r>
      <w:tr>
        <w:trPr>
          <w:trHeight w:val="253"/>
        </w:trPr>
        <w:tc>
          <w:tcPr>
            <w:tcW w:w="6000" w:type="dxa"/>
            <w:vAlign w:val="bottom"/>
            <w:gridSpan w:val="2"/>
          </w:tcPr>
          <w:p>
            <w:pPr>
              <w:ind w:left="20"/>
              <w:spacing w:after="0"/>
              <w:rPr>
                <w:sz w:val="20"/>
                <w:szCs w:val="20"/>
                <w:color w:val="auto"/>
              </w:rPr>
            </w:pPr>
            <w:r>
              <w:rPr>
                <w:rFonts w:ascii="Arial" w:cs="Arial" w:eastAsia="Arial" w:hAnsi="Arial"/>
                <w:sz w:val="20"/>
                <w:szCs w:val="20"/>
                <w:color w:val="auto"/>
              </w:rPr>
              <w:t>Additions</w:t>
            </w:r>
          </w:p>
        </w:tc>
        <w:tc>
          <w:tcPr>
            <w:tcW w:w="320" w:type="dxa"/>
            <w:vAlign w:val="bottom"/>
          </w:tcPr>
          <w:p>
            <w:pPr>
              <w:spacing w:after="0"/>
              <w:rPr>
                <w:sz w:val="22"/>
                <w:szCs w:val="22"/>
                <w:color w:val="auto"/>
              </w:rPr>
            </w:pPr>
          </w:p>
        </w:tc>
        <w:tc>
          <w:tcPr>
            <w:tcW w:w="11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2"/>
                <w:szCs w:val="22"/>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r>
      <w:tr>
        <w:trPr>
          <w:trHeight w:val="229"/>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w w:val="96"/>
              </w:rPr>
              <w:t>Application of valuation allowance to write down MSRs with other than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0"/>
        </w:trPr>
        <w:tc>
          <w:tcPr>
            <w:tcW w:w="600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temporary impairment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r>
      <w:tr>
        <w:trPr>
          <w:trHeight w:val="247"/>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Balance at end of period</w:t>
            </w: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1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r>
      <w:tr>
        <w:trPr>
          <w:trHeight w:val="253"/>
        </w:trPr>
        <w:tc>
          <w:tcPr>
            <w:tcW w:w="5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97"/>
        </w:trPr>
        <w:tc>
          <w:tcPr>
            <w:tcW w:w="6000" w:type="dxa"/>
            <w:vAlign w:val="bottom"/>
            <w:gridSpan w:val="2"/>
          </w:tcPr>
          <w:p>
            <w:pPr>
              <w:ind w:left="20"/>
              <w:spacing w:after="0"/>
              <w:rPr>
                <w:sz w:val="20"/>
                <w:szCs w:val="20"/>
                <w:color w:val="auto"/>
              </w:rPr>
            </w:pPr>
            <w:r>
              <w:rPr>
                <w:rFonts w:ascii="Arial" w:cs="Arial" w:eastAsia="Arial" w:hAnsi="Arial"/>
                <w:sz w:val="20"/>
                <w:szCs w:val="20"/>
                <w:color w:val="auto"/>
              </w:rPr>
              <w:t>Mortgage servicing rights, net</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01"/>
              <w:spacing w:after="0"/>
              <w:rPr>
                <w:sz w:val="20"/>
                <w:szCs w:val="20"/>
                <w:color w:val="auto"/>
              </w:rPr>
            </w:pPr>
            <w:r>
              <w:rPr>
                <w:rFonts w:ascii="Arial" w:cs="Arial" w:eastAsia="Arial" w:hAnsi="Arial"/>
                <w:sz w:val="20"/>
                <w:szCs w:val="20"/>
                <w:color w:val="auto"/>
                <w:w w:val="95"/>
              </w:rPr>
              <w:t>42,779,361</w:t>
            </w:r>
          </w:p>
        </w:tc>
        <w:tc>
          <w:tcPr>
            <w:tcW w:w="360" w:type="dxa"/>
            <w:vAlign w:val="bottom"/>
          </w:tcPr>
          <w:p>
            <w:pPr>
              <w:ind w:left="14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35,210,516</w:t>
            </w:r>
          </w:p>
        </w:tc>
      </w:tr>
      <w:tr>
        <w:trPr>
          <w:trHeight w:val="237"/>
        </w:trPr>
        <w:tc>
          <w:tcPr>
            <w:tcW w:w="59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r>
      <w:tr>
        <w:trPr>
          <w:trHeight w:val="256"/>
        </w:trPr>
        <w:tc>
          <w:tcPr>
            <w:tcW w:w="6000" w:type="dxa"/>
            <w:vAlign w:val="bottom"/>
            <w:gridSpan w:val="2"/>
          </w:tcPr>
          <w:p>
            <w:pPr>
              <w:ind w:left="20"/>
              <w:spacing w:after="0"/>
              <w:rPr>
                <w:sz w:val="20"/>
                <w:szCs w:val="20"/>
                <w:color w:val="auto"/>
              </w:rPr>
            </w:pPr>
            <w:r>
              <w:rPr>
                <w:rFonts w:ascii="Arial" w:cs="Arial" w:eastAsia="Arial" w:hAnsi="Arial"/>
                <w:sz w:val="20"/>
                <w:szCs w:val="20"/>
                <w:color w:val="auto"/>
              </w:rPr>
              <w:t>Estimated fair value of MSRs at end of period</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01"/>
              <w:spacing w:after="0"/>
              <w:rPr>
                <w:sz w:val="20"/>
                <w:szCs w:val="20"/>
                <w:color w:val="auto"/>
              </w:rPr>
            </w:pPr>
            <w:r>
              <w:rPr>
                <w:rFonts w:ascii="Arial" w:cs="Arial" w:eastAsia="Arial" w:hAnsi="Arial"/>
                <w:sz w:val="20"/>
                <w:szCs w:val="20"/>
                <w:color w:val="auto"/>
                <w:w w:val="95"/>
              </w:rPr>
              <w:t>55,087,150</w:t>
            </w:r>
          </w:p>
        </w:tc>
        <w:tc>
          <w:tcPr>
            <w:tcW w:w="360" w:type="dxa"/>
            <w:vAlign w:val="bottom"/>
          </w:tcPr>
          <w:p>
            <w:pPr>
              <w:ind w:left="14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38,702,358</w:t>
            </w:r>
          </w:p>
        </w:tc>
      </w:tr>
      <w:tr>
        <w:trPr>
          <w:trHeight w:val="20"/>
        </w:trPr>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301" w:hanging="301"/>
        <w:spacing w:after="0"/>
        <w:tabs>
          <w:tab w:leader="none" w:pos="301" w:val="left"/>
        </w:tabs>
        <w:numPr>
          <w:ilvl w:val="0"/>
          <w:numId w:val="56"/>
        </w:numPr>
        <w:rPr>
          <w:rFonts w:ascii="Arial" w:cs="Arial" w:eastAsia="Arial" w:hAnsi="Arial"/>
          <w:sz w:val="22"/>
          <w:szCs w:val="22"/>
          <w:color w:val="auto"/>
        </w:rPr>
      </w:pPr>
      <w:r>
        <w:rPr>
          <w:rFonts w:ascii="Arial" w:cs="Arial" w:eastAsia="Arial" w:hAnsi="Arial"/>
          <w:sz w:val="22"/>
          <w:szCs w:val="22"/>
          <w:color w:val="auto"/>
        </w:rPr>
        <w:t>Included in other expenses on the condensed consolidated statements of earnings</w:t>
      </w:r>
    </w:p>
    <w:p>
      <w:pPr>
        <w:spacing w:after="0" w:line="237" w:lineRule="exact"/>
        <w:rPr>
          <w:rFonts w:ascii="Arial" w:cs="Arial" w:eastAsia="Arial" w:hAnsi="Arial"/>
          <w:sz w:val="22"/>
          <w:szCs w:val="22"/>
          <w:color w:val="auto"/>
        </w:rPr>
      </w:pPr>
    </w:p>
    <w:p>
      <w:pPr>
        <w:ind w:left="4441"/>
        <w:spacing w:after="0"/>
        <w:rPr>
          <w:rFonts w:ascii="Arial" w:cs="Arial" w:eastAsia="Arial" w:hAnsi="Arial"/>
          <w:sz w:val="22"/>
          <w:szCs w:val="22"/>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-452120</wp:posOffset>
            </wp:positionV>
            <wp:extent cx="12255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104775</wp:posOffset>
            </wp:positionV>
            <wp:extent cx="57607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2" w:right="1440" w:bottom="1440" w:gutter="0" w:footer="0" w:header="0"/>
        </w:sectPr>
      </w:pPr>
    </w:p>
    <w:bookmarkStart w:id="46" w:name="page47"/>
    <w:bookmarkEnd w:id="46"/>
    <w:p>
      <w:pPr>
        <w:jc w:val="center"/>
        <w:ind w:left="1220" w:right="1320"/>
        <w:spacing w:after="0" w:line="247"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ind w:left="401" w:hanging="401"/>
        <w:spacing w:after="0"/>
        <w:tabs>
          <w:tab w:leader="none" w:pos="401"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Mortgage Servicing Rights</w:t>
      </w:r>
      <w:r>
        <w:rPr>
          <w:rFonts w:ascii="Arial" w:cs="Arial" w:eastAsia="Arial" w:hAnsi="Arial"/>
          <w:sz w:val="20"/>
          <w:szCs w:val="20"/>
          <w:color w:val="auto"/>
        </w:rPr>
        <w:t xml:space="preserve"> (Continued)</w:t>
      </w:r>
    </w:p>
    <w:p>
      <w:pPr>
        <w:spacing w:after="0" w:line="249" w:lineRule="exact"/>
        <w:rPr>
          <w:sz w:val="20"/>
          <w:szCs w:val="20"/>
          <w:color w:val="auto"/>
        </w:rPr>
      </w:pPr>
    </w:p>
    <w:p>
      <w:pPr>
        <w:ind w:left="1" w:right="479"/>
        <w:spacing w:after="0" w:line="260" w:lineRule="auto"/>
        <w:rPr>
          <w:sz w:val="20"/>
          <w:szCs w:val="20"/>
          <w:color w:val="auto"/>
        </w:rPr>
      </w:pPr>
      <w:r>
        <w:rPr>
          <w:rFonts w:ascii="Arial" w:cs="Arial" w:eastAsia="Arial" w:hAnsi="Arial"/>
          <w:sz w:val="20"/>
          <w:szCs w:val="20"/>
          <w:color w:val="auto"/>
        </w:rPr>
        <w:t>The following table summarizes the Company’s estimate of future amortization of its existing MSRs carried at amortized cost:</w:t>
      </w:r>
    </w:p>
    <w:p>
      <w:pPr>
        <w:spacing w:after="0" w:line="189" w:lineRule="exact"/>
        <w:rPr>
          <w:sz w:val="20"/>
          <w:szCs w:val="20"/>
          <w:color w:val="auto"/>
        </w:rPr>
      </w:pPr>
    </w:p>
    <w:tbl>
      <w:tblPr>
        <w:tblLayout w:type="fixed"/>
        <w:tblInd w:w="1" w:type="dxa"/>
        <w:tblCellMar>
          <w:top w:w="0" w:type="dxa"/>
          <w:left w:w="0" w:type="dxa"/>
          <w:bottom w:w="0" w:type="dxa"/>
          <w:right w:w="0" w:type="dxa"/>
        </w:tblCellMar>
      </w:tblPr>
      <w:tr>
        <w:trPr>
          <w:trHeight w:val="253"/>
        </w:trPr>
        <w:tc>
          <w:tcPr>
            <w:tcW w:w="2920" w:type="dxa"/>
            <w:vAlign w:val="bottom"/>
          </w:tcPr>
          <w:p>
            <w:pPr>
              <w:spacing w:after="0"/>
              <w:rPr>
                <w:sz w:val="21"/>
                <w:szCs w:val="21"/>
                <w:color w:val="auto"/>
              </w:rPr>
            </w:pPr>
          </w:p>
        </w:tc>
        <w:tc>
          <w:tcPr>
            <w:tcW w:w="1620" w:type="dxa"/>
            <w:vAlign w:val="bottom"/>
            <w:gridSpan w:val="2"/>
          </w:tcPr>
          <w:p>
            <w:pPr>
              <w:ind w:left="120"/>
              <w:spacing w:after="0"/>
              <w:rPr>
                <w:sz w:val="20"/>
                <w:szCs w:val="20"/>
                <w:color w:val="auto"/>
              </w:rPr>
            </w:pPr>
            <w:r>
              <w:rPr>
                <w:rFonts w:ascii="Arial" w:cs="Arial" w:eastAsia="Arial" w:hAnsi="Arial"/>
                <w:sz w:val="22"/>
                <w:szCs w:val="22"/>
                <w:color w:val="auto"/>
                <w:w w:val="96"/>
              </w:rPr>
              <w:t>Estimated MSR</w:t>
            </w:r>
          </w:p>
        </w:tc>
      </w:tr>
      <w:tr>
        <w:trPr>
          <w:trHeight w:val="276"/>
        </w:trPr>
        <w:tc>
          <w:tcPr>
            <w:tcW w:w="292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22"/>
                <w:szCs w:val="22"/>
                <w:color w:val="auto"/>
              </w:rPr>
              <w:t>Amortization</w:t>
            </w:r>
          </w:p>
        </w:tc>
      </w:tr>
      <w:tr>
        <w:trPr>
          <w:trHeight w:val="252"/>
        </w:trPr>
        <w:tc>
          <w:tcPr>
            <w:tcW w:w="2920" w:type="dxa"/>
            <w:vAlign w:val="bottom"/>
            <w:shd w:val="clear" w:color="auto" w:fill="CCEEFF"/>
          </w:tcPr>
          <w:p>
            <w:pPr>
              <w:ind w:left="20"/>
              <w:spacing w:after="0" w:line="251" w:lineRule="exact"/>
              <w:rPr>
                <w:sz w:val="20"/>
                <w:szCs w:val="20"/>
                <w:color w:val="auto"/>
              </w:rPr>
            </w:pPr>
            <w:r>
              <w:rPr>
                <w:rFonts w:ascii="Arial" w:cs="Arial" w:eastAsia="Arial" w:hAnsi="Arial"/>
                <w:sz w:val="22"/>
                <w:szCs w:val="22"/>
                <w:color w:val="auto"/>
              </w:rPr>
              <w:t>2021</w:t>
            </w: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5,760,982</w:t>
            </w:r>
          </w:p>
        </w:tc>
      </w:tr>
      <w:tr>
        <w:trPr>
          <w:trHeight w:val="270"/>
        </w:trPr>
        <w:tc>
          <w:tcPr>
            <w:tcW w:w="2920" w:type="dxa"/>
            <w:vAlign w:val="bottom"/>
          </w:tcPr>
          <w:p>
            <w:pPr>
              <w:ind w:left="20"/>
              <w:spacing w:after="0"/>
              <w:rPr>
                <w:sz w:val="20"/>
                <w:szCs w:val="20"/>
                <w:color w:val="auto"/>
              </w:rPr>
            </w:pPr>
            <w:r>
              <w:rPr>
                <w:rFonts w:ascii="Arial" w:cs="Arial" w:eastAsia="Arial" w:hAnsi="Arial"/>
                <w:sz w:val="22"/>
                <w:szCs w:val="22"/>
                <w:color w:val="auto"/>
              </w:rPr>
              <w:t>2022</w:t>
            </w:r>
          </w:p>
        </w:tc>
        <w:tc>
          <w:tcPr>
            <w:tcW w:w="5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4,670,850</w:t>
            </w:r>
          </w:p>
        </w:tc>
      </w:tr>
      <w:tr>
        <w:trPr>
          <w:trHeight w:val="270"/>
        </w:trPr>
        <w:tc>
          <w:tcPr>
            <w:tcW w:w="2920" w:type="dxa"/>
            <w:vAlign w:val="bottom"/>
            <w:shd w:val="clear" w:color="auto" w:fill="CCEEFF"/>
          </w:tcPr>
          <w:p>
            <w:pPr>
              <w:ind w:left="20"/>
              <w:spacing w:after="0"/>
              <w:rPr>
                <w:sz w:val="20"/>
                <w:szCs w:val="20"/>
                <w:color w:val="auto"/>
              </w:rPr>
            </w:pPr>
            <w:r>
              <w:rPr>
                <w:rFonts w:ascii="Arial" w:cs="Arial" w:eastAsia="Arial" w:hAnsi="Arial"/>
                <w:sz w:val="22"/>
                <w:szCs w:val="22"/>
                <w:color w:val="auto"/>
              </w:rPr>
              <w:t>2023</w:t>
            </w:r>
          </w:p>
        </w:tc>
        <w:tc>
          <w:tcPr>
            <w:tcW w:w="5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4,116,524</w:t>
            </w:r>
          </w:p>
        </w:tc>
      </w:tr>
      <w:tr>
        <w:trPr>
          <w:trHeight w:val="270"/>
        </w:trPr>
        <w:tc>
          <w:tcPr>
            <w:tcW w:w="2920" w:type="dxa"/>
            <w:vAlign w:val="bottom"/>
          </w:tcPr>
          <w:p>
            <w:pPr>
              <w:ind w:left="20"/>
              <w:spacing w:after="0"/>
              <w:rPr>
                <w:sz w:val="20"/>
                <w:szCs w:val="20"/>
                <w:color w:val="auto"/>
              </w:rPr>
            </w:pPr>
            <w:r>
              <w:rPr>
                <w:rFonts w:ascii="Arial" w:cs="Arial" w:eastAsia="Arial" w:hAnsi="Arial"/>
                <w:sz w:val="22"/>
                <w:szCs w:val="22"/>
                <w:color w:val="auto"/>
              </w:rPr>
              <w:t>2024</w:t>
            </w:r>
          </w:p>
        </w:tc>
        <w:tc>
          <w:tcPr>
            <w:tcW w:w="5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3,617,054</w:t>
            </w:r>
          </w:p>
        </w:tc>
      </w:tr>
      <w:tr>
        <w:trPr>
          <w:trHeight w:val="270"/>
        </w:trPr>
        <w:tc>
          <w:tcPr>
            <w:tcW w:w="2920" w:type="dxa"/>
            <w:vAlign w:val="bottom"/>
            <w:shd w:val="clear" w:color="auto" w:fill="CCEEFF"/>
          </w:tcPr>
          <w:p>
            <w:pPr>
              <w:ind w:left="20"/>
              <w:spacing w:after="0"/>
              <w:rPr>
                <w:sz w:val="20"/>
                <w:szCs w:val="20"/>
                <w:color w:val="auto"/>
              </w:rPr>
            </w:pPr>
            <w:r>
              <w:rPr>
                <w:rFonts w:ascii="Arial" w:cs="Arial" w:eastAsia="Arial" w:hAnsi="Arial"/>
                <w:sz w:val="22"/>
                <w:szCs w:val="22"/>
                <w:color w:val="auto"/>
              </w:rPr>
              <w:t>2025</w:t>
            </w:r>
          </w:p>
        </w:tc>
        <w:tc>
          <w:tcPr>
            <w:tcW w:w="5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3,191,065</w:t>
            </w:r>
          </w:p>
        </w:tc>
      </w:tr>
      <w:tr>
        <w:trPr>
          <w:trHeight w:val="27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Thereafter</w:t>
            </w:r>
          </w:p>
        </w:tc>
        <w:tc>
          <w:tcPr>
            <w:tcW w:w="5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21,422,886</w:t>
            </w:r>
          </w:p>
        </w:tc>
      </w:tr>
      <w:tr>
        <w:trPr>
          <w:trHeight w:val="236"/>
        </w:trPr>
        <w:tc>
          <w:tcPr>
            <w:tcW w:w="2920" w:type="dxa"/>
            <w:vAlign w:val="bottom"/>
            <w:tcBorders>
              <w:bottom w:val="single" w:sz="8" w:color="CCEEFF"/>
            </w:tcBorders>
            <w:shd w:val="clear" w:color="auto" w:fill="CCEEFF"/>
          </w:tcPr>
          <w:p>
            <w:pPr>
              <w:ind w:left="20"/>
              <w:spacing w:after="0" w:line="237" w:lineRule="exact"/>
              <w:rPr>
                <w:sz w:val="20"/>
                <w:szCs w:val="20"/>
                <w:color w:val="auto"/>
              </w:rPr>
            </w:pPr>
            <w:r>
              <w:rPr>
                <w:rFonts w:ascii="Arial" w:cs="Arial" w:eastAsia="Arial" w:hAnsi="Arial"/>
                <w:sz w:val="22"/>
                <w:szCs w:val="22"/>
                <w:color w:val="auto"/>
              </w:rPr>
              <w:t>Total</w:t>
            </w:r>
          </w:p>
        </w:tc>
        <w:tc>
          <w:tcPr>
            <w:tcW w:w="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42,779,361</w:t>
            </w:r>
          </w:p>
        </w:tc>
      </w:tr>
      <w:tr>
        <w:trPr>
          <w:trHeight w:val="20"/>
        </w:trPr>
        <w:tc>
          <w:tcPr>
            <w:tcW w:w="2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1" w:right="159"/>
        <w:spacing w:after="0" w:line="260" w:lineRule="auto"/>
        <w:rPr>
          <w:sz w:val="20"/>
          <w:szCs w:val="20"/>
          <w:color w:val="auto"/>
        </w:rPr>
      </w:pPr>
      <w:r>
        <w:rPr>
          <w:rFonts w:ascii="Arial" w:cs="Arial" w:eastAsia="Arial" w:hAnsi="Arial"/>
          <w:sz w:val="20"/>
          <w:szCs w:val="20"/>
          <w:color w:val="auto"/>
        </w:rPr>
        <w:t>The Company collected the following contractual servicing fee income and late fee income as reported in other revenues on the condensed consolidated statement of earnings:</w:t>
      </w:r>
    </w:p>
    <w:p>
      <w:pPr>
        <w:spacing w:after="0" w:line="206"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4"/>
          </w:tcPr>
          <w:p>
            <w:pPr>
              <w:jc w:val="right"/>
              <w:ind w:right="450"/>
              <w:spacing w:after="0"/>
              <w:rPr>
                <w:sz w:val="20"/>
                <w:szCs w:val="20"/>
                <w:color w:val="auto"/>
              </w:rPr>
            </w:pPr>
            <w:r>
              <w:rPr>
                <w:rFonts w:ascii="Arial" w:cs="Arial" w:eastAsia="Arial" w:hAnsi="Arial"/>
                <w:sz w:val="18"/>
                <w:szCs w:val="18"/>
                <w:color w:val="auto"/>
                <w:w w:val="97"/>
              </w:rPr>
              <w:t>Three Months Ended</w:t>
            </w:r>
          </w:p>
        </w:tc>
      </w:tr>
      <w:tr>
        <w:trPr>
          <w:trHeight w:val="237"/>
        </w:trPr>
        <w:tc>
          <w:tcPr>
            <w:tcW w:w="2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0"/>
                <w:szCs w:val="20"/>
                <w:color w:val="auto"/>
              </w:rPr>
            </w:pPr>
          </w:p>
        </w:tc>
      </w:tr>
      <w:tr>
        <w:trPr>
          <w:trHeight w:val="237"/>
        </w:trPr>
        <w:tc>
          <w:tcPr>
            <w:tcW w:w="20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43"/>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Contractual servicing fees</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3,387,472</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1,784,944</w:t>
            </w:r>
          </w:p>
        </w:tc>
      </w:tr>
      <w:tr>
        <w:trPr>
          <w:trHeight w:val="237"/>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Late fees</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81,050</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97,808</w:t>
            </w:r>
          </w:p>
        </w:tc>
      </w:tr>
      <w:tr>
        <w:trPr>
          <w:trHeight w:val="243"/>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3,468,522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1,882,752</w:t>
            </w:r>
          </w:p>
        </w:tc>
      </w:tr>
      <w:tr>
        <w:trPr>
          <w:trHeight w:val="20"/>
        </w:trPr>
        <w:tc>
          <w:tcPr>
            <w:tcW w:w="2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1" w:right="159"/>
        <w:spacing w:after="0" w:line="260" w:lineRule="auto"/>
        <w:rPr>
          <w:sz w:val="20"/>
          <w:szCs w:val="20"/>
          <w:color w:val="auto"/>
        </w:rPr>
      </w:pPr>
      <w:r>
        <w:rPr>
          <w:rFonts w:ascii="Arial" w:cs="Arial" w:eastAsia="Arial" w:hAnsi="Arial"/>
          <w:sz w:val="20"/>
          <w:szCs w:val="20"/>
          <w:color w:val="auto"/>
        </w:rPr>
        <w:t>The following is a summary of the unpaid principal balances (“UPB”) of the servicing portfolio for the periods presented:</w:t>
      </w:r>
    </w:p>
    <w:p>
      <w:pPr>
        <w:spacing w:after="0" w:line="206"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As of March 31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As of December 31</w:t>
            </w:r>
          </w:p>
        </w:tc>
      </w:tr>
      <w:tr>
        <w:trPr>
          <w:trHeight w:val="237"/>
        </w:trPr>
        <w:tc>
          <w:tcPr>
            <w:tcW w:w="1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43"/>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UPB</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5,824,986,566</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5,070,287,864</w:t>
            </w:r>
          </w:p>
        </w:tc>
      </w:tr>
    </w:tbl>
    <w:p>
      <w:pPr>
        <w:spacing w:after="0" w:line="200" w:lineRule="exact"/>
        <w:rPr>
          <w:sz w:val="20"/>
          <w:szCs w:val="20"/>
          <w:color w:val="auto"/>
        </w:rPr>
      </w:pPr>
    </w:p>
    <w:p>
      <w:pPr>
        <w:spacing w:after="0" w:line="242"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following key assumptions were used in determining MSR value:</w:t>
      </w:r>
    </w:p>
    <w:p>
      <w:pPr>
        <w:spacing w:after="0" w:line="245"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Prepayment</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Discount</w:t>
            </w:r>
          </w:p>
        </w:tc>
      </w:tr>
      <w:tr>
        <w:trPr>
          <w:trHeight w:val="237"/>
        </w:trPr>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81"/>
              </w:rPr>
              <w:t>Speeds</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Life (Years)</w:t>
            </w:r>
          </w:p>
        </w:tc>
        <w:tc>
          <w:tcPr>
            <w:tcW w:w="760" w:type="dxa"/>
            <w:vAlign w:val="bottom"/>
          </w:tcPr>
          <w:p>
            <w:pPr>
              <w:jc w:val="center"/>
              <w:spacing w:after="0"/>
              <w:rPr>
                <w:sz w:val="20"/>
                <w:szCs w:val="20"/>
                <w:color w:val="auto"/>
              </w:rPr>
            </w:pPr>
            <w:r>
              <w:rPr>
                <w:rFonts w:ascii="Arial" w:cs="Arial" w:eastAsia="Arial" w:hAnsi="Arial"/>
                <w:sz w:val="18"/>
                <w:szCs w:val="18"/>
                <w:color w:val="auto"/>
                <w:w w:val="84"/>
              </w:rPr>
              <w:t>Rate</w:t>
            </w:r>
          </w:p>
        </w:tc>
      </w:tr>
      <w:tr>
        <w:trPr>
          <w:trHeight w:val="243"/>
        </w:trPr>
        <w:tc>
          <w:tcPr>
            <w:tcW w:w="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March 31,</w:t>
            </w:r>
          </w:p>
        </w:tc>
        <w:tc>
          <w:tcPr>
            <w:tcW w:w="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11.90</w:t>
            </w:r>
          </w:p>
        </w:tc>
        <w:tc>
          <w:tcPr>
            <w:tcW w:w="1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6.72</w:t>
            </w: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9.50</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w w:val="89"/>
              </w:rPr>
              <w:t>December</w:t>
            </w:r>
          </w:p>
        </w:tc>
        <w:tc>
          <w:tcPr>
            <w:tcW w:w="820" w:type="dxa"/>
            <w:vAlign w:val="bottom"/>
          </w:tcPr>
          <w:p>
            <w:pPr>
              <w:ind w:left="20"/>
              <w:spacing w:after="0"/>
              <w:rPr>
                <w:sz w:val="20"/>
                <w:szCs w:val="20"/>
                <w:color w:val="auto"/>
              </w:rPr>
            </w:pPr>
            <w:r>
              <w:rPr>
                <w:rFonts w:ascii="Arial" w:cs="Arial" w:eastAsia="Arial" w:hAnsi="Arial"/>
                <w:sz w:val="18"/>
                <w:szCs w:val="18"/>
                <w:color w:val="auto"/>
              </w:rPr>
              <w:t>31, 2020</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15.60</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5.30</w:t>
            </w:r>
          </w:p>
        </w:tc>
        <w:tc>
          <w:tcPr>
            <w:tcW w:w="1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9.50</w:t>
            </w:r>
          </w:p>
        </w:tc>
      </w:tr>
    </w:tbl>
    <w:p>
      <w:pPr>
        <w:spacing w:after="0" w:line="225" w:lineRule="exact"/>
        <w:rPr>
          <w:sz w:val="20"/>
          <w:szCs w:val="20"/>
          <w:color w:val="auto"/>
        </w:rPr>
      </w:pPr>
    </w:p>
    <w:p>
      <w:pPr>
        <w:ind w:left="321" w:hanging="321"/>
        <w:spacing w:after="0"/>
        <w:tabs>
          <w:tab w:leader="none" w:pos="321"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Income Taxes</w:t>
      </w:r>
    </w:p>
    <w:p>
      <w:pPr>
        <w:spacing w:after="0" w:line="229" w:lineRule="exact"/>
        <w:rPr>
          <w:sz w:val="20"/>
          <w:szCs w:val="20"/>
          <w:color w:val="auto"/>
        </w:rPr>
      </w:pPr>
    </w:p>
    <w:p>
      <w:pPr>
        <w:jc w:val="both"/>
        <w:ind w:left="1" w:right="179"/>
        <w:spacing w:after="0" w:line="278" w:lineRule="auto"/>
        <w:rPr>
          <w:sz w:val="20"/>
          <w:szCs w:val="20"/>
          <w:color w:val="auto"/>
        </w:rPr>
      </w:pPr>
      <w:r>
        <w:rPr>
          <w:rFonts w:ascii="Arial" w:cs="Arial" w:eastAsia="Arial" w:hAnsi="Arial"/>
          <w:sz w:val="18"/>
          <w:szCs w:val="18"/>
          <w:color w:val="auto"/>
        </w:rPr>
        <w:t>The Company’s overall effective tax rate for the three months ended March 31, 2021 and 2020 was 25.8% and 3.4%, respectively, which resulted in a provision for income taxes of $4,226,340 and $49,785, respectively. The Company's effective tax rates differ from the U.S. federal statutory rate of 21% partially due to its provision for state income taxes. The effective tax rate in the current period increased when compared to the prior year period partly due the Coronavirus Aid Relief and Economic Security (“CARES”) Act.</w:t>
      </w:r>
    </w:p>
    <w:p>
      <w:pPr>
        <w:spacing w:after="0" w:line="178" w:lineRule="exact"/>
        <w:rPr>
          <w:sz w:val="20"/>
          <w:szCs w:val="20"/>
          <w:color w:val="auto"/>
        </w:rPr>
      </w:pPr>
    </w:p>
    <w:p>
      <w:pPr>
        <w:jc w:val="both"/>
        <w:ind w:left="1" w:right="159"/>
        <w:spacing w:after="0" w:line="282" w:lineRule="auto"/>
        <w:rPr>
          <w:sz w:val="20"/>
          <w:szCs w:val="20"/>
          <w:color w:val="auto"/>
        </w:rPr>
      </w:pPr>
      <w:r>
        <w:rPr>
          <w:rFonts w:ascii="Arial" w:cs="Arial" w:eastAsia="Arial" w:hAnsi="Arial"/>
          <w:sz w:val="18"/>
          <w:szCs w:val="18"/>
          <w:color w:val="auto"/>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sectPr>
          <w:pgSz w:w="11900" w:h="16838" w:orient="portrait"/>
          <w:cols w:equalWidth="0" w:num="1">
            <w:col w:w="9240"/>
          </w:cols>
          <w:pgMar w:left="1219" w:top="122" w:right="1440" w:bottom="1440" w:gutter="0" w:footer="0" w:header="0"/>
        </w:sectPr>
      </w:pPr>
    </w:p>
    <w:p>
      <w:pPr>
        <w:spacing w:after="0" w:line="188" w:lineRule="exact"/>
        <w:rPr>
          <w:sz w:val="20"/>
          <w:szCs w:val="20"/>
          <w:color w:val="auto"/>
        </w:rPr>
      </w:pPr>
    </w:p>
    <w:p>
      <w:pPr>
        <w:jc w:val="center"/>
        <w:ind w:right="158"/>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57607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2" w:right="1440" w:bottom="1440" w:gutter="0" w:footer="0" w:header="0"/>
          <w:type w:val="continuous"/>
        </w:sectPr>
      </w:pPr>
    </w:p>
    <w:bookmarkStart w:id="47" w:name="page48"/>
    <w:bookmarkEnd w:id="47"/>
    <w:p>
      <w:pPr>
        <w:jc w:val="center"/>
        <w:ind w:left="1220" w:right="132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2020 (Unaudited)</w:t>
      </w:r>
    </w:p>
    <w:p>
      <w:pPr>
        <w:spacing w:after="0" w:line="227" w:lineRule="exact"/>
        <w:rPr>
          <w:sz w:val="20"/>
          <w:szCs w:val="20"/>
          <w:color w:val="auto"/>
        </w:rPr>
      </w:pPr>
    </w:p>
    <w:p>
      <w:pPr>
        <w:ind w:left="321" w:hanging="321"/>
        <w:spacing w:after="0"/>
        <w:tabs>
          <w:tab w:leader="none" w:pos="321"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Revenues from Contracts with Customers</w:t>
      </w:r>
    </w:p>
    <w:p>
      <w:pPr>
        <w:spacing w:after="0" w:line="229" w:lineRule="exact"/>
        <w:rPr>
          <w:sz w:val="20"/>
          <w:szCs w:val="20"/>
          <w:color w:val="auto"/>
        </w:rPr>
      </w:pPr>
    </w:p>
    <w:p>
      <w:pPr>
        <w:jc w:val="both"/>
        <w:ind w:left="1" w:right="179"/>
        <w:spacing w:after="0" w:line="260" w:lineRule="auto"/>
        <w:rPr>
          <w:sz w:val="20"/>
          <w:szCs w:val="20"/>
          <w:color w:val="auto"/>
        </w:rPr>
      </w:pPr>
      <w:r>
        <w:rPr>
          <w:rFonts w:ascii="Arial" w:cs="Arial" w:eastAsia="Arial" w:hAnsi="Arial"/>
          <w:sz w:val="20"/>
          <w:szCs w:val="20"/>
          <w:color w:val="auto"/>
        </w:rPr>
        <w:t xml:space="preserve">The Company reports revenues from contracts with customers pursuant to ASC No. 606, </w:t>
      </w:r>
      <w:r>
        <w:rPr>
          <w:rFonts w:ascii="Arial" w:cs="Arial" w:eastAsia="Arial" w:hAnsi="Arial"/>
          <w:sz w:val="20"/>
          <w:szCs w:val="20"/>
          <w:i w:val="1"/>
          <w:iCs w:val="1"/>
          <w:color w:val="auto"/>
        </w:rPr>
        <w:t>Revenue from Contracts</w:t>
      </w:r>
      <w:r>
        <w:rPr>
          <w:rFonts w:ascii="Arial" w:cs="Arial" w:eastAsia="Arial" w:hAnsi="Arial"/>
          <w:sz w:val="20"/>
          <w:szCs w:val="20"/>
          <w:color w:val="auto"/>
        </w:rPr>
        <w:t xml:space="preserve"> </w:t>
      </w:r>
      <w:r>
        <w:rPr>
          <w:rFonts w:ascii="Arial" w:cs="Arial" w:eastAsia="Arial" w:hAnsi="Arial"/>
          <w:sz w:val="20"/>
          <w:szCs w:val="20"/>
          <w:i w:val="1"/>
          <w:iCs w:val="1"/>
          <w:color w:val="auto"/>
        </w:rPr>
        <w:t>with Customers.</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Information about Performance Obligations and Contract Balances</w:t>
      </w:r>
    </w:p>
    <w:p>
      <w:pPr>
        <w:spacing w:after="0" w:line="235" w:lineRule="exact"/>
        <w:rPr>
          <w:sz w:val="20"/>
          <w:szCs w:val="20"/>
          <w:color w:val="auto"/>
        </w:rPr>
      </w:pPr>
    </w:p>
    <w:p>
      <w:pPr>
        <w:jc w:val="both"/>
        <w:ind w:left="1" w:right="179"/>
        <w:spacing w:after="0" w:line="250" w:lineRule="auto"/>
        <w:rPr>
          <w:sz w:val="20"/>
          <w:szCs w:val="20"/>
          <w:color w:val="auto"/>
        </w:rPr>
      </w:pPr>
      <w:r>
        <w:rPr>
          <w:rFonts w:ascii="Arial" w:cs="Arial" w:eastAsia="Arial" w:hAnsi="Arial"/>
          <w:sz w:val="20"/>
          <w:szCs w:val="20"/>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Company’s three types of future obligations are as follows:</w:t>
      </w:r>
    </w:p>
    <w:p>
      <w:pPr>
        <w:spacing w:after="0" w:line="229" w:lineRule="exact"/>
        <w:rPr>
          <w:sz w:val="20"/>
          <w:szCs w:val="20"/>
          <w:color w:val="auto"/>
        </w:rPr>
      </w:pPr>
    </w:p>
    <w:p>
      <w:pPr>
        <w:jc w:val="both"/>
        <w:ind w:left="1" w:right="159"/>
        <w:spacing w:after="0" w:line="250" w:lineRule="auto"/>
        <w:rPr>
          <w:sz w:val="20"/>
          <w:szCs w:val="20"/>
          <w:color w:val="auto"/>
        </w:rPr>
      </w:pPr>
      <w:r>
        <w:rPr>
          <w:rFonts w:ascii="Arial" w:cs="Arial" w:eastAsia="Arial" w:hAnsi="Arial"/>
          <w:sz w:val="20"/>
          <w:szCs w:val="20"/>
          <w:i w:val="1"/>
          <w:iCs w:val="1"/>
          <w:u w:val="single" w:color="auto"/>
          <w:color w:val="auto"/>
        </w:rPr>
        <w:t>Pre-need Merchandise and Service Revenue</w:t>
      </w:r>
      <w:r>
        <w:rPr>
          <w:rFonts w:ascii="Arial" w:cs="Arial" w:eastAsia="Arial" w:hAnsi="Arial"/>
          <w:sz w:val="20"/>
          <w:szCs w:val="20"/>
          <w:color w:val="auto"/>
        </w:rPr>
        <w:t>: All pre-need merchandise and service revenue is deferred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funds are placed in trust until the need arises, the merchandise is received or the service is performed. The trust is then relieved, and the revenue and commissions are recognized.</w:t>
      </w:r>
    </w:p>
    <w:p>
      <w:pPr>
        <w:spacing w:after="0" w:line="199" w:lineRule="exact"/>
        <w:rPr>
          <w:sz w:val="20"/>
          <w:szCs w:val="20"/>
          <w:color w:val="auto"/>
        </w:rPr>
      </w:pPr>
    </w:p>
    <w:p>
      <w:pPr>
        <w:jc w:val="both"/>
        <w:ind w:left="1" w:right="179"/>
        <w:spacing w:after="0" w:line="246" w:lineRule="auto"/>
        <w:rPr>
          <w:sz w:val="20"/>
          <w:szCs w:val="20"/>
          <w:color w:val="auto"/>
        </w:rPr>
      </w:pPr>
      <w:r>
        <w:rPr>
          <w:rFonts w:ascii="Arial" w:cs="Arial" w:eastAsia="Arial" w:hAnsi="Arial"/>
          <w:sz w:val="20"/>
          <w:szCs w:val="20"/>
          <w:i w:val="1"/>
          <w:iCs w:val="1"/>
          <w:u w:val="single" w:color="auto"/>
          <w:color w:val="auto"/>
        </w:rPr>
        <w:t>At-need Specialty Merchandise Revenue</w:t>
      </w:r>
      <w:r>
        <w:rPr>
          <w:rFonts w:ascii="Arial" w:cs="Arial" w:eastAsia="Arial" w:hAnsi="Arial"/>
          <w:sz w:val="20"/>
          <w:szCs w:val="20"/>
          <w:color w:val="auto"/>
        </w:rPr>
        <w:t>: At-need specialty merchandise revenue consists of customizable</w:t>
      </w:r>
      <w:r>
        <w:rPr>
          <w:rFonts w:ascii="Arial" w:cs="Arial" w:eastAsia="Arial" w:hAnsi="Arial"/>
          <w:sz w:val="20"/>
          <w:szCs w:val="20"/>
          <w:i w:val="1"/>
          <w:iCs w:val="1"/>
          <w:color w:val="auto"/>
        </w:rPr>
        <w:t xml:space="preserve"> </w:t>
      </w:r>
      <w:r>
        <w:rPr>
          <w:rFonts w:ascii="Arial" w:cs="Arial" w:eastAsia="Arial" w:hAnsi="Arial"/>
          <w:sz w:val="20"/>
          <w:szCs w:val="20"/>
          <w:color w:val="auto"/>
        </w:rPr>
        <w:t>merchandise ordered from a manufacturer such as markers and bases. When specialty merchandise is ordered, it can take time to manufacture and deliver the product. Revenue is deferred until the at-need merchandise is received.</w:t>
      </w:r>
    </w:p>
    <w:p>
      <w:pPr>
        <w:spacing w:after="0" w:line="205" w:lineRule="exact"/>
        <w:rPr>
          <w:sz w:val="20"/>
          <w:szCs w:val="20"/>
          <w:color w:val="auto"/>
        </w:rPr>
      </w:pPr>
    </w:p>
    <w:p>
      <w:pPr>
        <w:jc w:val="both"/>
        <w:ind w:left="1" w:right="179"/>
        <w:spacing w:after="0" w:line="250" w:lineRule="auto"/>
        <w:rPr>
          <w:sz w:val="20"/>
          <w:szCs w:val="20"/>
          <w:color w:val="auto"/>
        </w:rPr>
      </w:pPr>
      <w:r>
        <w:rPr>
          <w:rFonts w:ascii="Arial" w:cs="Arial" w:eastAsia="Arial" w:hAnsi="Arial"/>
          <w:sz w:val="20"/>
          <w:szCs w:val="20"/>
          <w:i w:val="1"/>
          <w:iCs w:val="1"/>
          <w:u w:val="single" w:color="auto"/>
          <w:color w:val="auto"/>
        </w:rPr>
        <w:t>Deferred Pre-need Land Revenue</w:t>
      </w:r>
      <w:r>
        <w:rPr>
          <w:rFonts w:ascii="Arial" w:cs="Arial" w:eastAsia="Arial" w:hAnsi="Arial"/>
          <w:sz w:val="20"/>
          <w:szCs w:val="20"/>
          <w:color w:val="auto"/>
        </w:rPr>
        <w:t>: Deferred pre-need revenue and corresponding commissions are deferred until</w:t>
      </w:r>
      <w:r>
        <w:rPr>
          <w:rFonts w:ascii="Arial" w:cs="Arial" w:eastAsia="Arial" w:hAnsi="Arial"/>
          <w:sz w:val="20"/>
          <w:szCs w:val="20"/>
          <w:i w:val="1"/>
          <w:iCs w:val="1"/>
          <w:color w:val="auto"/>
        </w:rPr>
        <w:t xml:space="preserve"> </w:t>
      </w:r>
      <w:r>
        <w:rPr>
          <w:rFonts w:ascii="Arial" w:cs="Arial" w:eastAsia="Arial" w:hAnsi="Arial"/>
          <w:sz w:val="20"/>
          <w:szCs w:val="20"/>
          <w:color w:val="auto"/>
        </w:rPr>
        <w:t>10% of the funds are received from the customer through regular monthly payments. Deferred pre-need land revenue is not placed in trust.</w:t>
      </w:r>
    </w:p>
    <w:p>
      <w:pPr>
        <w:spacing w:after="0" w:line="199" w:lineRule="exact"/>
        <w:rPr>
          <w:sz w:val="20"/>
          <w:szCs w:val="20"/>
          <w:color w:val="auto"/>
        </w:rPr>
      </w:pPr>
    </w:p>
    <w:p>
      <w:pPr>
        <w:jc w:val="both"/>
        <w:ind w:left="1" w:right="159"/>
        <w:spacing w:after="0" w:line="259" w:lineRule="auto"/>
        <w:rPr>
          <w:sz w:val="20"/>
          <w:szCs w:val="20"/>
          <w:color w:val="auto"/>
        </w:rPr>
      </w:pPr>
      <w:r>
        <w:rPr>
          <w:rFonts w:ascii="Arial" w:cs="Arial" w:eastAsia="Arial" w:hAnsi="Arial"/>
          <w:sz w:val="19"/>
          <w:szCs w:val="19"/>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192" w:lineRule="exact"/>
        <w:rPr>
          <w:sz w:val="20"/>
          <w:szCs w:val="20"/>
          <w:color w:val="auto"/>
        </w:rPr>
      </w:pPr>
    </w:p>
    <w:p>
      <w:pPr>
        <w:jc w:val="both"/>
        <w:ind w:left="1" w:right="179"/>
        <w:spacing w:after="0" w:line="260" w:lineRule="auto"/>
        <w:rPr>
          <w:sz w:val="20"/>
          <w:szCs w:val="20"/>
          <w:color w:val="auto"/>
        </w:rPr>
      </w:pPr>
      <w:r>
        <w:rPr>
          <w:rFonts w:ascii="Arial" w:cs="Arial" w:eastAsia="Arial" w:hAnsi="Arial"/>
          <w:sz w:val="20"/>
          <w:szCs w:val="20"/>
          <w:color w:val="auto"/>
        </w:rPr>
        <w:t>The opening and closing balances of the Company’s receivables, contract assets and contract liabilities are as follows:</w:t>
      </w:r>
    </w:p>
    <w:p>
      <w:pPr>
        <w:spacing w:after="0" w:line="204" w:lineRule="exact"/>
        <w:rPr>
          <w:sz w:val="20"/>
          <w:szCs w:val="20"/>
          <w:color w:val="auto"/>
        </w:rPr>
      </w:pPr>
    </w:p>
    <w:tbl>
      <w:tblPr>
        <w:tblLayout w:type="fixed"/>
        <w:tblInd w:w="1" w:type="dxa"/>
        <w:tblCellMar>
          <w:top w:w="0" w:type="dxa"/>
          <w:left w:w="0" w:type="dxa"/>
          <w:bottom w:w="0" w:type="dxa"/>
          <w:right w:w="0" w:type="dxa"/>
        </w:tblCellMar>
      </w:tblPr>
      <w:tr>
        <w:trPr>
          <w:trHeight w:val="255"/>
        </w:trPr>
        <w:tc>
          <w:tcPr>
            <w:tcW w:w="48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20"/>
                <w:szCs w:val="20"/>
                <w:color w:val="auto"/>
                <w:w w:val="88"/>
              </w:rPr>
              <w:t>Contract Balances</w:t>
            </w: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24"/>
        </w:trPr>
        <w:tc>
          <w:tcPr>
            <w:tcW w:w="4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ind w:left="40"/>
              <w:spacing w:after="0" w:line="225" w:lineRule="exact"/>
              <w:rPr>
                <w:sz w:val="20"/>
                <w:szCs w:val="20"/>
                <w:color w:val="auto"/>
              </w:rPr>
            </w:pPr>
            <w:r>
              <w:rPr>
                <w:rFonts w:ascii="Arial" w:cs="Arial" w:eastAsia="Arial" w:hAnsi="Arial"/>
                <w:sz w:val="20"/>
                <w:szCs w:val="20"/>
                <w:color w:val="auto"/>
              </w:rPr>
              <w:t>Contract</w:t>
            </w:r>
          </w:p>
        </w:tc>
      </w:tr>
      <w:tr>
        <w:trPr>
          <w:trHeight w:val="255"/>
        </w:trPr>
        <w:tc>
          <w:tcPr>
            <w:tcW w:w="4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w w:val="89"/>
              </w:rPr>
              <w:t>Receivables (1)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gridSpan w:val="4"/>
          </w:tcPr>
          <w:p>
            <w:pPr>
              <w:jc w:val="center"/>
              <w:ind w:right="120"/>
              <w:spacing w:after="0"/>
              <w:rPr>
                <w:sz w:val="20"/>
                <w:szCs w:val="20"/>
                <w:color w:val="auto"/>
              </w:rPr>
            </w:pPr>
            <w:r>
              <w:rPr>
                <w:rFonts w:ascii="Arial" w:cs="Arial" w:eastAsia="Arial" w:hAnsi="Arial"/>
                <w:sz w:val="20"/>
                <w:szCs w:val="20"/>
                <w:color w:val="auto"/>
                <w:w w:val="89"/>
              </w:rPr>
              <w:t>Contract Asset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ind w:left="40"/>
              <w:spacing w:after="0"/>
              <w:rPr>
                <w:sz w:val="20"/>
                <w:szCs w:val="20"/>
                <w:color w:val="auto"/>
              </w:rPr>
            </w:pPr>
            <w:r>
              <w:rPr>
                <w:rFonts w:ascii="Arial" w:cs="Arial" w:eastAsia="Arial" w:hAnsi="Arial"/>
                <w:sz w:val="20"/>
                <w:szCs w:val="20"/>
                <w:color w:val="auto"/>
              </w:rPr>
              <w:t>Liability</w:t>
            </w:r>
          </w:p>
        </w:tc>
      </w:tr>
      <w:tr>
        <w:trPr>
          <w:trHeight w:val="255"/>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Opening (1/1/2021)</w:t>
            </w:r>
          </w:p>
        </w:tc>
        <w:tc>
          <w:tcPr>
            <w:tcW w:w="34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94"/>
              </w:rPr>
              <w:t>4,119,988</w:t>
            </w:r>
          </w:p>
        </w:tc>
        <w:tc>
          <w:tcPr>
            <w:tcW w:w="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gridSpan w:val="2"/>
            <w:shd w:val="clear" w:color="auto" w:fill="CCEEFF"/>
          </w:tcPr>
          <w:p>
            <w:pPr>
              <w:jc w:val="right"/>
              <w:ind w:right="401"/>
              <w:spacing w:after="0"/>
              <w:rPr>
                <w:sz w:val="20"/>
                <w:szCs w:val="20"/>
                <w:color w:val="auto"/>
              </w:rPr>
            </w:pPr>
            <w:r>
              <w:rPr>
                <w:rFonts w:ascii="Arial" w:cs="Arial" w:eastAsia="Arial" w:hAnsi="Arial"/>
                <w:sz w:val="20"/>
                <w:szCs w:val="20"/>
                <w:color w:val="auto"/>
              </w:rPr>
              <w:t>$</w:t>
            </w:r>
          </w:p>
        </w:tc>
        <w:tc>
          <w:tcPr>
            <w:tcW w:w="6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91"/>
              </w:rPr>
              <w:t>13,080,179</w:t>
            </w:r>
          </w:p>
        </w:tc>
      </w:tr>
      <w:tr>
        <w:trPr>
          <w:trHeight w:val="25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Closing (3/31/2021)</w:t>
            </w: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94"/>
              </w:rPr>
              <w:t>3,988,538</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91"/>
              </w:rPr>
              <w:t>13,514,055</w:t>
            </w: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Increase/(decrease)</w:t>
            </w:r>
          </w:p>
        </w:tc>
        <w:tc>
          <w:tcPr>
            <w:tcW w:w="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(131,450)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433,876</w:t>
            </w:r>
          </w:p>
        </w:tc>
      </w:tr>
      <w:tr>
        <w:trPr>
          <w:trHeight w:val="20"/>
        </w:trPr>
        <w:tc>
          <w:tcPr>
            <w:tcW w:w="4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78"/>
        </w:trPr>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Arial" w:cs="Arial" w:eastAsia="Arial" w:hAnsi="Arial"/>
                <w:sz w:val="20"/>
                <w:szCs w:val="20"/>
                <w:color w:val="auto"/>
                <w:w w:val="88"/>
              </w:rPr>
              <w:t>Contract Balances</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4"/>
        </w:trPr>
        <w:tc>
          <w:tcPr>
            <w:tcW w:w="4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ind w:left="60"/>
              <w:spacing w:after="0" w:line="225" w:lineRule="exact"/>
              <w:rPr>
                <w:sz w:val="20"/>
                <w:szCs w:val="20"/>
                <w:color w:val="auto"/>
              </w:rPr>
            </w:pPr>
            <w:r>
              <w:rPr>
                <w:rFonts w:ascii="Arial" w:cs="Arial" w:eastAsia="Arial" w:hAnsi="Arial"/>
                <w:sz w:val="20"/>
                <w:szCs w:val="20"/>
                <w:color w:val="auto"/>
              </w:rPr>
              <w:t>Contract</w:t>
            </w:r>
          </w:p>
        </w:tc>
      </w:tr>
      <w:tr>
        <w:trPr>
          <w:trHeight w:val="255"/>
        </w:trPr>
        <w:tc>
          <w:tcPr>
            <w:tcW w:w="4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w w:val="92"/>
              </w:rPr>
              <w:t>Receivables(1)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gridSpan w:val="4"/>
          </w:tcPr>
          <w:p>
            <w:pPr>
              <w:jc w:val="right"/>
              <w:ind w:right="140"/>
              <w:spacing w:after="0"/>
              <w:rPr>
                <w:sz w:val="20"/>
                <w:szCs w:val="20"/>
                <w:color w:val="auto"/>
              </w:rPr>
            </w:pPr>
            <w:r>
              <w:rPr>
                <w:rFonts w:ascii="Arial" w:cs="Arial" w:eastAsia="Arial" w:hAnsi="Arial"/>
                <w:sz w:val="20"/>
                <w:szCs w:val="20"/>
                <w:color w:val="auto"/>
                <w:w w:val="96"/>
              </w:rPr>
              <w:t>Contract Asset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20"/>
                <w:szCs w:val="20"/>
                <w:color w:val="auto"/>
              </w:rPr>
              <w:t>Liability</w:t>
            </w:r>
          </w:p>
        </w:tc>
      </w:tr>
      <w:tr>
        <w:trPr>
          <w:trHeight w:val="255"/>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Opening (1/1/2020)</w:t>
            </w:r>
          </w:p>
        </w:tc>
        <w:tc>
          <w:tcPr>
            <w:tcW w:w="4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2,778,879</w:t>
            </w:r>
          </w:p>
        </w:tc>
        <w:tc>
          <w:tcPr>
            <w:tcW w:w="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gridSpan w:val="2"/>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20"/>
                <w:szCs w:val="20"/>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93"/>
              </w:rPr>
              <w:t>12,607,978</w:t>
            </w:r>
          </w:p>
        </w:tc>
      </w:tr>
      <w:tr>
        <w:trPr>
          <w:trHeight w:val="25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Closing (12/31/2020)</w:t>
            </w:r>
          </w:p>
        </w:tc>
        <w:tc>
          <w:tcPr>
            <w:tcW w:w="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4,119,988</w:t>
            </w: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93"/>
              </w:rPr>
              <w:t>13,080,179</w:t>
            </w: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Increase/(decrease)</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1,341,109</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472,201</w:t>
            </w:r>
          </w:p>
        </w:tc>
      </w:tr>
      <w:tr>
        <w:trPr>
          <w:trHeight w:val="20"/>
        </w:trPr>
        <w:tc>
          <w:tcPr>
            <w:tcW w:w="4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1"/>
        <w:spacing w:after="0"/>
        <w:rPr>
          <w:sz w:val="20"/>
          <w:szCs w:val="20"/>
          <w:color w:val="auto"/>
        </w:rPr>
      </w:pPr>
      <w:r>
        <w:rPr>
          <w:rFonts w:ascii="Arial" w:cs="Arial" w:eastAsia="Arial" w:hAnsi="Arial"/>
          <w:sz w:val="20"/>
          <w:szCs w:val="20"/>
          <w:color w:val="auto"/>
        </w:rPr>
        <w:t>(1) Included in Receivables, net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2255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ectPr>
          <w:pgSz w:w="11900" w:h="16838" w:orient="portrait"/>
          <w:cols w:equalWidth="0" w:num="1">
            <w:col w:w="9240"/>
          </w:cols>
          <w:pgMar w:left="1219" w:top="122" w:right="1440" w:bottom="1440" w:gutter="0" w:footer="0" w:header="0"/>
        </w:sectPr>
      </w:pPr>
    </w:p>
    <w:p>
      <w:pPr>
        <w:spacing w:after="0" w:line="243" w:lineRule="exact"/>
        <w:rPr>
          <w:sz w:val="20"/>
          <w:szCs w:val="20"/>
          <w:color w:val="auto"/>
        </w:rPr>
      </w:pPr>
    </w:p>
    <w:p>
      <w:pPr>
        <w:jc w:val="center"/>
        <w:ind w:right="158"/>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57607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22" w:right="1440" w:bottom="1440" w:gutter="0" w:footer="0" w:header="0"/>
          <w:type w:val="continuous"/>
        </w:sectPr>
      </w:pPr>
    </w:p>
    <w:bookmarkStart w:id="48" w:name="page49"/>
    <w:bookmarkEnd w:id="48"/>
    <w:p>
      <w:pPr>
        <w:jc w:val="center"/>
        <w:ind w:left="1220" w:right="1320"/>
        <w:spacing w:after="0" w:line="250" w:lineRule="auto"/>
        <w:rPr>
          <w:sz w:val="20"/>
          <w:szCs w:val="20"/>
          <w:color w:val="auto"/>
        </w:rPr>
      </w:pPr>
      <w:r>
        <w:rPr>
          <w:rFonts w:ascii="Arial" w:cs="Arial" w:eastAsia="Arial" w:hAnsi="Arial"/>
          <w:sz w:val="20"/>
          <w:szCs w:val="20"/>
          <w:color w:val="auto"/>
        </w:rPr>
        <w:t>SECURITY NATIONAL FINANCIAL CORPORATION AND SUBSIDIARIES Notes to Condensed Consolidated Financial Statements March 31, 2021 (Unaudited)</w:t>
      </w:r>
    </w:p>
    <w:p>
      <w:pPr>
        <w:spacing w:after="0" w:line="92" w:lineRule="exact"/>
        <w:rPr>
          <w:sz w:val="20"/>
          <w:szCs w:val="20"/>
          <w:color w:val="auto"/>
        </w:rPr>
      </w:pPr>
    </w:p>
    <w:p>
      <w:pPr>
        <w:ind w:left="321" w:hanging="321"/>
        <w:spacing w:after="0"/>
        <w:tabs>
          <w:tab w:leader="none" w:pos="321"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Revenues from Contracts with Customers</w:t>
      </w:r>
      <w:r>
        <w:rPr>
          <w:rFonts w:ascii="Arial" w:cs="Arial" w:eastAsia="Arial" w:hAnsi="Arial"/>
          <w:sz w:val="20"/>
          <w:szCs w:val="20"/>
          <w:color w:val="auto"/>
        </w:rPr>
        <w:t xml:space="preserve"> (Continued)</w:t>
      </w:r>
    </w:p>
    <w:p>
      <w:pPr>
        <w:spacing w:after="0" w:line="256" w:lineRule="exact"/>
        <w:rPr>
          <w:sz w:val="20"/>
          <w:szCs w:val="20"/>
          <w:color w:val="auto"/>
        </w:rPr>
      </w:pPr>
    </w:p>
    <w:p>
      <w:pPr>
        <w:ind w:left="1" w:right="179"/>
        <w:spacing w:after="0" w:line="260" w:lineRule="auto"/>
        <w:rPr>
          <w:sz w:val="20"/>
          <w:szCs w:val="20"/>
          <w:color w:val="auto"/>
        </w:rPr>
      </w:pPr>
      <w:r>
        <w:rPr>
          <w:rFonts w:ascii="Arial" w:cs="Arial" w:eastAsia="Arial" w:hAnsi="Arial"/>
          <w:sz w:val="20"/>
          <w:szCs w:val="20"/>
          <w:color w:val="auto"/>
        </w:rPr>
        <w:t>The amount of revenue recognized and included in the opening contract liability balance for the three months ended March 31, 2021 and 2020 was $1,135,001 and $950,772, respectively.</w:t>
      </w:r>
    </w:p>
    <w:p>
      <w:pPr>
        <w:spacing w:after="0" w:line="190" w:lineRule="exact"/>
        <w:rPr>
          <w:sz w:val="20"/>
          <w:szCs w:val="20"/>
          <w:color w:val="auto"/>
        </w:rPr>
      </w:pPr>
    </w:p>
    <w:p>
      <w:pPr>
        <w:ind w:left="1" w:right="159"/>
        <w:spacing w:after="0" w:line="385" w:lineRule="auto"/>
        <w:rPr>
          <w:sz w:val="20"/>
          <w:szCs w:val="20"/>
          <w:color w:val="auto"/>
        </w:rPr>
      </w:pPr>
      <w:r>
        <w:rPr>
          <w:rFonts w:ascii="Arial" w:cs="Arial" w:eastAsia="Arial" w:hAnsi="Arial"/>
          <w:sz w:val="16"/>
          <w:szCs w:val="16"/>
          <w:color w:val="auto"/>
        </w:rPr>
        <w:t>The difference between the opening and closing balances of the Company’s contract assets and contract liabilities primarily results from the timing difference between the Company’s performance and the customer’s payment.</w:t>
      </w:r>
    </w:p>
    <w:p>
      <w:pPr>
        <w:spacing w:after="0" w:line="92"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Disaggregation of Revenue</w:t>
      </w:r>
    </w:p>
    <w:p>
      <w:pPr>
        <w:spacing w:after="0" w:line="235" w:lineRule="exact"/>
        <w:rPr>
          <w:sz w:val="20"/>
          <w:szCs w:val="20"/>
          <w:color w:val="auto"/>
        </w:rPr>
      </w:pPr>
    </w:p>
    <w:p>
      <w:pPr>
        <w:ind w:left="1" w:right="179"/>
        <w:spacing w:after="0" w:line="260" w:lineRule="auto"/>
        <w:rPr>
          <w:sz w:val="20"/>
          <w:szCs w:val="20"/>
          <w:color w:val="auto"/>
        </w:rPr>
      </w:pPr>
      <w:r>
        <w:rPr>
          <w:rFonts w:ascii="Arial" w:cs="Arial" w:eastAsia="Arial" w:hAnsi="Arial"/>
          <w:sz w:val="20"/>
          <w:szCs w:val="20"/>
          <w:color w:val="auto"/>
        </w:rPr>
        <w:t>The following table disaggregates revenue for the Company’s cemetery and mortuary contracts for the periods presented:</w:t>
      </w:r>
    </w:p>
    <w:p>
      <w:pPr>
        <w:spacing w:after="0" w:line="203"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gridSpan w:val="4"/>
          </w:tcPr>
          <w:p>
            <w:pPr>
              <w:jc w:val="right"/>
              <w:ind w:right="901"/>
              <w:spacing w:after="0"/>
              <w:rPr>
                <w:sz w:val="20"/>
                <w:szCs w:val="20"/>
                <w:color w:val="auto"/>
              </w:rPr>
            </w:pPr>
            <w:r>
              <w:rPr>
                <w:rFonts w:ascii="Arial" w:cs="Arial" w:eastAsia="Arial" w:hAnsi="Arial"/>
                <w:sz w:val="20"/>
                <w:szCs w:val="20"/>
                <w:color w:val="auto"/>
              </w:rPr>
              <w:t>Three Months Ended</w:t>
            </w:r>
          </w:p>
        </w:tc>
      </w:tr>
      <w:tr>
        <w:trPr>
          <w:trHeight w:val="255"/>
        </w:trPr>
        <w:tc>
          <w:tcPr>
            <w:tcW w:w="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20"/>
                <w:szCs w:val="20"/>
                <w:color w:val="auto"/>
              </w:rPr>
              <w:t>March 31</w:t>
            </w:r>
          </w:p>
        </w:tc>
        <w:tc>
          <w:tcPr>
            <w:tcW w:w="1240" w:type="dxa"/>
            <w:vAlign w:val="bottom"/>
            <w:tcBorders>
              <w:bottom w:val="single" w:sz="8" w:color="auto"/>
            </w:tcBorders>
          </w:tcPr>
          <w:p>
            <w:pPr>
              <w:spacing w:after="0"/>
              <w:rPr>
                <w:sz w:val="22"/>
                <w:szCs w:val="22"/>
                <w:color w:val="auto"/>
              </w:rPr>
            </w:pPr>
          </w:p>
        </w:tc>
      </w:tr>
      <w:tr>
        <w:trPr>
          <w:trHeight w:val="252"/>
        </w:trPr>
        <w:tc>
          <w:tcPr>
            <w:tcW w:w="20" w:type="dxa"/>
            <w:vAlign w:val="bottom"/>
            <w:tcBorders>
              <w:bottom w:val="single" w:sz="8" w:color="CCEEFF"/>
            </w:tcBorders>
          </w:tcPr>
          <w:p>
            <w:pPr>
              <w:spacing w:after="0"/>
              <w:rPr>
                <w:sz w:val="21"/>
                <w:szCs w:val="21"/>
                <w:color w:val="auto"/>
              </w:rPr>
            </w:pPr>
          </w:p>
        </w:tc>
        <w:tc>
          <w:tcPr>
            <w:tcW w:w="214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28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2021</w:t>
            </w:r>
          </w:p>
        </w:tc>
        <w:tc>
          <w:tcPr>
            <w:tcW w:w="2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2020</w:t>
            </w:r>
          </w:p>
        </w:tc>
      </w:tr>
      <w:tr>
        <w:trPr>
          <w:trHeight w:val="226"/>
        </w:trPr>
        <w:tc>
          <w:tcPr>
            <w:tcW w:w="5480" w:type="dxa"/>
            <w:vAlign w:val="bottom"/>
            <w:gridSpan w:val="4"/>
            <w:shd w:val="clear" w:color="auto" w:fill="CCEEFF"/>
          </w:tcPr>
          <w:p>
            <w:pPr>
              <w:ind w:left="20"/>
              <w:spacing w:after="0" w:line="226" w:lineRule="exact"/>
              <w:rPr>
                <w:sz w:val="20"/>
                <w:szCs w:val="20"/>
                <w:color w:val="auto"/>
              </w:rPr>
            </w:pPr>
            <w:r>
              <w:rPr>
                <w:rFonts w:ascii="Arial" w:cs="Arial" w:eastAsia="Arial" w:hAnsi="Arial"/>
                <w:sz w:val="20"/>
                <w:szCs w:val="20"/>
                <w:b w:val="1"/>
                <w:bCs w:val="1"/>
                <w:color w:val="auto"/>
              </w:rPr>
              <w:t>Major goods/service lines</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7"/>
        </w:trPr>
        <w:tc>
          <w:tcPr>
            <w:tcW w:w="20" w:type="dxa"/>
            <w:vAlign w:val="bottom"/>
            <w:shd w:val="clear" w:color="auto" w:fill="CCEEFF"/>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r>
        <w:trPr>
          <w:trHeight w:val="253"/>
        </w:trPr>
        <w:tc>
          <w:tcPr>
            <w:tcW w:w="5480" w:type="dxa"/>
            <w:vAlign w:val="bottom"/>
            <w:gridSpan w:val="4"/>
          </w:tcPr>
          <w:p>
            <w:pPr>
              <w:ind w:left="20"/>
              <w:spacing w:after="0"/>
              <w:rPr>
                <w:sz w:val="20"/>
                <w:szCs w:val="20"/>
                <w:color w:val="auto"/>
              </w:rPr>
            </w:pPr>
            <w:r>
              <w:rPr>
                <w:rFonts w:ascii="Arial" w:cs="Arial" w:eastAsia="Arial" w:hAnsi="Arial"/>
                <w:sz w:val="20"/>
                <w:szCs w:val="20"/>
                <w:color w:val="auto"/>
              </w:rPr>
              <w:t>At-need</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4,042,020</w:t>
            </w:r>
          </w:p>
        </w:tc>
        <w:tc>
          <w:tcPr>
            <w:tcW w:w="200" w:type="dxa"/>
            <w:vAlign w:val="bottom"/>
          </w:tcPr>
          <w:p>
            <w:pPr>
              <w:spacing w:after="0"/>
              <w:rPr>
                <w:sz w:val="22"/>
                <w:szCs w:val="22"/>
                <w:color w:val="auto"/>
              </w:rPr>
            </w:pP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3,385,191</w:t>
            </w:r>
          </w:p>
        </w:tc>
      </w:tr>
      <w:tr>
        <w:trPr>
          <w:trHeight w:val="257"/>
        </w:trPr>
        <w:tc>
          <w:tcPr>
            <w:tcW w:w="5480" w:type="dxa"/>
            <w:vAlign w:val="bottom"/>
            <w:gridSpan w:val="4"/>
            <w:shd w:val="clear" w:color="auto" w:fill="CCEEFF"/>
          </w:tcPr>
          <w:p>
            <w:pPr>
              <w:ind w:left="20"/>
              <w:spacing w:after="0"/>
              <w:rPr>
                <w:sz w:val="20"/>
                <w:szCs w:val="20"/>
                <w:color w:val="auto"/>
              </w:rPr>
            </w:pPr>
            <w:r>
              <w:rPr>
                <w:rFonts w:ascii="Arial" w:cs="Arial" w:eastAsia="Arial" w:hAnsi="Arial"/>
                <w:sz w:val="20"/>
                <w:szCs w:val="20"/>
                <w:color w:val="auto"/>
              </w:rPr>
              <w:t>Pre-need</w:t>
            </w:r>
          </w:p>
        </w:tc>
        <w:tc>
          <w:tcPr>
            <w:tcW w:w="4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1,900,106</w:t>
            </w:r>
          </w:p>
        </w:tc>
        <w:tc>
          <w:tcPr>
            <w:tcW w:w="2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1,072,900</w:t>
            </w:r>
          </w:p>
        </w:tc>
      </w:tr>
      <w:tr>
        <w:trPr>
          <w:trHeight w:val="290"/>
        </w:trPr>
        <w:tc>
          <w:tcPr>
            <w:tcW w:w="20" w:type="dxa"/>
            <w:vAlign w:val="bottom"/>
            <w:tcBorders>
              <w:bottom w:val="single" w:sz="8" w:color="CCEEFF"/>
            </w:tcBorders>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8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5,942,126</w:t>
            </w:r>
          </w:p>
        </w:tc>
        <w:tc>
          <w:tcPr>
            <w:tcW w:w="2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4,458,091</w:t>
            </w:r>
          </w:p>
        </w:tc>
      </w:tr>
      <w:tr>
        <w:trPr>
          <w:trHeight w:val="240"/>
        </w:trPr>
        <w:tc>
          <w:tcPr>
            <w:tcW w:w="2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5480" w:type="dxa"/>
            <w:vAlign w:val="bottom"/>
            <w:gridSpan w:val="4"/>
          </w:tcPr>
          <w:p>
            <w:pPr>
              <w:ind w:left="20"/>
              <w:spacing w:after="0"/>
              <w:rPr>
                <w:sz w:val="20"/>
                <w:szCs w:val="20"/>
                <w:color w:val="auto"/>
              </w:rPr>
            </w:pPr>
            <w:r>
              <w:rPr>
                <w:rFonts w:ascii="Arial" w:cs="Arial" w:eastAsia="Arial" w:hAnsi="Arial"/>
                <w:sz w:val="20"/>
                <w:szCs w:val="20"/>
                <w:b w:val="1"/>
                <w:bCs w:val="1"/>
                <w:color w:val="auto"/>
              </w:rPr>
              <w:t>Timing of Revenue Recognition</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5480" w:type="dxa"/>
            <w:vAlign w:val="bottom"/>
            <w:gridSpan w:val="4"/>
            <w:shd w:val="clear" w:color="auto" w:fill="CCEEFF"/>
          </w:tcPr>
          <w:p>
            <w:pPr>
              <w:ind w:left="20"/>
              <w:spacing w:after="0"/>
              <w:rPr>
                <w:sz w:val="20"/>
                <w:szCs w:val="20"/>
                <w:color w:val="auto"/>
              </w:rPr>
            </w:pPr>
            <w:r>
              <w:rPr>
                <w:rFonts w:ascii="Arial" w:cs="Arial" w:eastAsia="Arial" w:hAnsi="Arial"/>
                <w:sz w:val="20"/>
                <w:szCs w:val="20"/>
                <w:color w:val="auto"/>
              </w:rPr>
              <w:t>Goods transferred at a point in time</w:t>
            </w:r>
          </w:p>
        </w:tc>
        <w:tc>
          <w:tcPr>
            <w:tcW w:w="44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4,198,673</w:t>
            </w: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2,993,704</w:t>
            </w:r>
          </w:p>
        </w:tc>
      </w:tr>
      <w:tr>
        <w:trPr>
          <w:trHeight w:val="253"/>
        </w:trPr>
        <w:tc>
          <w:tcPr>
            <w:tcW w:w="5480" w:type="dxa"/>
            <w:vAlign w:val="bottom"/>
            <w:tcBorders>
              <w:bottom w:val="single" w:sz="8" w:color="CCEEFF"/>
            </w:tcBorders>
            <w:gridSpan w:val="4"/>
          </w:tcPr>
          <w:p>
            <w:pPr>
              <w:ind w:left="20"/>
              <w:spacing w:after="0"/>
              <w:rPr>
                <w:sz w:val="20"/>
                <w:szCs w:val="20"/>
                <w:color w:val="auto"/>
              </w:rPr>
            </w:pPr>
            <w:r>
              <w:rPr>
                <w:rFonts w:ascii="Arial" w:cs="Arial" w:eastAsia="Arial" w:hAnsi="Arial"/>
                <w:sz w:val="20"/>
                <w:szCs w:val="20"/>
                <w:color w:val="auto"/>
              </w:rPr>
              <w:t>Services transferred at a point in time</w:t>
            </w: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1,743,453</w:t>
            </w:r>
          </w:p>
        </w:tc>
        <w:tc>
          <w:tcPr>
            <w:tcW w:w="2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1,464,387</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5,942,126</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4,458,091</w:t>
            </w: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left="1" w:right="179"/>
        <w:spacing w:after="0" w:line="260" w:lineRule="auto"/>
        <w:rPr>
          <w:sz w:val="20"/>
          <w:szCs w:val="20"/>
          <w:color w:val="auto"/>
        </w:rPr>
      </w:pPr>
      <w:r>
        <w:rPr>
          <w:rFonts w:ascii="Arial" w:cs="Arial" w:eastAsia="Arial" w:hAnsi="Arial"/>
          <w:sz w:val="20"/>
          <w:szCs w:val="20"/>
          <w:color w:val="auto"/>
        </w:rPr>
        <w:t>The following table reconciles revenues from cemetery and mortuary contracts to Note 7 – Business Segment Information for the Cemetery/Mortuary Segment for the periods presented:</w:t>
      </w:r>
    </w:p>
    <w:p>
      <w:pPr>
        <w:spacing w:after="0" w:line="217" w:lineRule="exact"/>
        <w:rPr>
          <w:sz w:val="20"/>
          <w:szCs w:val="20"/>
          <w:color w:val="auto"/>
        </w:rPr>
      </w:pPr>
    </w:p>
    <w:p>
      <w:pPr>
        <w:ind w:left="6421"/>
        <w:spacing w:after="0"/>
        <w:rPr>
          <w:sz w:val="20"/>
          <w:szCs w:val="20"/>
          <w:color w:val="auto"/>
        </w:rPr>
      </w:pPr>
      <w:r>
        <w:rPr>
          <w:rFonts w:ascii="Arial" w:cs="Arial" w:eastAsia="Arial" w:hAnsi="Arial"/>
          <w:sz w:val="20"/>
          <w:szCs w:val="20"/>
          <w:color w:val="auto"/>
        </w:rPr>
        <w:t>Three Months Ended</w:t>
      </w:r>
    </w:p>
    <w:p>
      <w:pPr>
        <w:spacing w:after="0" w:line="16" w:lineRule="exact"/>
        <w:rPr>
          <w:sz w:val="20"/>
          <w:szCs w:val="20"/>
          <w:color w:val="auto"/>
        </w:rPr>
      </w:pPr>
    </w:p>
    <w:p>
      <w:pPr>
        <w:ind w:left="6901"/>
        <w:spacing w:after="0"/>
        <w:rPr>
          <w:sz w:val="20"/>
          <w:szCs w:val="20"/>
          <w:color w:val="auto"/>
        </w:rPr>
      </w:pPr>
      <w:r>
        <w:rPr>
          <w:rFonts w:ascii="Arial" w:cs="Arial" w:eastAsia="Arial" w:hAnsi="Arial"/>
          <w:sz w:val="20"/>
          <w:szCs w:val="20"/>
          <w:color w:val="auto"/>
        </w:rPr>
        <w:t>March 31</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256"/>
        </w:trPr>
        <w:tc>
          <w:tcPr>
            <w:tcW w:w="40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color w:val="auto"/>
              </w:rPr>
              <w:t>2021</w:t>
            </w:r>
          </w:p>
        </w:tc>
        <w:tc>
          <w:tcPr>
            <w:tcW w:w="8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color w:val="auto"/>
              </w:rPr>
              <w:t>2020</w:t>
            </w:r>
          </w:p>
        </w:tc>
        <w:tc>
          <w:tcPr>
            <w:tcW w:w="0" w:type="dxa"/>
            <w:vAlign w:val="bottom"/>
          </w:tcPr>
          <w:p>
            <w:pPr>
              <w:spacing w:after="0"/>
              <w:rPr>
                <w:sz w:val="1"/>
                <w:szCs w:val="1"/>
                <w:color w:val="auto"/>
              </w:rPr>
            </w:pPr>
          </w:p>
        </w:tc>
      </w:tr>
      <w:tr>
        <w:trPr>
          <w:trHeight w:val="253"/>
        </w:trPr>
        <w:tc>
          <w:tcPr>
            <w:tcW w:w="40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mortuary and cemetery sales</w:t>
            </w:r>
          </w:p>
        </w:tc>
        <w:tc>
          <w:tcPr>
            <w:tcW w:w="14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5,942,126</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4,458,091</w:t>
            </w:r>
          </w:p>
        </w:tc>
        <w:tc>
          <w:tcPr>
            <w:tcW w:w="0" w:type="dxa"/>
            <w:vAlign w:val="bottom"/>
          </w:tcPr>
          <w:p>
            <w:pPr>
              <w:spacing w:after="0"/>
              <w:rPr>
                <w:sz w:val="1"/>
                <w:szCs w:val="1"/>
                <w:color w:val="auto"/>
              </w:rPr>
            </w:pPr>
          </w:p>
        </w:tc>
      </w:tr>
      <w:tr>
        <w:trPr>
          <w:trHeight w:val="253"/>
        </w:trPr>
        <w:tc>
          <w:tcPr>
            <w:tcW w:w="4060" w:type="dxa"/>
            <w:vAlign w:val="bottom"/>
          </w:tcPr>
          <w:p>
            <w:pPr>
              <w:ind w:left="20"/>
              <w:spacing w:after="0"/>
              <w:rPr>
                <w:sz w:val="20"/>
                <w:szCs w:val="20"/>
                <w:color w:val="auto"/>
              </w:rPr>
            </w:pPr>
            <w:r>
              <w:rPr>
                <w:rFonts w:ascii="Arial" w:cs="Arial" w:eastAsia="Arial" w:hAnsi="Arial"/>
                <w:sz w:val="20"/>
                <w:szCs w:val="20"/>
                <w:color w:val="auto"/>
                <w:w w:val="95"/>
              </w:rPr>
              <w:t>Gains (losses) on investments and other assets</w:t>
            </w:r>
          </w:p>
        </w:tc>
        <w:tc>
          <w:tcPr>
            <w:tcW w:w="1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798,340</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20"/>
                <w:szCs w:val="20"/>
                <w:color w:val="auto"/>
              </w:rPr>
              <w:t>(660,123)</w:t>
            </w:r>
          </w:p>
        </w:tc>
        <w:tc>
          <w:tcPr>
            <w:tcW w:w="0" w:type="dxa"/>
            <w:vAlign w:val="bottom"/>
          </w:tcPr>
          <w:p>
            <w:pPr>
              <w:spacing w:after="0"/>
              <w:rPr>
                <w:sz w:val="1"/>
                <w:szCs w:val="1"/>
                <w:color w:val="auto"/>
              </w:rPr>
            </w:pPr>
          </w:p>
        </w:tc>
      </w:tr>
      <w:tr>
        <w:trPr>
          <w:trHeight w:val="260"/>
        </w:trPr>
        <w:tc>
          <w:tcPr>
            <w:tcW w:w="40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investment income</w:t>
            </w:r>
          </w:p>
        </w:tc>
        <w:tc>
          <w:tcPr>
            <w:tcW w:w="14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230,304</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204,846</w:t>
            </w:r>
          </w:p>
        </w:tc>
        <w:tc>
          <w:tcPr>
            <w:tcW w:w="0" w:type="dxa"/>
            <w:vAlign w:val="bottom"/>
          </w:tcPr>
          <w:p>
            <w:pPr>
              <w:spacing w:after="0"/>
              <w:rPr>
                <w:sz w:val="1"/>
                <w:szCs w:val="1"/>
                <w:color w:val="auto"/>
              </w:rPr>
            </w:pPr>
          </w:p>
        </w:tc>
      </w:tr>
      <w:tr>
        <w:trPr>
          <w:trHeight w:val="25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revenues</w:t>
            </w:r>
          </w:p>
        </w:tc>
        <w:tc>
          <w:tcPr>
            <w:tcW w:w="14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28,495</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10,882</w:t>
            </w:r>
          </w:p>
        </w:tc>
        <w:tc>
          <w:tcPr>
            <w:tcW w:w="0" w:type="dxa"/>
            <w:vAlign w:val="bottom"/>
          </w:tcPr>
          <w:p>
            <w:pPr>
              <w:spacing w:after="0"/>
              <w:rPr>
                <w:sz w:val="1"/>
                <w:szCs w:val="1"/>
                <w:color w:val="auto"/>
              </w:rPr>
            </w:pPr>
          </w:p>
        </w:tc>
      </w:tr>
      <w:tr>
        <w:trPr>
          <w:trHeight w:val="253"/>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Revenues from external customers</w:t>
            </w:r>
          </w:p>
        </w:tc>
        <w:tc>
          <w:tcPr>
            <w:tcW w:w="14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6,999,265</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4,013,696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20" w:type="dxa"/>
            <w:vAlign w:val="bottom"/>
            <w:vMerge w:val="restart"/>
          </w:tcPr>
          <w:p>
            <w:pPr>
              <w:jc w:val="right"/>
              <w:ind w:right="741"/>
              <w:spacing w:after="0"/>
              <w:rPr>
                <w:sz w:val="20"/>
                <w:szCs w:val="20"/>
                <w:color w:val="auto"/>
              </w:rPr>
            </w:pPr>
            <w:r>
              <w:rPr>
                <w:rFonts w:ascii="Arial" w:cs="Arial" w:eastAsia="Arial" w:hAnsi="Arial"/>
                <w:sz w:val="20"/>
                <w:szCs w:val="20"/>
                <w:color w:val="auto"/>
              </w:rPr>
              <w:t>49</w:t>
            </w: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0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060" w:type="dxa"/>
            <w:vAlign w:val="bottom"/>
            <w:tcBorders>
              <w:bottom w:val="single" w:sz="8" w:color="909090"/>
            </w:tcBorders>
          </w:tcPr>
          <w:p>
            <w:pPr>
              <w:spacing w:after="0"/>
              <w:rPr>
                <w:sz w:val="15"/>
                <w:szCs w:val="15"/>
                <w:color w:val="auto"/>
              </w:rPr>
            </w:pPr>
          </w:p>
        </w:tc>
        <w:tc>
          <w:tcPr>
            <w:tcW w:w="1420" w:type="dxa"/>
            <w:vAlign w:val="bottom"/>
            <w:tcBorders>
              <w:bottom w:val="single" w:sz="8" w:color="909090"/>
            </w:tcBorders>
          </w:tcPr>
          <w:p>
            <w:pPr>
              <w:spacing w:after="0"/>
              <w:rPr>
                <w:sz w:val="15"/>
                <w:szCs w:val="15"/>
                <w:color w:val="auto"/>
              </w:rPr>
            </w:pPr>
          </w:p>
        </w:tc>
        <w:tc>
          <w:tcPr>
            <w:tcW w:w="460" w:type="dxa"/>
            <w:vAlign w:val="bottom"/>
            <w:tcBorders>
              <w:bottom w:val="single" w:sz="8" w:color="909090"/>
            </w:tcBorders>
          </w:tcPr>
          <w:p>
            <w:pPr>
              <w:spacing w:after="0"/>
              <w:rPr>
                <w:sz w:val="15"/>
                <w:szCs w:val="15"/>
                <w:color w:val="auto"/>
              </w:rPr>
            </w:pPr>
          </w:p>
        </w:tc>
        <w:tc>
          <w:tcPr>
            <w:tcW w:w="1300" w:type="dxa"/>
            <w:vAlign w:val="bottom"/>
            <w:tcBorders>
              <w:bottom w:val="single" w:sz="8" w:color="909090"/>
            </w:tcBorders>
          </w:tcPr>
          <w:p>
            <w:pPr>
              <w:spacing w:after="0"/>
              <w:rPr>
                <w:sz w:val="15"/>
                <w:szCs w:val="15"/>
                <w:color w:val="auto"/>
              </w:rPr>
            </w:pPr>
          </w:p>
        </w:tc>
        <w:tc>
          <w:tcPr>
            <w:tcW w:w="80" w:type="dxa"/>
            <w:vAlign w:val="bottom"/>
            <w:tcBorders>
              <w:bottom w:val="single" w:sz="8" w:color="909090"/>
            </w:tcBorders>
          </w:tcPr>
          <w:p>
            <w:pPr>
              <w:spacing w:after="0"/>
              <w:rPr>
                <w:sz w:val="15"/>
                <w:szCs w:val="15"/>
                <w:color w:val="auto"/>
              </w:rPr>
            </w:pPr>
          </w:p>
        </w:tc>
        <w:tc>
          <w:tcPr>
            <w:tcW w:w="460" w:type="dxa"/>
            <w:vAlign w:val="bottom"/>
            <w:tcBorders>
              <w:bottom w:val="single" w:sz="8" w:color="909090"/>
            </w:tcBorders>
          </w:tcPr>
          <w:p>
            <w:pPr>
              <w:spacing w:after="0"/>
              <w:rPr>
                <w:sz w:val="15"/>
                <w:szCs w:val="15"/>
                <w:color w:val="auto"/>
              </w:rPr>
            </w:pPr>
          </w:p>
        </w:tc>
        <w:tc>
          <w:tcPr>
            <w:tcW w:w="1300" w:type="dxa"/>
            <w:vAlign w:val="bottom"/>
            <w:tcBorders>
              <w:bottom w:val="single" w:sz="8" w:color="90909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9240"/>
          </w:cols>
          <w:pgMar w:left="1219" w:top="122" w:right="1440" w:bottom="1440" w:gutter="0" w:footer="0" w:header="0"/>
        </w:sectPr>
      </w:pPr>
    </w:p>
    <w:bookmarkStart w:id="49" w:name="page50"/>
    <w:bookmarkEnd w:id="49"/>
    <w:p>
      <w:pPr>
        <w:ind w:left="1"/>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24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Overview</w:t>
      </w:r>
    </w:p>
    <w:p>
      <w:pPr>
        <w:spacing w:after="0" w:line="235" w:lineRule="exact"/>
        <w:rPr>
          <w:sz w:val="20"/>
          <w:szCs w:val="20"/>
          <w:color w:val="auto"/>
        </w:rPr>
      </w:pPr>
    </w:p>
    <w:p>
      <w:pPr>
        <w:jc w:val="both"/>
        <w:ind w:left="1" w:right="159"/>
        <w:spacing w:after="0" w:line="272" w:lineRule="auto"/>
        <w:rPr>
          <w:sz w:val="20"/>
          <w:szCs w:val="20"/>
          <w:color w:val="auto"/>
        </w:rPr>
      </w:pPr>
      <w:r>
        <w:rPr>
          <w:rFonts w:ascii="Arial" w:cs="Arial" w:eastAsia="Arial" w:hAnsi="Arial"/>
          <w:sz w:val="18"/>
          <w:szCs w:val="18"/>
          <w:color w:val="auto"/>
        </w:rPr>
        <w:t>The Company’s operations over the last several years generally reflect three trends or events which the Company expects to continue to focus on: (i) increased attention to “niche” insurance products, such as the Company’s funeral plan policies and traditional whole life products; (ii) emphasis on cemetery and mortuary business; and</w:t>
      </w:r>
    </w:p>
    <w:p>
      <w:pPr>
        <w:spacing w:after="0" w:line="1" w:lineRule="exact"/>
        <w:rPr>
          <w:sz w:val="20"/>
          <w:szCs w:val="20"/>
          <w:color w:val="auto"/>
        </w:rPr>
      </w:pPr>
    </w:p>
    <w:p>
      <w:pPr>
        <w:ind w:left="1" w:right="179" w:hanging="1"/>
        <w:spacing w:after="0" w:line="269" w:lineRule="auto"/>
        <w:tabs>
          <w:tab w:leader="none" w:pos="364" w:val="left"/>
        </w:tabs>
        <w:numPr>
          <w:ilvl w:val="0"/>
          <w:numId w:val="61"/>
        </w:numPr>
        <w:rPr>
          <w:rFonts w:ascii="Arial" w:cs="Arial" w:eastAsia="Arial" w:hAnsi="Arial"/>
          <w:sz w:val="19"/>
          <w:szCs w:val="19"/>
          <w:color w:val="auto"/>
        </w:rPr>
      </w:pPr>
      <w:r>
        <w:rPr>
          <w:rFonts w:ascii="Arial" w:cs="Arial" w:eastAsia="Arial" w:hAnsi="Arial"/>
          <w:sz w:val="19"/>
          <w:szCs w:val="19"/>
          <w:color w:val="auto"/>
        </w:rPr>
        <w:t>capitalizing on an improving housing market by originating mortgage loans. The Company has adjusted its strategy to respond to the changing economic circumstances resulting from the COVID-19 pandemic.</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Insurance Operations</w:t>
      </w:r>
    </w:p>
    <w:p>
      <w:pPr>
        <w:spacing w:after="0" w:line="235" w:lineRule="exact"/>
        <w:rPr>
          <w:sz w:val="20"/>
          <w:szCs w:val="20"/>
          <w:color w:val="auto"/>
        </w:rPr>
      </w:pPr>
    </w:p>
    <w:p>
      <w:pPr>
        <w:jc w:val="both"/>
        <w:ind w:left="1" w:right="179"/>
        <w:spacing w:after="0" w:line="250" w:lineRule="auto"/>
        <w:rPr>
          <w:sz w:val="20"/>
          <w:szCs w:val="20"/>
          <w:color w:val="auto"/>
        </w:rPr>
      </w:pPr>
      <w:r>
        <w:rPr>
          <w:rFonts w:ascii="Arial" w:cs="Arial" w:eastAsia="Arial" w:hAnsi="Arial"/>
          <w:sz w:val="20"/>
          <w:szCs w:val="20"/>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99" w:lineRule="exact"/>
        <w:rPr>
          <w:sz w:val="20"/>
          <w:szCs w:val="20"/>
          <w:color w:val="auto"/>
        </w:rPr>
      </w:pPr>
    </w:p>
    <w:p>
      <w:pPr>
        <w:jc w:val="both"/>
        <w:ind w:left="1" w:right="179"/>
        <w:spacing w:after="0" w:line="257" w:lineRule="auto"/>
        <w:rPr>
          <w:sz w:val="20"/>
          <w:szCs w:val="20"/>
          <w:color w:val="auto"/>
        </w:rPr>
      </w:pPr>
      <w:r>
        <w:rPr>
          <w:rFonts w:ascii="Arial" w:cs="Arial" w:eastAsia="Arial" w:hAnsi="Arial"/>
          <w:sz w:val="19"/>
          <w:szCs w:val="19"/>
          <w:color w:val="auto"/>
        </w:rPr>
        <w:t>A funeral plan is a small face value life insurance policy that generally has face coverage of up to $25,000.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98" w:lineRule="exact"/>
        <w:rPr>
          <w:sz w:val="20"/>
          <w:szCs w:val="20"/>
          <w:color w:val="auto"/>
        </w:rPr>
      </w:pPr>
    </w:p>
    <w:p>
      <w:pPr>
        <w:jc w:val="both"/>
        <w:ind w:left="1" w:right="179"/>
        <w:spacing w:after="0" w:line="260" w:lineRule="auto"/>
        <w:rPr>
          <w:sz w:val="20"/>
          <w:szCs w:val="20"/>
          <w:color w:val="auto"/>
        </w:rPr>
      </w:pPr>
      <w:r>
        <w:rPr>
          <w:rFonts w:ascii="Arial" w:cs="Arial" w:eastAsia="Arial" w:hAnsi="Arial"/>
          <w:sz w:val="20"/>
          <w:szCs w:val="20"/>
          <w:color w:val="auto"/>
        </w:rPr>
        <w:t>In response to the COVID-19 pandemic, the life insurance sales force has transitioned to virtual and tele sales processes and transitioned approximately 95% of office staff to work remotely.</w:t>
      </w:r>
    </w:p>
    <w:p>
      <w:pPr>
        <w:spacing w:after="0" w:line="190" w:lineRule="exact"/>
        <w:rPr>
          <w:sz w:val="20"/>
          <w:szCs w:val="20"/>
          <w:color w:val="auto"/>
        </w:rPr>
      </w:pPr>
    </w:p>
    <w:p>
      <w:pPr>
        <w:jc w:val="both"/>
        <w:ind w:left="1" w:right="179"/>
        <w:spacing w:after="0" w:line="287" w:lineRule="auto"/>
        <w:rPr>
          <w:sz w:val="20"/>
          <w:szCs w:val="20"/>
          <w:color w:val="auto"/>
        </w:rPr>
      </w:pPr>
      <w:r>
        <w:rPr>
          <w:rFonts w:ascii="Arial" w:cs="Arial" w:eastAsia="Arial" w:hAnsi="Arial"/>
          <w:sz w:val="19"/>
          <w:szCs w:val="19"/>
          <w:color w:val="auto"/>
        </w:rPr>
        <w:t>The following table shows the condensed financial results of the insurance operations for three months ended March 31, 2021 and 2020. See Note 7 to the condensed consolidated financial statements.</w:t>
      </w:r>
    </w:p>
    <w:p>
      <w:pPr>
        <w:spacing w:after="0" w:line="182"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gridSpan w:val="6"/>
          </w:tcPr>
          <w:p>
            <w:pPr>
              <w:jc w:val="center"/>
              <w:spacing w:after="0"/>
              <w:rPr>
                <w:sz w:val="20"/>
                <w:szCs w:val="20"/>
                <w:color w:val="auto"/>
              </w:rPr>
            </w:pPr>
            <w:r>
              <w:rPr>
                <w:rFonts w:ascii="Arial" w:cs="Arial" w:eastAsia="Arial" w:hAnsi="Arial"/>
                <w:sz w:val="18"/>
                <w:szCs w:val="18"/>
                <w:color w:val="auto"/>
                <w:w w:val="89"/>
              </w:rPr>
              <w:t>Three months ended March 31</w:t>
            </w:r>
          </w:p>
        </w:tc>
        <w:tc>
          <w:tcPr>
            <w:tcW w:w="1020" w:type="dxa"/>
            <w:vAlign w:val="bottom"/>
          </w:tcPr>
          <w:p>
            <w:pPr>
              <w:spacing w:after="0"/>
              <w:rPr>
                <w:sz w:val="18"/>
                <w:szCs w:val="18"/>
                <w:color w:val="auto"/>
              </w:rPr>
            </w:pPr>
          </w:p>
        </w:tc>
      </w:tr>
      <w:tr>
        <w:trPr>
          <w:trHeight w:val="237"/>
        </w:trPr>
        <w:tc>
          <w:tcPr>
            <w:tcW w:w="47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1"/>
              </w:rPr>
              <w:t>(in thousands of dollars)</w:t>
            </w:r>
          </w:p>
        </w:tc>
        <w:tc>
          <w:tcPr>
            <w:tcW w:w="1020" w:type="dxa"/>
            <w:vAlign w:val="bottom"/>
            <w:tcBorders>
              <w:bottom w:val="single" w:sz="8" w:color="auto"/>
            </w:tcBorders>
          </w:tcPr>
          <w:p>
            <w:pPr>
              <w:spacing w:after="0"/>
              <w:rPr>
                <w:sz w:val="20"/>
                <w:szCs w:val="20"/>
                <w:color w:val="auto"/>
              </w:rPr>
            </w:pPr>
          </w:p>
        </w:tc>
      </w:tr>
      <w:tr>
        <w:trPr>
          <w:trHeight w:val="215"/>
        </w:trPr>
        <w:tc>
          <w:tcPr>
            <w:tcW w:w="4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w w:val="88"/>
              </w:rPr>
              <w:t>% Increase</w:t>
            </w:r>
          </w:p>
        </w:tc>
      </w:tr>
      <w:tr>
        <w:trPr>
          <w:trHeight w:val="237"/>
        </w:trPr>
        <w:tc>
          <w:tcPr>
            <w:tcW w:w="47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7"/>
              </w:rPr>
              <w:t>(Decrease)</w:t>
            </w: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10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Insurance premiums</w:t>
            </w:r>
          </w:p>
        </w:tc>
        <w:tc>
          <w:tcPr>
            <w:tcW w:w="10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23,350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22,291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9"/>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income</w:t>
            </w:r>
          </w:p>
        </w:tc>
        <w:tc>
          <w:tcPr>
            <w:tcW w:w="10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13,939</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Gains (losses) on investments and other assets</w:t>
            </w:r>
          </w:p>
        </w:tc>
        <w:tc>
          <w:tcPr>
            <w:tcW w:w="10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1,162</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49"/>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4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38,944</w:t>
            </w:r>
          </w:p>
        </w:tc>
        <w:tc>
          <w:tcPr>
            <w:tcW w:w="8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33,205</w:t>
            </w:r>
          </w:p>
        </w:tc>
        <w:tc>
          <w:tcPr>
            <w:tcW w:w="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revenue</w:t>
            </w:r>
          </w:p>
        </w:tc>
        <w:tc>
          <w:tcPr>
            <w:tcW w:w="10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4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4"/>
        </w:trPr>
        <w:tc>
          <w:tcPr>
            <w:tcW w:w="478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0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0"/>
        </w:trPr>
        <w:tc>
          <w:tcPr>
            <w:tcW w:w="4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left="1" w:right="159"/>
        <w:spacing w:after="0" w:line="255" w:lineRule="auto"/>
        <w:rPr>
          <w:sz w:val="20"/>
          <w:szCs w:val="20"/>
          <w:color w:val="auto"/>
        </w:rPr>
      </w:pPr>
      <w:r>
        <w:rPr>
          <w:rFonts w:ascii="Arial" w:cs="Arial" w:eastAsia="Arial" w:hAnsi="Arial"/>
          <w:sz w:val="19"/>
          <w:szCs w:val="19"/>
          <w:color w:val="auto"/>
        </w:rPr>
        <w:t>Intersegment revenues are primarily interest income from the warehouse line for loans held for sale provided to SecurityNational Mortgage Company (“SecurityNational Mortgage”). Profitability for the three months ended March 31, 2021 has increased due to a $3,707,000 increase in gains on investments and other assets primarily due to an increase in the fair value of equity securities, a $2,783,000 decrease in future policy benefits, a $1,059,000 increase in insurance premiums and other considerations, a $994,000 increase in intersegment revenue, a $980,000 decrease in selling, general and administrative expenses, a $887,000 increase in net investment income, a $253,000 decrease in interest expense, an $85,000 increase in other revenues, and a $59,000 decrease in intersegment interest expense and other expenses. This increase was partially offset by a $4,912,000 increase in death, surrenders and other policy benefits and a $131,000 increase in amortization of deferred policy acquisition costs primarily due to an increase in the average outstanding balance of deferred policy and pre-need acquisition costs.</w:t>
      </w:r>
    </w:p>
    <w:p>
      <w:pPr>
        <w:spacing w:after="0" w:line="227" w:lineRule="exact"/>
        <w:rPr>
          <w:sz w:val="20"/>
          <w:szCs w:val="20"/>
          <w:color w:val="auto"/>
        </w:rPr>
      </w:pPr>
    </w:p>
    <w:p>
      <w:pPr>
        <w:jc w:val="center"/>
        <w:ind w:right="158"/>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57607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40"/>
          </w:cols>
          <w:pgMar w:left="1219" w:top="118" w:right="1440"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Cemetery and Mortuary Operations</w:t>
      </w:r>
    </w:p>
    <w:p>
      <w:pPr>
        <w:spacing w:after="0" w:line="234" w:lineRule="exact"/>
        <w:rPr>
          <w:sz w:val="20"/>
          <w:szCs w:val="20"/>
          <w:color w:val="auto"/>
        </w:rPr>
      </w:pPr>
    </w:p>
    <w:p>
      <w:pPr>
        <w:jc w:val="both"/>
        <w:ind w:right="179"/>
        <w:spacing w:after="0" w:line="243" w:lineRule="auto"/>
        <w:rPr>
          <w:sz w:val="20"/>
          <w:szCs w:val="20"/>
          <w:color w:val="auto"/>
        </w:rPr>
      </w:pPr>
      <w:r>
        <w:rPr>
          <w:rFonts w:ascii="Arial" w:cs="Arial" w:eastAsia="Arial" w:hAnsi="Arial"/>
          <w:sz w:val="20"/>
          <w:szCs w:val="20"/>
          <w:color w:val="auto"/>
        </w:rPr>
        <w:t>The Company sells mortuary services and products through its eight mortuaries in Utah. The Company also sells cemetery products and services through its five cemeteries in Utah and one cemetery in San Diego County, California.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209" w:lineRule="exact"/>
        <w:rPr>
          <w:sz w:val="20"/>
          <w:szCs w:val="20"/>
          <w:color w:val="auto"/>
        </w:rPr>
      </w:pPr>
    </w:p>
    <w:p>
      <w:pPr>
        <w:jc w:val="both"/>
        <w:ind w:right="179"/>
        <w:spacing w:after="0" w:line="250" w:lineRule="auto"/>
        <w:rPr>
          <w:sz w:val="20"/>
          <w:szCs w:val="20"/>
          <w:color w:val="auto"/>
        </w:rPr>
      </w:pPr>
      <w:r>
        <w:rPr>
          <w:rFonts w:ascii="Arial" w:cs="Arial" w:eastAsia="Arial" w:hAnsi="Arial"/>
          <w:sz w:val="20"/>
          <w:szCs w:val="20"/>
          <w:color w:val="auto"/>
        </w:rPr>
        <w:t>As a result of the COVID-19 pandemic, the Company has seen a decrease in its average case size as funeral services have been limited. The Company has transitioned its pre-need sales force to virtual selling and has done in home sales as local regulations permit.</w:t>
      </w:r>
    </w:p>
    <w:p>
      <w:pPr>
        <w:spacing w:after="0" w:line="199" w:lineRule="exact"/>
        <w:rPr>
          <w:sz w:val="20"/>
          <w:szCs w:val="20"/>
          <w:color w:val="auto"/>
        </w:rPr>
      </w:pPr>
    </w:p>
    <w:p>
      <w:pPr>
        <w:jc w:val="both"/>
        <w:ind w:right="179"/>
        <w:spacing w:after="0" w:line="316" w:lineRule="auto"/>
        <w:rPr>
          <w:sz w:val="20"/>
          <w:szCs w:val="20"/>
          <w:color w:val="auto"/>
        </w:rPr>
      </w:pPr>
      <w:r>
        <w:rPr>
          <w:rFonts w:ascii="Arial" w:cs="Arial" w:eastAsia="Arial" w:hAnsi="Arial"/>
          <w:sz w:val="18"/>
          <w:szCs w:val="18"/>
          <w:color w:val="auto"/>
        </w:rPr>
        <w:t>The following table shows the condensed financial results of the cemetery and mortuary operations for the three months ended March 31, 2021 and 2020. See Note 7 to the condensed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gridSpan w:val="7"/>
          </w:tcPr>
          <w:p>
            <w:pPr>
              <w:jc w:val="center"/>
              <w:ind w:right="770"/>
              <w:spacing w:after="0"/>
              <w:rPr>
                <w:sz w:val="20"/>
                <w:szCs w:val="20"/>
                <w:color w:val="auto"/>
              </w:rPr>
            </w:pPr>
            <w:r>
              <w:rPr>
                <w:rFonts w:ascii="Arial" w:cs="Arial" w:eastAsia="Arial" w:hAnsi="Arial"/>
                <w:sz w:val="18"/>
                <w:szCs w:val="18"/>
                <w:color w:val="auto"/>
                <w:w w:val="90"/>
              </w:rPr>
              <w:t>Three months ended March 31</w:t>
            </w:r>
          </w:p>
        </w:tc>
      </w:tr>
      <w:tr>
        <w:trPr>
          <w:trHeight w:val="237"/>
        </w:trPr>
        <w:tc>
          <w:tcPr>
            <w:tcW w:w="50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center"/>
              <w:ind w:left="150"/>
              <w:spacing w:after="0"/>
              <w:rPr>
                <w:sz w:val="20"/>
                <w:szCs w:val="20"/>
                <w:color w:val="auto"/>
              </w:rPr>
            </w:pPr>
            <w:r>
              <w:rPr>
                <w:rFonts w:ascii="Arial" w:cs="Arial" w:eastAsia="Arial" w:hAnsi="Arial"/>
                <w:sz w:val="18"/>
                <w:szCs w:val="18"/>
                <w:color w:val="auto"/>
                <w:w w:val="90"/>
              </w:rPr>
              <w:t>(in thousands of dollars)</w:t>
            </w:r>
          </w:p>
        </w:tc>
        <w:tc>
          <w:tcPr>
            <w:tcW w:w="1100" w:type="dxa"/>
            <w:vAlign w:val="bottom"/>
            <w:tcBorders>
              <w:bottom w:val="single" w:sz="8" w:color="auto"/>
            </w:tcBorders>
          </w:tcPr>
          <w:p>
            <w:pPr>
              <w:spacing w:after="0"/>
              <w:rPr>
                <w:sz w:val="20"/>
                <w:szCs w:val="20"/>
                <w:color w:val="auto"/>
              </w:rPr>
            </w:pPr>
          </w:p>
        </w:tc>
      </w:tr>
      <w:tr>
        <w:trPr>
          <w:trHeight w:val="215"/>
        </w:trPr>
        <w:tc>
          <w:tcPr>
            <w:tcW w:w="5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w w:val="93"/>
              </w:rPr>
              <w:t>% Increase</w:t>
            </w:r>
          </w:p>
        </w:tc>
      </w:tr>
      <w:tr>
        <w:trPr>
          <w:trHeight w:val="237"/>
        </w:trPr>
        <w:tc>
          <w:tcPr>
            <w:tcW w:w="50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2020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(Decrease)</w:t>
            </w: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8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7"/>
        </w:trPr>
        <w:tc>
          <w:tcPr>
            <w:tcW w:w="5040" w:type="dxa"/>
            <w:vAlign w:val="bottom"/>
          </w:tcPr>
          <w:p>
            <w:pPr>
              <w:ind w:left="200"/>
              <w:spacing w:after="0"/>
              <w:rPr>
                <w:sz w:val="20"/>
                <w:szCs w:val="20"/>
                <w:color w:val="auto"/>
              </w:rPr>
            </w:pPr>
            <w:r>
              <w:rPr>
                <w:rFonts w:ascii="Arial" w:cs="Arial" w:eastAsia="Arial" w:hAnsi="Arial"/>
                <w:sz w:val="18"/>
                <w:szCs w:val="18"/>
                <w:color w:val="auto"/>
              </w:rPr>
              <w:t>Mortuary revenues</w:t>
            </w:r>
          </w:p>
        </w:tc>
        <w:tc>
          <w:tcPr>
            <w:tcW w:w="8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2,020</w:t>
            </w:r>
          </w:p>
        </w:tc>
        <w:tc>
          <w:tcPr>
            <w:tcW w:w="80" w:type="dxa"/>
            <w:vAlign w:val="bottom"/>
          </w:tcPr>
          <w:p>
            <w:pPr>
              <w:spacing w:after="0"/>
              <w:rPr>
                <w:sz w:val="20"/>
                <w:szCs w:val="20"/>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9"/>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Cemetery revenues</w:t>
            </w:r>
          </w:p>
        </w:tc>
        <w:tc>
          <w:tcPr>
            <w:tcW w:w="8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3,922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504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9"/>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Gains (losses) on investments and other assets</w:t>
            </w:r>
          </w:p>
        </w:tc>
        <w:tc>
          <w:tcPr>
            <w:tcW w:w="8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7"/>
        </w:trPr>
        <w:tc>
          <w:tcPr>
            <w:tcW w:w="5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6,999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5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8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2,701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w:t>
            </w:r>
          </w:p>
        </w:tc>
      </w:tr>
      <w:tr>
        <w:trPr>
          <w:trHeight w:val="20"/>
        </w:trPr>
        <w:tc>
          <w:tcPr>
            <w:tcW w:w="5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right="179"/>
        <w:spacing w:after="0" w:line="272" w:lineRule="auto"/>
        <w:rPr>
          <w:sz w:val="20"/>
          <w:szCs w:val="20"/>
          <w:color w:val="auto"/>
        </w:rPr>
      </w:pPr>
      <w:r>
        <w:rPr>
          <w:rFonts w:ascii="Arial" w:cs="Arial" w:eastAsia="Arial" w:hAnsi="Arial"/>
          <w:sz w:val="18"/>
          <w:szCs w:val="18"/>
          <w:color w:val="auto"/>
        </w:rPr>
        <w:t>Profitability in the three months ended March 31, 2021 has increased due to a $1,458,000 increase in gains on investments and other assets primarily attributable to a $649,000 increase in gains on real estate sales and an $810,000 increase in the fair value of equity securities classified as restricted assets and cemetery perpetual care trust investments, an $827,000 increase in cemetery pre-need sales, a $398,000 increase in cemetery at-need sales, a $259,000 increase in mortuary at-need sales, a $69,000 decrease in amortization of deferred policy acquisition costs, a $48,000 decrease in interest expense, a $25,000 increase in net investment income, a $19,000 decrease in intersegment interest expense and other expenses, and a $17,000 increase in other revenues. This increase was partially offset by a $242,000 increase in selling, general and administrative expenses, a $258,000 increase in costs of goods sold, and a $26,000 decrease in intersegment revenues.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Operations</w:t>
      </w:r>
    </w:p>
    <w:p>
      <w:pPr>
        <w:spacing w:after="0" w:line="235" w:lineRule="exact"/>
        <w:rPr>
          <w:sz w:val="20"/>
          <w:szCs w:val="20"/>
          <w:color w:val="auto"/>
        </w:rPr>
      </w:pPr>
    </w:p>
    <w:p>
      <w:pPr>
        <w:jc w:val="both"/>
        <w:ind w:right="159"/>
        <w:spacing w:after="0" w:line="257" w:lineRule="auto"/>
        <w:rPr>
          <w:sz w:val="20"/>
          <w:szCs w:val="20"/>
          <w:color w:val="auto"/>
        </w:rPr>
      </w:pPr>
      <w:r>
        <w:rPr>
          <w:rFonts w:ascii="Arial" w:cs="Arial" w:eastAsia="Arial" w:hAnsi="Arial"/>
          <w:sz w:val="19"/>
          <w:szCs w:val="19"/>
          <w:color w:val="auto"/>
        </w:rPr>
        <w:t>The Company’s wholly owned subsidiaries, SecurityNational Mortgage and EverLEND Mortgage Company,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Kilpatrick Life and unaffiliated financial institutions.</w:t>
      </w:r>
    </w:p>
    <w:p>
      <w:pPr>
        <w:spacing w:after="0" w:line="194" w:lineRule="exact"/>
        <w:rPr>
          <w:sz w:val="20"/>
          <w:szCs w:val="20"/>
          <w:color w:val="auto"/>
        </w:rPr>
      </w:pPr>
    </w:p>
    <w:p>
      <w:pPr>
        <w:jc w:val="both"/>
        <w:ind w:right="179"/>
        <w:spacing w:after="0" w:line="243" w:lineRule="auto"/>
        <w:rPr>
          <w:sz w:val="20"/>
          <w:szCs w:val="20"/>
          <w:color w:val="auto"/>
        </w:rPr>
      </w:pPr>
      <w:r>
        <w:rPr>
          <w:rFonts w:ascii="Arial" w:cs="Arial" w:eastAsia="Arial" w:hAnsi="Arial"/>
          <w:sz w:val="20"/>
          <w:szCs w:val="20"/>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70% of its loan origination volume. These mortgage loans are serviced by either SecurityNational Mortgage or an approved third-party sub-servicer.</w:t>
      </w:r>
    </w:p>
    <w:p>
      <w:pPr>
        <w:sectPr>
          <w:pgSz w:w="11900" w:h="16838" w:orient="portrait"/>
          <w:cols w:equalWidth="0" w:num="1">
            <w:col w:w="9239"/>
          </w:cols>
          <w:pgMar w:left="1220" w:top="118" w:right="1440" w:bottom="1440" w:gutter="0" w:footer="0" w:header="0"/>
        </w:sectPr>
      </w:pP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57607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39"/>
          </w:cols>
          <w:pgMar w:left="1220" w:top="118" w:right="1440" w:bottom="1440" w:gutter="0" w:footer="0" w:header="0"/>
          <w:type w:val="continuous"/>
        </w:sectPr>
      </w:pPr>
    </w:p>
    <w:bookmarkStart w:id="51" w:name="page52"/>
    <w:bookmarkEnd w:id="51"/>
    <w:p>
      <w:pPr>
        <w:jc w:val="both"/>
        <w:ind w:right="179"/>
        <w:spacing w:after="0" w:line="246" w:lineRule="auto"/>
        <w:rPr>
          <w:sz w:val="20"/>
          <w:szCs w:val="20"/>
          <w:color w:val="auto"/>
        </w:rPr>
      </w:pPr>
      <w:r>
        <w:rPr>
          <w:rFonts w:ascii="Arial" w:cs="Arial" w:eastAsia="Arial" w:hAnsi="Arial"/>
          <w:sz w:val="20"/>
          <w:szCs w:val="20"/>
          <w:color w:val="auto"/>
        </w:rPr>
        <w:t>For the three months ended March 31, 2021 and 2020, SecurityNational Mortgage originated 5,361 loans ($1,415,821,000 total volume) and 3,067 loans ($769,309,000 total volume), respectively. For the three months ended March 31, 2021 and 2020, EverLEND Mortgage originated 110 loans ($34,020,000 total volume) and 86 loans ($22,885,000 total volume), respectively.</w:t>
      </w:r>
    </w:p>
    <w:p>
      <w:pPr>
        <w:spacing w:after="0" w:line="206" w:lineRule="exact"/>
        <w:rPr>
          <w:sz w:val="20"/>
          <w:szCs w:val="20"/>
          <w:color w:val="auto"/>
        </w:rPr>
      </w:pPr>
    </w:p>
    <w:p>
      <w:pPr>
        <w:jc w:val="both"/>
        <w:ind w:right="179"/>
        <w:spacing w:after="0" w:line="250" w:lineRule="auto"/>
        <w:rPr>
          <w:sz w:val="20"/>
          <w:szCs w:val="20"/>
          <w:color w:val="auto"/>
        </w:rPr>
      </w:pPr>
      <w:r>
        <w:rPr>
          <w:rFonts w:ascii="Arial" w:cs="Arial" w:eastAsia="Arial" w:hAnsi="Arial"/>
          <w:sz w:val="20"/>
          <w:szCs w:val="20"/>
          <w:color w:val="auto"/>
        </w:rPr>
        <w:t>During the COVID-19 pandemic, the demand for mortgage loans has increased. The Company has seen most markets increase their demand for new homes and refinances on existing homes. The Company has transitioned 90% of its processes to a work from home environment.</w:t>
      </w:r>
    </w:p>
    <w:p>
      <w:pPr>
        <w:spacing w:after="0" w:line="199" w:lineRule="exact"/>
        <w:rPr>
          <w:sz w:val="20"/>
          <w:szCs w:val="20"/>
          <w:color w:val="auto"/>
        </w:rPr>
      </w:pPr>
    </w:p>
    <w:p>
      <w:pPr>
        <w:jc w:val="both"/>
        <w:ind w:right="179"/>
        <w:spacing w:after="0" w:line="287" w:lineRule="auto"/>
        <w:rPr>
          <w:sz w:val="20"/>
          <w:szCs w:val="20"/>
          <w:color w:val="auto"/>
        </w:rPr>
      </w:pPr>
      <w:r>
        <w:rPr>
          <w:rFonts w:ascii="Arial" w:cs="Arial" w:eastAsia="Arial" w:hAnsi="Arial"/>
          <w:sz w:val="19"/>
          <w:szCs w:val="19"/>
          <w:color w:val="auto"/>
        </w:rPr>
        <w:t>The following table shows the condensed financial results of the mortgage operations for the three months ended March 31, 2021 and 2020. See Note 7 to the condensed consolidated financial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60" w:type="dxa"/>
            <w:vAlign w:val="bottom"/>
            <w:gridSpan w:val="6"/>
          </w:tcPr>
          <w:p>
            <w:pPr>
              <w:jc w:val="center"/>
              <w:spacing w:after="0"/>
              <w:rPr>
                <w:sz w:val="20"/>
                <w:szCs w:val="20"/>
                <w:color w:val="auto"/>
              </w:rPr>
            </w:pPr>
            <w:r>
              <w:rPr>
                <w:rFonts w:ascii="Arial" w:cs="Arial" w:eastAsia="Arial" w:hAnsi="Arial"/>
                <w:sz w:val="18"/>
                <w:szCs w:val="18"/>
                <w:color w:val="auto"/>
                <w:w w:val="89"/>
              </w:rPr>
              <w:t>Three months ended March 31</w:t>
            </w:r>
          </w:p>
        </w:tc>
        <w:tc>
          <w:tcPr>
            <w:tcW w:w="1120" w:type="dxa"/>
            <w:vAlign w:val="bottom"/>
          </w:tcPr>
          <w:p>
            <w:pPr>
              <w:spacing w:after="0"/>
              <w:rPr>
                <w:sz w:val="18"/>
                <w:szCs w:val="18"/>
                <w:color w:val="auto"/>
              </w:rPr>
            </w:pPr>
          </w:p>
        </w:tc>
      </w:tr>
      <w:tr>
        <w:trPr>
          <w:trHeight w:val="237"/>
        </w:trPr>
        <w:tc>
          <w:tcPr>
            <w:tcW w:w="45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1"/>
              </w:rPr>
              <w:t>(in thousands of dollars)</w:t>
            </w:r>
          </w:p>
        </w:tc>
        <w:tc>
          <w:tcPr>
            <w:tcW w:w="1120" w:type="dxa"/>
            <w:vAlign w:val="bottom"/>
            <w:tcBorders>
              <w:bottom w:val="single" w:sz="8" w:color="auto"/>
            </w:tcBorders>
          </w:tcPr>
          <w:p>
            <w:pPr>
              <w:spacing w:after="0"/>
              <w:rPr>
                <w:sz w:val="20"/>
                <w:szCs w:val="20"/>
                <w:color w:val="auto"/>
              </w:rPr>
            </w:pPr>
          </w:p>
        </w:tc>
      </w:tr>
      <w:tr>
        <w:trPr>
          <w:trHeight w:val="215"/>
        </w:trPr>
        <w:tc>
          <w:tcPr>
            <w:tcW w:w="4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w w:val="91"/>
              </w:rPr>
              <w:t>% Increase</w:t>
            </w:r>
          </w:p>
        </w:tc>
      </w:tr>
      <w:tr>
        <w:trPr>
          <w:trHeight w:val="237"/>
        </w:trPr>
        <w:tc>
          <w:tcPr>
            <w:tcW w:w="45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(Decrease)</w:t>
            </w:r>
          </w:p>
        </w:tc>
      </w:tr>
      <w:tr>
        <w:trPr>
          <w:trHeight w:val="24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7"/>
        </w:trPr>
        <w:tc>
          <w:tcPr>
            <w:tcW w:w="4560" w:type="dxa"/>
            <w:vAlign w:val="bottom"/>
          </w:tcPr>
          <w:p>
            <w:pPr>
              <w:ind w:left="200"/>
              <w:spacing w:after="0"/>
              <w:rPr>
                <w:sz w:val="20"/>
                <w:szCs w:val="20"/>
                <w:color w:val="auto"/>
              </w:rPr>
            </w:pPr>
            <w:r>
              <w:rPr>
                <w:rFonts w:ascii="Arial" w:cs="Arial" w:eastAsia="Arial" w:hAnsi="Arial"/>
                <w:sz w:val="18"/>
                <w:szCs w:val="18"/>
                <w:color w:val="auto"/>
              </w:rPr>
              <w:t>Secondary gains from investors</w:t>
            </w:r>
          </w:p>
        </w:tc>
        <w:tc>
          <w:tcPr>
            <w:tcW w:w="1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68,439</w:t>
            </w:r>
          </w:p>
        </w:tc>
        <w:tc>
          <w:tcPr>
            <w:tcW w:w="80" w:type="dxa"/>
            <w:vAlign w:val="bottom"/>
          </w:tcPr>
          <w:p>
            <w:pPr>
              <w:spacing w:after="0"/>
              <w:rPr>
                <w:sz w:val="20"/>
                <w:szCs w:val="20"/>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26,641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49"/>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loan originations</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11,192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4560" w:type="dxa"/>
            <w:vAlign w:val="bottom"/>
          </w:tcPr>
          <w:p>
            <w:pPr>
              <w:ind w:left="200"/>
              <w:spacing w:after="0"/>
              <w:rPr>
                <w:sz w:val="20"/>
                <w:szCs w:val="20"/>
                <w:color w:val="auto"/>
              </w:rPr>
            </w:pPr>
            <w:r>
              <w:rPr>
                <w:rFonts w:ascii="Arial" w:cs="Arial" w:eastAsia="Arial" w:hAnsi="Arial"/>
                <w:sz w:val="18"/>
                <w:szCs w:val="18"/>
                <w:color w:val="auto"/>
              </w:rPr>
              <w:t>Change in fair value of loans held for sale</w:t>
            </w:r>
          </w:p>
        </w:tc>
        <w:tc>
          <w:tcPr>
            <w:tcW w:w="10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(6,946)</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(1918%)</w:t>
            </w:r>
          </w:p>
        </w:tc>
      </w:tr>
      <w:tr>
        <w:trPr>
          <w:trHeight w:val="249"/>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loan commitments</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on investments and other assets</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4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456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0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10,959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4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right="159"/>
        <w:spacing w:after="0" w:line="255" w:lineRule="auto"/>
        <w:rPr>
          <w:sz w:val="20"/>
          <w:szCs w:val="20"/>
          <w:color w:val="auto"/>
        </w:rPr>
      </w:pPr>
      <w:r>
        <w:rPr>
          <w:rFonts w:ascii="Arial" w:cs="Arial" w:eastAsia="Arial" w:hAnsi="Arial"/>
          <w:sz w:val="19"/>
          <w:szCs w:val="19"/>
          <w:color w:val="auto"/>
        </w:rPr>
        <w:t>Included in other revenues is service fee income. The increase in earnings for the three months ended March 31, 2021 was due to an increase in mortgage loan originations and refinancings, and subsequent sales of mortgage loans into the secondary market. This increase in earnings is primarily attributable to a $41,798,000 increase in secondary gains from investors, a $1,622,000 increase in other revenues, and a $1,208,000 increase in income from loan originations. This increase was partially offset by a $16,264,000 increase in commissions, by a $7,328,000 decrease in the fair value of loans held for sale, a $2,960,000 decrease in the fair value of loan commitments, a $5,666,000 increase in personnel expenses, a $2,548,000 increase in other expenses, a $1,008,000 increase in intersegment interest expense, a $981,000 increase in costs related to funding mortgage loans, a $735,000 increase in advertising expenses, a $308,000 increase in interest expense, and a $252,000 increase in rent and rent related expenses.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Mortgage Loan Loss Settlements</w:t>
      </w:r>
    </w:p>
    <w:p>
      <w:pPr>
        <w:spacing w:after="0" w:line="229" w:lineRule="exact"/>
        <w:rPr>
          <w:sz w:val="20"/>
          <w:szCs w:val="20"/>
          <w:color w:val="auto"/>
        </w:rPr>
      </w:pPr>
    </w:p>
    <w:p>
      <w:pPr>
        <w:jc w:val="both"/>
        <w:ind w:right="179"/>
        <w:spacing w:after="0" w:line="244" w:lineRule="auto"/>
        <w:rPr>
          <w:sz w:val="20"/>
          <w:szCs w:val="20"/>
          <w:color w:val="auto"/>
        </w:rPr>
      </w:pPr>
      <w:r>
        <w:rPr>
          <w:rFonts w:ascii="Arial" w:cs="Arial" w:eastAsia="Arial" w:hAnsi="Arial"/>
          <w:sz w:val="20"/>
          <w:szCs w:val="20"/>
          <w:color w:val="auto"/>
        </w:rPr>
        <w:t>Future mortgage loan losses can be extremely difficult to estimate. However, management believes that the Company’s reserve methodology and its current practice of property preservation allow it to estimate its potential losses on mortgage loans sold. The estimated liability for indemnification losses was included in other liabilities and accrued expenses and, as of March 31, 2021 and December 31, 2020, the balances were $2,204,983 and $20,583,618,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Three Months Ended March 31, 2021 Compared to Three Months Ended March 31, 2020</w:t>
      </w:r>
    </w:p>
    <w:p>
      <w:pPr>
        <w:spacing w:after="0" w:line="235" w:lineRule="exact"/>
        <w:rPr>
          <w:sz w:val="20"/>
          <w:szCs w:val="20"/>
          <w:color w:val="auto"/>
        </w:rPr>
      </w:pPr>
    </w:p>
    <w:p>
      <w:pPr>
        <w:jc w:val="both"/>
        <w:ind w:right="179"/>
        <w:spacing w:after="0" w:line="278" w:lineRule="auto"/>
        <w:rPr>
          <w:sz w:val="20"/>
          <w:szCs w:val="20"/>
          <w:color w:val="auto"/>
        </w:rPr>
      </w:pPr>
      <w:r>
        <w:rPr>
          <w:rFonts w:ascii="Arial" w:cs="Arial" w:eastAsia="Arial" w:hAnsi="Arial"/>
          <w:sz w:val="18"/>
          <w:szCs w:val="18"/>
          <w:color w:val="auto"/>
        </w:rPr>
        <w:t>Total revenues increased by $43,050,000, or 54.1%, to $122,659,000 for the three months ended March 31, 2021, from $79,609,000 for the comparable period in 2020. Contributing to this increase in total revenues was a $32,717,000 increase in mortgage fee income, a $5,172,000 increase in gains on investments and other assets, a $1,484,000 increase in net mortuary and cemetery sales, a $1,724,000 increase in other revenues, a $1,059,000 increase in insurance premiums and other considerations, and an $894,000 increase in net investment income.</w:t>
      </w: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57607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39"/>
          </w:cols>
          <w:pgMar w:left="1220" w:top="122" w:right="1440" w:bottom="1440" w:gutter="0" w:footer="0" w:header="0"/>
        </w:sectPr>
      </w:pPr>
    </w:p>
    <w:bookmarkStart w:id="52" w:name="page53"/>
    <w:bookmarkEnd w:id="52"/>
    <w:p>
      <w:pPr>
        <w:jc w:val="both"/>
        <w:ind w:right="179"/>
        <w:spacing w:after="0" w:line="246" w:lineRule="auto"/>
        <w:rPr>
          <w:sz w:val="20"/>
          <w:szCs w:val="20"/>
          <w:color w:val="auto"/>
        </w:rPr>
      </w:pPr>
      <w:r>
        <w:rPr>
          <w:rFonts w:ascii="Arial" w:cs="Arial" w:eastAsia="Arial" w:hAnsi="Arial"/>
          <w:sz w:val="20"/>
          <w:szCs w:val="20"/>
          <w:color w:val="auto"/>
        </w:rPr>
        <w:t>Insurance premiums and other considerations increased by $1,059,000, or 4.8%, to $23,350,000 for the three months ended March 31, 2021, from $22,291,000 for the comparable period in 2020. This increase was due to an increase in renewal premiums due to the growth of the Company in recent years, particularly in whole life products, which resulted in more premium paying business in force.</w:t>
      </w:r>
    </w:p>
    <w:p>
      <w:pPr>
        <w:spacing w:after="0" w:line="206" w:lineRule="exact"/>
        <w:rPr>
          <w:sz w:val="20"/>
          <w:szCs w:val="20"/>
          <w:color w:val="auto"/>
        </w:rPr>
      </w:pPr>
    </w:p>
    <w:p>
      <w:pPr>
        <w:jc w:val="both"/>
        <w:ind w:right="159"/>
        <w:spacing w:after="0" w:line="274" w:lineRule="auto"/>
        <w:rPr>
          <w:sz w:val="20"/>
          <w:szCs w:val="20"/>
          <w:color w:val="auto"/>
        </w:rPr>
      </w:pPr>
      <w:r>
        <w:rPr>
          <w:rFonts w:ascii="Arial" w:cs="Arial" w:eastAsia="Arial" w:hAnsi="Arial"/>
          <w:sz w:val="18"/>
          <w:szCs w:val="18"/>
          <w:color w:val="auto"/>
        </w:rPr>
        <w:t>Net investment income increased by $894,000, or 6.7%, to $14,294,000 for the three months ended March 31, 2021, from $13,400,000 for the comparable period in 2020. This increase was primarily attributable to a $1,047,000 increase in insurance assignment income, a $431,000 increase in mortgage loan interest, and a $36,000 increase in equity securities income. This increase was partially offset by a $258,000 decrease in interest on cash and cash equivalents, a $137,000 increase in investment expenses, a $111,000 decrease in rental income from real estate held for investment, a $101,000 decrease in fixed maturity securities income, an $11,000 decrease in income on other investments, and a $2,000 decrease in policy loan income.</w:t>
      </w:r>
    </w:p>
    <w:p>
      <w:pPr>
        <w:spacing w:after="0" w:line="182" w:lineRule="exact"/>
        <w:rPr>
          <w:sz w:val="20"/>
          <w:szCs w:val="20"/>
          <w:color w:val="auto"/>
        </w:rPr>
      </w:pPr>
    </w:p>
    <w:p>
      <w:pPr>
        <w:jc w:val="both"/>
        <w:ind w:right="159"/>
        <w:spacing w:after="0" w:line="246" w:lineRule="auto"/>
        <w:rPr>
          <w:sz w:val="20"/>
          <w:szCs w:val="20"/>
          <w:color w:val="auto"/>
        </w:rPr>
      </w:pPr>
      <w:r>
        <w:rPr>
          <w:rFonts w:ascii="Arial" w:cs="Arial" w:eastAsia="Arial" w:hAnsi="Arial"/>
          <w:sz w:val="20"/>
          <w:szCs w:val="20"/>
          <w:color w:val="auto"/>
        </w:rPr>
        <w:t>Net mortuary and cemetery sales increased by $1,484,000, or 33.3%, to $5,942,000 for the three months ended March 31, 2021, from $4,458,000 for the comparable period in 2020. This increase was primarily due to an $827,000 increase in cemetery pre-need sales, a $398,000 increase in cemetery at-need sales, and a $259,000 increase in mortuary at-need sales.</w:t>
      </w:r>
    </w:p>
    <w:p>
      <w:pPr>
        <w:spacing w:after="0" w:line="205" w:lineRule="exact"/>
        <w:rPr>
          <w:sz w:val="20"/>
          <w:szCs w:val="20"/>
          <w:color w:val="auto"/>
        </w:rPr>
      </w:pPr>
    </w:p>
    <w:p>
      <w:pPr>
        <w:jc w:val="both"/>
        <w:ind w:right="179"/>
        <w:spacing w:after="0" w:line="274" w:lineRule="auto"/>
        <w:rPr>
          <w:sz w:val="20"/>
          <w:szCs w:val="20"/>
          <w:color w:val="auto"/>
        </w:rPr>
      </w:pPr>
      <w:r>
        <w:rPr>
          <w:rFonts w:ascii="Arial" w:cs="Arial" w:eastAsia="Arial" w:hAnsi="Arial"/>
          <w:sz w:val="18"/>
          <w:szCs w:val="18"/>
          <w:color w:val="auto"/>
        </w:rPr>
        <w:t>Gains on investments and other assets increased by $5,172,000, or 161.0%, to gains of $1,960,000 for the three months ended March 31, 2021, from losses of $3,212,000 for the comparable period in 2020. This increase in gains on investments and other assets was primarily due a $1,318,000 increase in gains on other assets mostly attributable to increases in the the fair value of call and put option derivatives. This increase in gains on investments and other assets was also due to a $3,878,000 increase in gains on equity securities mostly attributable to increases in the fair value of these equity securities. This increase in gains on investments and other assets was partially offset by a $23,000 decrease in gains on fixed maturity securities.</w:t>
      </w:r>
    </w:p>
    <w:p>
      <w:pPr>
        <w:spacing w:after="0" w:line="182" w:lineRule="exact"/>
        <w:rPr>
          <w:sz w:val="20"/>
          <w:szCs w:val="20"/>
          <w:color w:val="auto"/>
        </w:rPr>
      </w:pPr>
    </w:p>
    <w:p>
      <w:pPr>
        <w:jc w:val="both"/>
        <w:ind w:right="159"/>
        <w:spacing w:after="0" w:line="276" w:lineRule="auto"/>
        <w:rPr>
          <w:sz w:val="20"/>
          <w:szCs w:val="20"/>
          <w:color w:val="auto"/>
        </w:rPr>
      </w:pPr>
      <w:r>
        <w:rPr>
          <w:rFonts w:ascii="Arial" w:cs="Arial" w:eastAsia="Arial" w:hAnsi="Arial"/>
          <w:sz w:val="18"/>
          <w:szCs w:val="18"/>
          <w:color w:val="auto"/>
        </w:rPr>
        <w:t>Mortgage fee income increased by $32,717,000, or 81.2%, to $72,999,000, for the three months ended March 31, 2021, from $40,282,000 for the comparable period in 2020. This increase was primarily due to a $41,798,000 increase in secondary gains from mortgage loans sold to third-party investors into the secondary market and a $1,208,000 increase in loan fees and interest income net of an increase in the provision for loan loss reserve. This increase in mortgage fee income was partially offset by a $7,328,000 decrease in the fair value of loans held for sale and a $2,960,000 decrease in the the fair value of loan commitments.</w:t>
      </w:r>
    </w:p>
    <w:p>
      <w:pPr>
        <w:spacing w:after="0" w:line="178" w:lineRule="exact"/>
        <w:rPr>
          <w:sz w:val="20"/>
          <w:szCs w:val="20"/>
          <w:color w:val="auto"/>
        </w:rPr>
      </w:pPr>
    </w:p>
    <w:p>
      <w:pPr>
        <w:jc w:val="both"/>
        <w:ind w:right="159"/>
        <w:spacing w:after="0" w:line="250" w:lineRule="auto"/>
        <w:rPr>
          <w:sz w:val="20"/>
          <w:szCs w:val="20"/>
          <w:color w:val="auto"/>
        </w:rPr>
      </w:pPr>
      <w:r>
        <w:rPr>
          <w:rFonts w:ascii="Arial" w:cs="Arial" w:eastAsia="Arial" w:hAnsi="Arial"/>
          <w:sz w:val="20"/>
          <w:szCs w:val="20"/>
          <w:color w:val="auto"/>
        </w:rPr>
        <w:t>Other revenues increased by $1,724,000, or 72.2%, to $4,114,000 for the three months ended March 31, 2021, from $2,390,000 for the comparable period in 2020. This increase was primarily attributable to an increase in servicing fee revenue.</w:t>
      </w:r>
    </w:p>
    <w:p>
      <w:pPr>
        <w:spacing w:after="0" w:line="199" w:lineRule="exact"/>
        <w:rPr>
          <w:sz w:val="20"/>
          <w:szCs w:val="20"/>
          <w:color w:val="auto"/>
        </w:rPr>
      </w:pPr>
    </w:p>
    <w:p>
      <w:pPr>
        <w:jc w:val="both"/>
        <w:ind w:right="179"/>
        <w:spacing w:after="0" w:line="316" w:lineRule="auto"/>
        <w:rPr>
          <w:sz w:val="20"/>
          <w:szCs w:val="20"/>
          <w:color w:val="auto"/>
        </w:rPr>
      </w:pPr>
      <w:r>
        <w:rPr>
          <w:rFonts w:ascii="Arial" w:cs="Arial" w:eastAsia="Arial" w:hAnsi="Arial"/>
          <w:sz w:val="18"/>
          <w:szCs w:val="18"/>
          <w:color w:val="auto"/>
        </w:rPr>
        <w:t>Total benefits and expenses were $106,304,000, or 86.7% of total revenues, for the three months ended March 31, 2021, as compared to $78,135,000, or 98.1% of total revenues, for the comparable period in 2020.</w:t>
      </w:r>
    </w:p>
    <w:p>
      <w:pPr>
        <w:spacing w:after="0" w:line="143" w:lineRule="exact"/>
        <w:rPr>
          <w:sz w:val="20"/>
          <w:szCs w:val="20"/>
          <w:color w:val="auto"/>
        </w:rPr>
      </w:pPr>
    </w:p>
    <w:p>
      <w:pPr>
        <w:jc w:val="both"/>
        <w:ind w:right="179"/>
        <w:spacing w:after="0" w:line="260" w:lineRule="auto"/>
        <w:rPr>
          <w:sz w:val="20"/>
          <w:szCs w:val="20"/>
          <w:color w:val="auto"/>
        </w:rPr>
      </w:pPr>
      <w:r>
        <w:rPr>
          <w:rFonts w:ascii="Arial" w:cs="Arial" w:eastAsia="Arial" w:hAnsi="Arial"/>
          <w:sz w:val="19"/>
          <w:szCs w:val="19"/>
          <w:color w:val="auto"/>
        </w:rPr>
        <w:t>Death benefits, surrenders and other policy benefits, and future policy benefits increased by an aggregate of $2,128,000 or 9.9%, to $23,644,000 for the three months ended March 31, 2021, from $21,516,000 for the comparable period in 2020. This increase was primarily the result of a $4,904,000 increase in death benefits (approximately $4,100,000 for COVID-19 related deaths) and a $7,000 increase in surrender and other policy benefits. This increase was partially offset by a $2,783,000 decrease in future policy benefits.</w:t>
      </w:r>
    </w:p>
    <w:p>
      <w:pPr>
        <w:spacing w:after="0" w:line="194" w:lineRule="exact"/>
        <w:rPr>
          <w:sz w:val="20"/>
          <w:szCs w:val="20"/>
          <w:color w:val="auto"/>
        </w:rPr>
      </w:pPr>
    </w:p>
    <w:p>
      <w:pPr>
        <w:jc w:val="both"/>
        <w:ind w:right="159"/>
        <w:spacing w:after="0" w:line="246" w:lineRule="auto"/>
        <w:rPr>
          <w:sz w:val="20"/>
          <w:szCs w:val="20"/>
          <w:color w:val="auto"/>
        </w:rPr>
      </w:pPr>
      <w:r>
        <w:rPr>
          <w:rFonts w:ascii="Arial" w:cs="Arial" w:eastAsia="Arial" w:hAnsi="Arial"/>
          <w:sz w:val="20"/>
          <w:szCs w:val="20"/>
          <w:color w:val="auto"/>
        </w:rPr>
        <w:t>Amortization of deferred policy and pre-need acquisition costs and value of business acquired increased by $62,000, or 1.8%, to $3,577,000 for the three months ended March 31, 2021, from $3,515,000 for the comparable period in 2020. This increase was primarily due to an increase in the average outstanding balance of deferred policy and pre-need acquisition costs</w:t>
      </w:r>
    </w:p>
    <w:p>
      <w:pPr>
        <w:spacing w:after="0" w:line="205" w:lineRule="exact"/>
        <w:rPr>
          <w:sz w:val="20"/>
          <w:szCs w:val="20"/>
          <w:color w:val="auto"/>
        </w:rPr>
      </w:pPr>
    </w:p>
    <w:p>
      <w:pPr>
        <w:jc w:val="both"/>
        <w:ind w:right="179"/>
        <w:spacing w:after="0" w:line="278" w:lineRule="auto"/>
        <w:rPr>
          <w:sz w:val="20"/>
          <w:szCs w:val="20"/>
          <w:color w:val="auto"/>
        </w:rPr>
      </w:pPr>
      <w:r>
        <w:rPr>
          <w:rFonts w:ascii="Arial" w:cs="Arial" w:eastAsia="Arial" w:hAnsi="Arial"/>
          <w:sz w:val="18"/>
          <w:szCs w:val="18"/>
          <w:color w:val="auto"/>
        </w:rPr>
        <w:t>Selling, general and administrative expenses increased by $25,714,000, or 51.0%, to $76,157,000 for the three months ended March 31, 2021, from $50,443,000 for the comparable period in 2020. This increase was primarily the result of a $16,175,000 increase in commissions, a $5,652,000 increase in personnel expenses, a $1,874,000 increase in other expenses, a $981,000 increase in costs related to funding mortgage loans, a $796,000 increase in advertising expenses, and a $251,000 increase in rent and rent related expenses. Most of these increases are</w:t>
      </w: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57607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39"/>
          </w:cols>
          <w:pgMar w:left="1220" w:top="122" w:right="1440" w:bottom="1440" w:gutter="0" w:footer="0" w:header="0"/>
        </w:sectPr>
      </w:pPr>
    </w:p>
    <w:bookmarkStart w:id="53" w:name="page54"/>
    <w:bookmarkEnd w:id="53"/>
    <w:p>
      <w:pPr>
        <w:jc w:val="both"/>
        <w:ind w:right="179"/>
        <w:spacing w:after="0" w:line="270" w:lineRule="auto"/>
        <w:rPr>
          <w:sz w:val="20"/>
          <w:szCs w:val="20"/>
          <w:color w:val="auto"/>
        </w:rPr>
      </w:pPr>
      <w:r>
        <w:rPr>
          <w:rFonts w:ascii="Arial" w:cs="Arial" w:eastAsia="Arial" w:hAnsi="Arial"/>
          <w:sz w:val="19"/>
          <w:szCs w:val="19"/>
          <w:color w:val="auto"/>
        </w:rPr>
        <w:t>attributable to the mortgage segment due to the increase in mortgage loan originations and refinancings, most notably $16,264,000 in commissions, $5,666,000 in personnel expenses, $2,548,000 in other expenses, $735,000 in advertising expenses, and $252,000 in rent and rent related expenses.</w:t>
      </w:r>
    </w:p>
    <w:p>
      <w:pPr>
        <w:spacing w:after="0" w:line="182" w:lineRule="exact"/>
        <w:rPr>
          <w:sz w:val="20"/>
          <w:szCs w:val="20"/>
          <w:color w:val="auto"/>
        </w:rPr>
      </w:pPr>
    </w:p>
    <w:p>
      <w:pPr>
        <w:jc w:val="both"/>
        <w:ind w:right="179"/>
        <w:spacing w:after="0" w:line="282" w:lineRule="auto"/>
        <w:rPr>
          <w:sz w:val="20"/>
          <w:szCs w:val="20"/>
          <w:color w:val="auto"/>
        </w:rPr>
      </w:pPr>
      <w:r>
        <w:rPr>
          <w:rFonts w:ascii="Arial" w:cs="Arial" w:eastAsia="Arial" w:hAnsi="Arial"/>
          <w:sz w:val="18"/>
          <w:szCs w:val="18"/>
          <w:color w:val="auto"/>
        </w:rPr>
        <w:t>Interest expense increased by $7,000, or 0.4%, to $1,826,000 for the three months ended March 31, 2021, from $1,819,000 for the comparable period in 2020. This increase was primarily due to an increase of $308,000 in interest expense on mortgage warehouse lines for loans held for sale. This increase was partially offset by a $301,000 decrease in interest expense on bank loans collateralized by real estate held for investment.</w:t>
      </w:r>
    </w:p>
    <w:p>
      <w:pPr>
        <w:spacing w:after="0" w:line="175" w:lineRule="exact"/>
        <w:rPr>
          <w:sz w:val="20"/>
          <w:szCs w:val="20"/>
          <w:color w:val="auto"/>
        </w:rPr>
      </w:pPr>
    </w:p>
    <w:p>
      <w:pPr>
        <w:jc w:val="both"/>
        <w:ind w:right="179"/>
        <w:spacing w:after="0" w:line="246" w:lineRule="auto"/>
        <w:rPr>
          <w:sz w:val="20"/>
          <w:szCs w:val="20"/>
          <w:color w:val="auto"/>
        </w:rPr>
      </w:pPr>
      <w:r>
        <w:rPr>
          <w:rFonts w:ascii="Arial" w:cs="Arial" w:eastAsia="Arial" w:hAnsi="Arial"/>
          <w:sz w:val="20"/>
          <w:szCs w:val="20"/>
          <w:color w:val="auto"/>
        </w:rPr>
        <w:t>Cost of goods and services sold-mortuaries and cemeteries increased by $258,000, or 30.6%, to $1,100,000 for the three months ended March 31, 2021, from $842,000 for the comparable period in 2020. This increase was primarily due to a $163,000 increase in cemetery pre-need sales, a $58,000 increase in cemetery at-need sales, and a $37,000 increase in mortuary at-need sales.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right="159"/>
        <w:spacing w:after="0" w:line="271" w:lineRule="auto"/>
        <w:rPr>
          <w:sz w:val="20"/>
          <w:szCs w:val="20"/>
          <w:color w:val="auto"/>
        </w:rPr>
      </w:pPr>
      <w:r>
        <w:rPr>
          <w:rFonts w:ascii="Arial" w:cs="Arial" w:eastAsia="Arial" w:hAnsi="Arial"/>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maturity or sale of investments. The mortgage subsidiaries realize cash flow from fees generated by originating and refinancing mortgage loans, and fees earned from mortgage loans held for sale that are sold to investors into the secondary market.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and debt service, and to meet current operating expenses. It should be noted that current conditions in the financial markets and economy caused by the COVID-19 pandemic may affect the cash flows of the Company.</w:t>
      </w:r>
    </w:p>
    <w:p>
      <w:pPr>
        <w:spacing w:after="0" w:line="187" w:lineRule="exact"/>
        <w:rPr>
          <w:sz w:val="20"/>
          <w:szCs w:val="20"/>
          <w:color w:val="auto"/>
        </w:rPr>
      </w:pPr>
    </w:p>
    <w:p>
      <w:pPr>
        <w:jc w:val="both"/>
        <w:ind w:right="179"/>
        <w:spacing w:after="0" w:line="250" w:lineRule="auto"/>
        <w:rPr>
          <w:sz w:val="20"/>
          <w:szCs w:val="20"/>
          <w:color w:val="auto"/>
        </w:rPr>
      </w:pPr>
      <w:r>
        <w:rPr>
          <w:rFonts w:ascii="Arial" w:cs="Arial" w:eastAsia="Arial" w:hAnsi="Arial"/>
          <w:sz w:val="20"/>
          <w:szCs w:val="20"/>
          <w:color w:val="auto"/>
        </w:rPr>
        <w:t>During the three months ended March 31, 2021 and 2020, the Company's operations provided cash of $100,976,000 and used cash of $63,771,000, respectively. This increase was due primarily to sales of mortgage loans held for sale.</w:t>
      </w:r>
    </w:p>
    <w:p>
      <w:pPr>
        <w:spacing w:after="0" w:line="199" w:lineRule="exact"/>
        <w:rPr>
          <w:sz w:val="20"/>
          <w:szCs w:val="20"/>
          <w:color w:val="auto"/>
        </w:rPr>
      </w:pPr>
    </w:p>
    <w:p>
      <w:pPr>
        <w:jc w:val="both"/>
        <w:ind w:right="159"/>
        <w:spacing w:after="0" w:line="276" w:lineRule="auto"/>
        <w:rPr>
          <w:sz w:val="20"/>
          <w:szCs w:val="20"/>
          <w:color w:val="auto"/>
        </w:rPr>
      </w:pPr>
      <w:r>
        <w:rPr>
          <w:rFonts w:ascii="Arial" w:cs="Arial" w:eastAsia="Arial" w:hAnsi="Arial"/>
          <w:sz w:val="18"/>
          <w:szCs w:val="18"/>
          <w:color w:val="auto"/>
        </w:rPr>
        <w:t>The Company’s liability for future policy benefits is expected to be paid out over the long-term due to the Company’s market niche of selling funeral plans. Funeral plans are small face value life insurance that will pay the costs and expenses incurred at the time of a person’s death. A person generally will keep these policies in force and will not surrender them prior to a person’s death. Because of the long-term nature of these liabilities, the Company is able to hold to maturity its bonds, real estate, and mortgage loans, thus reducing the risk of having to liquidate these long-term investments as a result of any sudden changes in their fair values.</w:t>
      </w:r>
    </w:p>
    <w:p>
      <w:pPr>
        <w:spacing w:after="0" w:line="178" w:lineRule="exact"/>
        <w:rPr>
          <w:sz w:val="20"/>
          <w:szCs w:val="20"/>
          <w:color w:val="auto"/>
        </w:rPr>
      </w:pPr>
    </w:p>
    <w:p>
      <w:pPr>
        <w:jc w:val="both"/>
        <w:ind w:right="159"/>
        <w:spacing w:after="0" w:line="259" w:lineRule="auto"/>
        <w:rPr>
          <w:sz w:val="20"/>
          <w:szCs w:val="20"/>
          <w:color w:val="auto"/>
        </w:rPr>
      </w:pPr>
      <w:r>
        <w:rPr>
          <w:rFonts w:ascii="Arial" w:cs="Arial" w:eastAsia="Arial" w:hAnsi="Arial"/>
          <w:sz w:val="19"/>
          <w:szCs w:val="19"/>
          <w:color w:val="auto"/>
        </w:rPr>
        <w:t>The Company attempts to match the duration of invested assets with its policyholder and cemetery and mortuary liabilities. The Company may sell investments other than those held to maturity in the portfolio to help in this timing. The Company purchases short-term investments on a temporary basis to meet the expectations of short-term requirements of the Company’s products. The Company’s investment philosophy is intended to provide a rate of return that will persist during the expected duration of policyholder and cemetery and mortuary liabilities regardless of future interest rate movements.</w:t>
      </w:r>
    </w:p>
    <w:p>
      <w:pPr>
        <w:spacing w:after="0" w:line="192" w:lineRule="exact"/>
        <w:rPr>
          <w:sz w:val="20"/>
          <w:szCs w:val="20"/>
          <w:color w:val="auto"/>
        </w:rPr>
      </w:pPr>
    </w:p>
    <w:p>
      <w:pPr>
        <w:jc w:val="both"/>
        <w:ind w:right="159"/>
        <w:spacing w:after="0" w:line="255" w:lineRule="auto"/>
        <w:rPr>
          <w:sz w:val="20"/>
          <w:szCs w:val="20"/>
          <w:color w:val="auto"/>
        </w:rPr>
      </w:pPr>
      <w:r>
        <w:rPr>
          <w:rFonts w:ascii="Arial" w:cs="Arial" w:eastAsia="Arial" w:hAnsi="Arial"/>
          <w:sz w:val="19"/>
          <w:szCs w:val="19"/>
          <w:color w:val="auto"/>
        </w:rPr>
        <w:t>The Company’s investment policy is to invest predominantly in fixed maturity securities, real estate, mortgage loans, and warehousing of mortgage loans on a short-term basis before selling the loans to investors in accordance with the requirements and laws governing the life insurance subsidiaries. Bonds owned by the insurance subsidiaries and classified as fixed maturity securities available for sale carried at estimated fair value amounted to $279,268,000 (at estimated fair value) and $294,384,000 (at estimated fair value) as of March 31, 2021 and December 31, 2020, respectively. This represents 35.8% and 38.0% of the total investments as of March 31, 2021 and December 31, 2020, respectively. Generally, all bonds owned by the life insurance subsidiaries are rated by the National Association of Insurance Commissioners. Under this rating system, there are six categories used for rating bonds. At March 31, 2021, 4.1% (or $11,460,000) and at December 31, 2020, 4.2% (or $12,418,000) of the Company’s total bond investments were invested in bonds in rating categories three through six, which were considered non-investment grade.</w:t>
      </w: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57607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39"/>
          </w:cols>
          <w:pgMar w:left="1220" w:top="122" w:right="1440" w:bottom="1440" w:gutter="0" w:footer="0" w:header="0"/>
        </w:sectPr>
      </w:pPr>
    </w:p>
    <w:bookmarkStart w:id="54" w:name="page55"/>
    <w:bookmarkEnd w:id="54"/>
    <w:p>
      <w:pPr>
        <w:jc w:val="both"/>
        <w:ind w:right="159"/>
        <w:spacing w:after="0" w:line="291" w:lineRule="auto"/>
        <w:rPr>
          <w:sz w:val="20"/>
          <w:szCs w:val="20"/>
          <w:color w:val="auto"/>
        </w:rPr>
      </w:pPr>
      <w:r>
        <w:rPr>
          <w:rFonts w:ascii="Arial" w:cs="Arial" w:eastAsia="Arial" w:hAnsi="Arial"/>
          <w:sz w:val="18"/>
          <w:szCs w:val="18"/>
          <w:color w:val="auto"/>
        </w:rPr>
        <w:t>The Company is subject to risk-based capital guidelines established by statutory regulators requiring minimum capital levels based on the perceived risk of assets, liabilities, disintermediation, and business risk. At March 31, 2021 and December 31, 2020, the life insurance subsidiaries were in compliance with the regulatory criteria.</w:t>
      </w:r>
    </w:p>
    <w:p>
      <w:pPr>
        <w:spacing w:after="0" w:line="166" w:lineRule="exact"/>
        <w:rPr>
          <w:sz w:val="20"/>
          <w:szCs w:val="20"/>
          <w:color w:val="auto"/>
        </w:rPr>
      </w:pPr>
    </w:p>
    <w:p>
      <w:pPr>
        <w:jc w:val="both"/>
        <w:ind w:right="179"/>
        <w:spacing w:after="0" w:line="291" w:lineRule="auto"/>
        <w:rPr>
          <w:sz w:val="20"/>
          <w:szCs w:val="20"/>
          <w:color w:val="auto"/>
        </w:rPr>
      </w:pPr>
      <w:r>
        <w:rPr>
          <w:rFonts w:ascii="Arial" w:cs="Arial" w:eastAsia="Arial" w:hAnsi="Arial"/>
          <w:sz w:val="18"/>
          <w:szCs w:val="18"/>
          <w:color w:val="auto"/>
        </w:rPr>
        <w:t>The Company’s total capitalization of stockholders’ equity, bank and other loans payable was $517,841,000 as of March 31, 2021, as compared to $561,811,000 as of December 31, 2020. Stockholders’ equity as a percent of total capitalization was 52.5% and 47.0% as of March 31, 2021 and December 31, 2020, respectively.</w:t>
      </w:r>
    </w:p>
    <w:p>
      <w:pPr>
        <w:spacing w:after="0" w:line="165" w:lineRule="exact"/>
        <w:rPr>
          <w:sz w:val="20"/>
          <w:szCs w:val="20"/>
          <w:color w:val="auto"/>
        </w:rPr>
      </w:pPr>
    </w:p>
    <w:p>
      <w:pPr>
        <w:jc w:val="both"/>
        <w:ind w:right="179"/>
        <w:spacing w:after="0" w:line="250" w:lineRule="auto"/>
        <w:rPr>
          <w:sz w:val="20"/>
          <w:szCs w:val="20"/>
          <w:color w:val="auto"/>
        </w:rPr>
      </w:pPr>
      <w:r>
        <w:rPr>
          <w:rFonts w:ascii="Arial" w:cs="Arial" w:eastAsia="Arial" w:hAnsi="Arial"/>
          <w:sz w:val="20"/>
          <w:szCs w:val="20"/>
          <w:color w:val="auto"/>
        </w:rPr>
        <w:t>Lapse rates measure the amount of insurance terminated during a particular period. The Company’s lapse rate for life insurance in 2020 was 5.9% as compared to a rate of 9.8% for 2019. The 2021 lapse rate to date has been approximately the same as 2020.</w:t>
      </w:r>
    </w:p>
    <w:p>
      <w:pPr>
        <w:spacing w:after="0" w:line="199" w:lineRule="exact"/>
        <w:rPr>
          <w:sz w:val="20"/>
          <w:szCs w:val="20"/>
          <w:color w:val="auto"/>
        </w:rPr>
      </w:pPr>
    </w:p>
    <w:p>
      <w:pPr>
        <w:jc w:val="both"/>
        <w:ind w:right="159"/>
        <w:spacing w:after="0" w:line="250" w:lineRule="auto"/>
        <w:rPr>
          <w:sz w:val="20"/>
          <w:szCs w:val="20"/>
          <w:color w:val="auto"/>
        </w:rPr>
      </w:pPr>
      <w:r>
        <w:rPr>
          <w:rFonts w:ascii="Arial" w:cs="Arial" w:eastAsia="Arial" w:hAnsi="Arial"/>
          <w:sz w:val="20"/>
          <w:szCs w:val="20"/>
          <w:color w:val="auto"/>
        </w:rPr>
        <w:t>At March 31, 2021, the combined statutory capital and surplus of the Company’s life insurance subsidiaries was $75,104,000. The life insurance subsidiaries cannot pay a dividend to its parent company without approval of state insurance regulatory authorities.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Pandemic</w:t>
      </w:r>
    </w:p>
    <w:p>
      <w:pPr>
        <w:spacing w:after="0" w:line="235" w:lineRule="exact"/>
        <w:rPr>
          <w:sz w:val="20"/>
          <w:szCs w:val="20"/>
          <w:color w:val="auto"/>
        </w:rPr>
      </w:pPr>
    </w:p>
    <w:p>
      <w:pPr>
        <w:jc w:val="both"/>
        <w:ind w:right="159"/>
        <w:spacing w:after="0" w:line="272" w:lineRule="auto"/>
        <w:rPr>
          <w:sz w:val="20"/>
          <w:szCs w:val="20"/>
          <w:color w:val="auto"/>
        </w:rPr>
      </w:pPr>
      <w:r>
        <w:rPr>
          <w:rFonts w:ascii="Arial" w:cs="Arial" w:eastAsia="Arial" w:hAnsi="Arial"/>
          <w:sz w:val="18"/>
          <w:szCs w:val="18"/>
          <w:color w:val="auto"/>
        </w:rPr>
        <w:t>During 2020, the outbreak of COVID-19 had spread worldwide and was declared a global pandemic by the World Health Organization on March 11, 2020. COVID-19 poses a threat to the health and economic well-being of the Company’s employees, customers, and vendors. The Company is closely monitoring developments relating to the COVID-19 pandemic and assessing its impact on the Company’s business. The COVID-19 pandemic has had and continues to have a major impact on the global economy and financial markets. Governments and businesses have taken numerous measures to try to contain the virus, which include the implementation of travel bans, self-imposed quarantine periods, and social distancing. These measures have disrupted and will continue to disrupt businesses globally. Governments and central banks have reacted with significant monetary and fiscal interventions designed to stabilize the economic conditions.</w:t>
      </w:r>
    </w:p>
    <w:p>
      <w:pPr>
        <w:spacing w:after="0" w:line="184" w:lineRule="exact"/>
        <w:rPr>
          <w:sz w:val="20"/>
          <w:szCs w:val="20"/>
          <w:color w:val="auto"/>
        </w:rPr>
      </w:pPr>
    </w:p>
    <w:p>
      <w:pPr>
        <w:jc w:val="both"/>
        <w:ind w:right="159"/>
        <w:spacing w:after="0" w:line="243" w:lineRule="auto"/>
        <w:rPr>
          <w:sz w:val="20"/>
          <w:szCs w:val="20"/>
          <w:color w:val="auto"/>
        </w:rPr>
      </w:pPr>
      <w:r>
        <w:rPr>
          <w:rFonts w:ascii="Arial" w:cs="Arial" w:eastAsia="Arial" w:hAnsi="Arial"/>
          <w:sz w:val="20"/>
          <w:szCs w:val="20"/>
          <w:color w:val="auto"/>
        </w:rPr>
        <w:t>Like most businesses, COVID-19 has impacted the Company. However, the Company cannot, with any certainty predict the severity or duration with which COVID-19 will impact the Company’s business, financial condition, results of operations, and cash flows. To the extent the COVID-19 pandemic adversely affects the Company’s business, financial condition, and results of operations, it may also have the effect of heightening many of the other Company risks. These uncertainties have the potential to negatively affect the risk of credit default for the issuers of the Company’s fixed maturity debt securities and individual borrowers with mortgage loans held by the Company.</w:t>
      </w:r>
    </w:p>
    <w:p>
      <w:pPr>
        <w:spacing w:after="0" w:line="206" w:lineRule="exact"/>
        <w:rPr>
          <w:sz w:val="20"/>
          <w:szCs w:val="20"/>
          <w:color w:val="auto"/>
        </w:rPr>
      </w:pPr>
    </w:p>
    <w:p>
      <w:pPr>
        <w:jc w:val="both"/>
        <w:ind w:right="179"/>
        <w:spacing w:after="0" w:line="250" w:lineRule="auto"/>
        <w:rPr>
          <w:sz w:val="20"/>
          <w:szCs w:val="20"/>
          <w:color w:val="auto"/>
        </w:rPr>
      </w:pPr>
      <w:r>
        <w:rPr>
          <w:rFonts w:ascii="Arial" w:cs="Arial" w:eastAsia="Arial" w:hAnsi="Arial"/>
          <w:sz w:val="20"/>
          <w:szCs w:val="20"/>
          <w:color w:val="auto"/>
        </w:rPr>
        <w:t>The Company has implemented risk management, business continuity plans and has taken preventive measures and other precautions, such as business travel restrictions and remote work arrangements. Such measures and precautions have enabled the Company to continue to conduct business.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ind w:right="179"/>
        <w:spacing w:after="0" w:line="260" w:lineRule="auto"/>
        <w:rPr>
          <w:sz w:val="20"/>
          <w:szCs w:val="20"/>
          <w:color w:val="auto"/>
        </w:rPr>
      </w:pPr>
      <w:r>
        <w:rPr>
          <w:rFonts w:ascii="Arial" w:cs="Arial" w:eastAsia="Arial" w:hAnsi="Arial"/>
          <w:sz w:val="20"/>
          <w:szCs w:val="20"/>
          <w:color w:val="auto"/>
        </w:rPr>
        <w:t>As a smaller reporting company, the Company is not required to provide information typically disclosed under this item.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Disclosure Controls and Procedures</w:t>
      </w:r>
    </w:p>
    <w:p>
      <w:pPr>
        <w:spacing w:after="0" w:line="229" w:lineRule="exact"/>
        <w:rPr>
          <w:sz w:val="20"/>
          <w:szCs w:val="20"/>
          <w:color w:val="auto"/>
        </w:rPr>
      </w:pPr>
    </w:p>
    <w:p>
      <w:pPr>
        <w:jc w:val="both"/>
        <w:ind w:right="159"/>
        <w:spacing w:after="0" w:line="313" w:lineRule="auto"/>
        <w:rPr>
          <w:sz w:val="20"/>
          <w:szCs w:val="20"/>
          <w:color w:val="auto"/>
        </w:rPr>
      </w:pPr>
      <w:r>
        <w:rPr>
          <w:rFonts w:ascii="Arial" w:cs="Arial" w:eastAsia="Arial" w:hAnsi="Arial"/>
          <w:sz w:val="16"/>
          <w:szCs w:val="16"/>
          <w:color w:val="auto"/>
        </w:rPr>
        <w:t>As of March 31, 2021,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57607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39"/>
          </w:cols>
          <w:pgMar w:left="1220" w:top="122" w:right="1440" w:bottom="1440" w:gutter="0" w:footer="0" w:header="0"/>
        </w:sectPr>
      </w:pPr>
    </w:p>
    <w:bookmarkStart w:id="55" w:name="page56"/>
    <w:bookmarkEnd w:id="55"/>
    <w:p>
      <w:pPr>
        <w:jc w:val="both"/>
        <w:ind w:right="179"/>
        <w:spacing w:after="0" w:line="243" w:lineRule="auto"/>
        <w:rPr>
          <w:sz w:val="20"/>
          <w:szCs w:val="20"/>
          <w:color w:val="auto"/>
        </w:rPr>
      </w:pPr>
      <w:r>
        <w:rPr>
          <w:rFonts w:ascii="Arial" w:cs="Arial" w:eastAsia="Arial" w:hAnsi="Arial"/>
          <w:sz w:val="20"/>
          <w:szCs w:val="20"/>
          <w:color w:val="auto"/>
        </w:rPr>
        <w:t>to management, including the Company’s CEO and CFO, as appropriate, to allow timely decisions regarding required disclosure. The executive officers have concluded that the Company’s disclosure controls and procedures were effective as of March 31, 2021,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Changes in Internal Control over Financial Reporting</w:t>
      </w:r>
    </w:p>
    <w:p>
      <w:pPr>
        <w:spacing w:after="0" w:line="229" w:lineRule="exact"/>
        <w:rPr>
          <w:sz w:val="20"/>
          <w:szCs w:val="20"/>
          <w:color w:val="auto"/>
        </w:rPr>
      </w:pPr>
    </w:p>
    <w:p>
      <w:pPr>
        <w:jc w:val="both"/>
        <w:ind w:right="179"/>
        <w:spacing w:after="0" w:line="250" w:lineRule="auto"/>
        <w:rPr>
          <w:sz w:val="20"/>
          <w:szCs w:val="20"/>
          <w:color w:val="auto"/>
        </w:rPr>
      </w:pPr>
      <w:r>
        <w:rPr>
          <w:rFonts w:ascii="Arial" w:cs="Arial" w:eastAsia="Arial" w:hAnsi="Arial"/>
          <w:sz w:val="20"/>
          <w:szCs w:val="20"/>
          <w:color w:val="auto"/>
        </w:rPr>
        <w:t>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93"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 xml:space="preserve">Part II </w:t>
      </w:r>
      <w:r>
        <w:rPr>
          <w:rFonts w:ascii="Arial" w:cs="Arial" w:eastAsia="Arial" w:hAnsi="Arial"/>
          <w:sz w:val="14"/>
          <w:szCs w:val="14"/>
          <w:b w:val="1"/>
          <w:bCs w:val="1"/>
          <w:color w:val="auto"/>
        </w:rPr>
        <w:t>-</w:t>
      </w:r>
      <w:r>
        <w:rPr>
          <w:rFonts w:ascii="Arial" w:cs="Arial" w:eastAsia="Arial" w:hAnsi="Arial"/>
          <w:sz w:val="20"/>
          <w:szCs w:val="20"/>
          <w:b w:val="1"/>
          <w:bCs w:val="1"/>
          <w:color w:val="auto"/>
        </w:rPr>
        <w:t xml:space="preserve">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r>
        <w:rPr>
          <w:rFonts w:ascii="Arial" w:cs="Arial" w:eastAsia="Arial" w:hAnsi="Arial"/>
          <w:sz w:val="20"/>
          <w:szCs w:val="20"/>
          <w:color w:val="auto"/>
        </w:rPr>
        <w:t>.</w:t>
      </w:r>
    </w:p>
    <w:p>
      <w:pPr>
        <w:spacing w:after="0" w:line="235" w:lineRule="exact"/>
        <w:rPr>
          <w:sz w:val="20"/>
          <w:szCs w:val="20"/>
          <w:color w:val="auto"/>
        </w:rPr>
      </w:pPr>
    </w:p>
    <w:p>
      <w:pPr>
        <w:jc w:val="both"/>
        <w:ind w:right="179"/>
        <w:spacing w:after="0" w:line="250" w:lineRule="auto"/>
        <w:rPr>
          <w:sz w:val="20"/>
          <w:szCs w:val="20"/>
          <w:color w:val="auto"/>
        </w:rPr>
      </w:pPr>
      <w:r>
        <w:rPr>
          <w:rFonts w:ascii="Arial" w:cs="Arial" w:eastAsia="Arial" w:hAnsi="Arial"/>
          <w:sz w:val="20"/>
          <w:szCs w:val="20"/>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1A.Risk Factors.</w:t>
      </w:r>
    </w:p>
    <w:p>
      <w:pPr>
        <w:spacing w:after="0" w:line="235" w:lineRule="exact"/>
        <w:rPr>
          <w:sz w:val="20"/>
          <w:szCs w:val="20"/>
          <w:color w:val="auto"/>
        </w:rPr>
      </w:pPr>
    </w:p>
    <w:p>
      <w:pPr>
        <w:jc w:val="both"/>
        <w:ind w:right="179"/>
        <w:spacing w:after="0" w:line="260" w:lineRule="auto"/>
        <w:rPr>
          <w:sz w:val="20"/>
          <w:szCs w:val="20"/>
          <w:color w:val="auto"/>
        </w:rPr>
      </w:pPr>
      <w:r>
        <w:rPr>
          <w:rFonts w:ascii="Arial" w:cs="Arial" w:eastAsia="Arial" w:hAnsi="Arial"/>
          <w:sz w:val="20"/>
          <w:szCs w:val="20"/>
          <w:color w:val="auto"/>
        </w:rPr>
        <w:t>As a smaller reporting company, the Company is not required to provide information typically disclosed under this item.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 and Use of Proceeds from Registered Securities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35" w:lineRule="exact"/>
        <w:rPr>
          <w:sz w:val="20"/>
          <w:szCs w:val="20"/>
          <w:color w:val="auto"/>
        </w:rPr>
      </w:pPr>
    </w:p>
    <w:p>
      <w:pPr>
        <w:jc w:val="both"/>
        <w:ind w:right="159"/>
        <w:spacing w:after="0" w:line="243" w:lineRule="auto"/>
        <w:rPr>
          <w:sz w:val="20"/>
          <w:szCs w:val="20"/>
          <w:color w:val="auto"/>
        </w:rPr>
      </w:pPr>
      <w:r>
        <w:rPr>
          <w:rFonts w:ascii="Arial" w:cs="Arial" w:eastAsia="Arial" w:hAnsi="Arial"/>
          <w:sz w:val="20"/>
          <w:szCs w:val="20"/>
          <w:color w:val="auto"/>
        </w:rPr>
        <w:t>In September 2018, the Board of Directors of the Company approved a Stock Repurchase Plan that authorized the repurchase of 300,000 shares of the Company's Class A Common Stock in the open market. The Stock Repurchase Plan was amended on December 4, 2020. The amendment authorized the repurchase of a total of 1,000,000 shares of the Company’s Class A Common Stock in the open market. The repurchased shares of Class A common stock will be held as treasury shares to be used as the Company's employer matching contribution to the Employee 401(k) Retirement Savings Plan.</w:t>
      </w:r>
    </w:p>
    <w:p>
      <w:pPr>
        <w:spacing w:after="0" w:line="209" w:lineRule="exact"/>
        <w:rPr>
          <w:sz w:val="20"/>
          <w:szCs w:val="20"/>
          <w:color w:val="auto"/>
        </w:rPr>
      </w:pPr>
    </w:p>
    <w:p>
      <w:pPr>
        <w:jc w:val="both"/>
        <w:ind w:right="179"/>
        <w:spacing w:after="0" w:line="260" w:lineRule="auto"/>
        <w:rPr>
          <w:sz w:val="20"/>
          <w:szCs w:val="20"/>
          <w:color w:val="auto"/>
        </w:rPr>
      </w:pPr>
      <w:r>
        <w:rPr>
          <w:rFonts w:ascii="Arial" w:cs="Arial" w:eastAsia="Arial" w:hAnsi="Arial"/>
          <w:sz w:val="20"/>
          <w:szCs w:val="20"/>
          <w:color w:val="auto"/>
        </w:rPr>
        <w:t>The following table shows the Company's repurchase activity during the three months ended March 31, 2021 under the Stock Repurchase Plan.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(a) Total</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(c) Total Number of</w:t>
            </w:r>
          </w:p>
        </w:tc>
        <w:tc>
          <w:tcPr>
            <w:tcW w:w="24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(d) Maximum Number (or</w:t>
            </w:r>
          </w:p>
        </w:tc>
      </w:tr>
      <w:tr>
        <w:trPr>
          <w:trHeight w:val="216"/>
        </w:trPr>
        <w:tc>
          <w:tcPr>
            <w:tcW w:w="192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Number</w:t>
            </w:r>
          </w:p>
        </w:tc>
        <w:tc>
          <w:tcPr>
            <w:tcW w:w="134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(b) Average</w:t>
            </w:r>
          </w:p>
        </w:tc>
        <w:tc>
          <w:tcPr>
            <w:tcW w:w="20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Class A Shares</w:t>
            </w:r>
          </w:p>
        </w:tc>
        <w:tc>
          <w:tcPr>
            <w:tcW w:w="24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Approximate Dollar Value)</w:t>
            </w:r>
          </w:p>
        </w:tc>
      </w:tr>
      <w:tr>
        <w:trPr>
          <w:trHeight w:val="216"/>
        </w:trPr>
        <w:tc>
          <w:tcPr>
            <w:tcW w:w="192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of Class A</w:t>
            </w:r>
          </w:p>
        </w:tc>
        <w:tc>
          <w:tcPr>
            <w:tcW w:w="34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Price</w:t>
            </w:r>
          </w:p>
        </w:tc>
        <w:tc>
          <w:tcPr>
            <w:tcW w:w="202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Purchased as Part</w:t>
            </w:r>
          </w:p>
        </w:tc>
        <w:tc>
          <w:tcPr>
            <w:tcW w:w="24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of Class A Shares that May Yet</w:t>
            </w:r>
          </w:p>
        </w:tc>
      </w:tr>
      <w:tr>
        <w:trPr>
          <w:trHeight w:val="216"/>
        </w:trPr>
        <w:tc>
          <w:tcPr>
            <w:tcW w:w="192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Shares</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Paid per Class A</w:t>
            </w:r>
          </w:p>
        </w:tc>
        <w:tc>
          <w:tcPr>
            <w:tcW w:w="20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of Publicly Announced</w:t>
            </w:r>
          </w:p>
        </w:tc>
        <w:tc>
          <w:tcPr>
            <w:tcW w:w="248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Be Purchased Under the</w:t>
            </w:r>
          </w:p>
        </w:tc>
      </w:tr>
      <w:tr>
        <w:trPr>
          <w:trHeight w:val="237"/>
        </w:trPr>
        <w:tc>
          <w:tcPr>
            <w:tcW w:w="1920" w:type="dxa"/>
            <w:vAlign w:val="bottom"/>
          </w:tcPr>
          <w:p>
            <w:pPr>
              <w:jc w:val="right"/>
              <w:ind w:right="630"/>
              <w:spacing w:after="0"/>
              <w:rPr>
                <w:sz w:val="20"/>
                <w:szCs w:val="20"/>
                <w:color w:val="auto"/>
              </w:rPr>
            </w:pPr>
            <w:r>
              <w:rPr>
                <w:rFonts w:ascii="Arial" w:cs="Arial" w:eastAsia="Arial" w:hAnsi="Arial"/>
                <w:sz w:val="18"/>
                <w:szCs w:val="18"/>
                <w:color w:val="auto"/>
              </w:rPr>
              <w:t>Period</w:t>
            </w: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Purchased</w:t>
            </w:r>
          </w:p>
        </w:tc>
        <w:tc>
          <w:tcPr>
            <w:tcW w:w="340" w:type="dxa"/>
            <w:vAlign w:val="bottom"/>
          </w:tcPr>
          <w:p>
            <w:pPr>
              <w:spacing w:after="0"/>
              <w:rPr>
                <w:sz w:val="20"/>
                <w:szCs w:val="20"/>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Share</w:t>
            </w:r>
          </w:p>
        </w:tc>
        <w:tc>
          <w:tcPr>
            <w:tcW w:w="20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Plan or Program</w:t>
            </w:r>
          </w:p>
        </w:tc>
        <w:tc>
          <w:tcPr>
            <w:tcW w:w="24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Plan or Program</w:t>
            </w:r>
          </w:p>
        </w:tc>
      </w:tr>
      <w:tr>
        <w:trPr>
          <w:trHeight w:val="243"/>
        </w:trPr>
        <w:tc>
          <w:tcPr>
            <w:tcW w:w="19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1/1/2021-1/31/2021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8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ind w:left="190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tcBorders>
            <w:shd w:val="clear" w:color="auto" w:fill="CCEEFF"/>
          </w:tcPr>
          <w:p>
            <w:pPr>
              <w:spacing w:after="0"/>
              <w:rPr>
                <w:sz w:val="21"/>
                <w:szCs w:val="21"/>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740,575</w:t>
            </w:r>
          </w:p>
        </w:tc>
        <w:tc>
          <w:tcPr>
            <w:tcW w:w="20" w:type="dxa"/>
            <w:vAlign w:val="bottom"/>
          </w:tcPr>
          <w:p>
            <w:pPr>
              <w:spacing w:after="0"/>
              <w:rPr>
                <w:sz w:val="21"/>
                <w:szCs w:val="21"/>
                <w:color w:val="auto"/>
              </w:rPr>
            </w:pPr>
          </w:p>
        </w:tc>
      </w:tr>
      <w:tr>
        <w:trPr>
          <w:trHeight w:val="230"/>
        </w:trPr>
        <w:tc>
          <w:tcPr>
            <w:tcW w:w="1920" w:type="dxa"/>
            <w:vAlign w:val="bottom"/>
          </w:tcPr>
          <w:p>
            <w:pPr>
              <w:jc w:val="right"/>
              <w:ind w:right="210"/>
              <w:spacing w:after="0"/>
              <w:rPr>
                <w:sz w:val="20"/>
                <w:szCs w:val="20"/>
                <w:color w:val="auto"/>
              </w:rPr>
            </w:pPr>
            <w:r>
              <w:rPr>
                <w:rFonts w:ascii="Arial" w:cs="Arial" w:eastAsia="Arial" w:hAnsi="Arial"/>
                <w:sz w:val="18"/>
                <w:szCs w:val="18"/>
                <w:color w:val="auto"/>
              </w:rPr>
              <w:t>2/1/2021-2/28/2021</w:t>
            </w:r>
          </w:p>
        </w:tc>
        <w:tc>
          <w:tcPr>
            <w:tcW w:w="1260" w:type="dxa"/>
            <w:vAlign w:val="bottom"/>
          </w:tcPr>
          <w:p>
            <w:pPr>
              <w:jc w:val="right"/>
              <w:spacing w:after="0"/>
              <w:rPr>
                <w:sz w:val="20"/>
                <w:szCs w:val="20"/>
                <w:color w:val="auto"/>
              </w:rPr>
            </w:pPr>
            <w:r>
              <w:rPr>
                <w:rFonts w:ascii="Arial" w:cs="Arial" w:eastAsia="Arial" w:hAnsi="Arial"/>
                <w:sz w:val="18"/>
                <w:szCs w:val="18"/>
                <w:color w:val="auto"/>
              </w:rPr>
              <w:t>4,598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20"/>
                <w:szCs w:val="20"/>
                <w:color w:val="auto"/>
              </w:rPr>
            </w:pPr>
          </w:p>
        </w:tc>
        <w:tc>
          <w:tcPr>
            <w:tcW w:w="202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735,977</w:t>
            </w:r>
          </w:p>
        </w:tc>
        <w:tc>
          <w:tcPr>
            <w:tcW w:w="20" w:type="dxa"/>
            <w:vAlign w:val="bottom"/>
          </w:tcPr>
          <w:p>
            <w:pPr>
              <w:spacing w:after="0"/>
              <w:rPr>
                <w:sz w:val="20"/>
                <w:szCs w:val="20"/>
                <w:color w:val="auto"/>
              </w:rPr>
            </w:pPr>
          </w:p>
        </w:tc>
      </w:tr>
      <w:tr>
        <w:trPr>
          <w:trHeight w:val="256"/>
        </w:trPr>
        <w:tc>
          <w:tcPr>
            <w:tcW w:w="1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3/1/2021-3/31/2021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735,977</w:t>
            </w:r>
          </w:p>
        </w:tc>
        <w:tc>
          <w:tcPr>
            <w:tcW w:w="20" w:type="dxa"/>
            <w:vAlign w:val="bottom"/>
          </w:tcPr>
          <w:p>
            <w:pPr>
              <w:spacing w:after="0"/>
              <w:rPr>
                <w:sz w:val="22"/>
                <w:szCs w:val="22"/>
                <w:color w:val="auto"/>
              </w:rPr>
            </w:pPr>
          </w:p>
        </w:tc>
      </w:tr>
      <w:tr>
        <w:trPr>
          <w:trHeight w:val="243"/>
        </w:trPr>
        <w:tc>
          <w:tcPr>
            <w:tcW w:w="19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gridSpan w:val="2"/>
          </w:tcPr>
          <w:p>
            <w:pPr>
              <w:spacing w:after="0"/>
              <w:rPr>
                <w:sz w:val="21"/>
                <w:szCs w:val="21"/>
                <w:color w:val="auto"/>
              </w:rPr>
            </w:pPr>
          </w:p>
        </w:tc>
      </w:tr>
      <w:tr>
        <w:trPr>
          <w:trHeight w:val="236"/>
        </w:trPr>
        <w:tc>
          <w:tcPr>
            <w:tcW w:w="1920" w:type="dxa"/>
            <w:vAlign w:val="bottom"/>
            <w:tcBorders>
              <w:top w:val="single" w:sz="8" w:color="CCEEFF"/>
              <w:bottom w:val="single" w:sz="8" w:color="CCEEFF"/>
            </w:tcBorders>
            <w:shd w:val="clear" w:color="auto" w:fill="CCEEFF"/>
          </w:tcPr>
          <w:p>
            <w:pPr>
              <w:jc w:val="right"/>
              <w:ind w:right="1450"/>
              <w:spacing w:after="0"/>
              <w:rPr>
                <w:sz w:val="20"/>
                <w:szCs w:val="20"/>
                <w:color w:val="auto"/>
              </w:rPr>
            </w:pPr>
            <w:r>
              <w:rPr>
                <w:rFonts w:ascii="Arial" w:cs="Arial" w:eastAsia="Arial" w:hAnsi="Arial"/>
                <w:sz w:val="18"/>
                <w:szCs w:val="18"/>
                <w:color w:val="auto"/>
                <w:w w:val="89"/>
              </w:rPr>
              <w:t>Total</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auto"/>
              <w:bottom w:val="single" w:sz="8" w:color="auto"/>
            </w:tcBorders>
            <w:shd w:val="clear" w:color="auto" w:fill="CCEEFF"/>
          </w:tcPr>
          <w:p>
            <w:pPr>
              <w:ind w:left="190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735,977</w:t>
            </w:r>
          </w:p>
        </w:tc>
        <w:tc>
          <w:tcPr>
            <w:tcW w:w="20" w:type="dxa"/>
            <w:vAlign w:val="bottom"/>
          </w:tcPr>
          <w:p>
            <w:pPr>
              <w:spacing w:after="0"/>
              <w:rPr>
                <w:sz w:val="20"/>
                <w:szCs w:val="20"/>
                <w:color w:val="auto"/>
              </w:rPr>
            </w:pPr>
          </w:p>
        </w:tc>
      </w:tr>
      <w:tr>
        <w:trPr>
          <w:trHeight w:val="20"/>
        </w:trPr>
        <w:tc>
          <w:tcPr>
            <w:tcW w:w="1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57607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39"/>
          </w:cols>
          <w:pgMar w:left="1220" w:top="122" w:right="1440"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 Financial Statements Schedules and Reports on Form 8-K.</w:t>
      </w:r>
    </w:p>
    <w:p>
      <w:pPr>
        <w:spacing w:after="0" w:line="23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(a)(1)</w:t>
      </w:r>
      <w:r>
        <w:rPr>
          <w:sz w:val="20"/>
          <w:szCs w:val="20"/>
          <w:color w:val="auto"/>
        </w:rPr>
        <w:tab/>
      </w:r>
      <w:r>
        <w:rPr>
          <w:rFonts w:ascii="Arial" w:cs="Arial" w:eastAsia="Arial" w:hAnsi="Arial"/>
          <w:sz w:val="16"/>
          <w:szCs w:val="16"/>
          <w:u w:val="single" w:color="auto"/>
          <w:color w:val="auto"/>
        </w:rPr>
        <w:t>Financial Statements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See “Table of Contents – Part I – Financial Information” under page 2 above</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(a)(2)</w:t>
      </w:r>
      <w:r>
        <w:rPr>
          <w:sz w:val="20"/>
          <w:szCs w:val="20"/>
          <w:color w:val="auto"/>
        </w:rPr>
        <w:tab/>
      </w:r>
      <w:r>
        <w:rPr>
          <w:rFonts w:ascii="Arial" w:cs="Arial" w:eastAsia="Arial" w:hAnsi="Arial"/>
          <w:sz w:val="16"/>
          <w:szCs w:val="16"/>
          <w:u w:val="single" w:color="auto"/>
          <w:color w:val="auto"/>
        </w:rPr>
        <w:t>Financial Statement Schedules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None</w:t>
      </w:r>
    </w:p>
    <w:p>
      <w:pPr>
        <w:spacing w:after="0" w:line="229" w:lineRule="exact"/>
        <w:rPr>
          <w:sz w:val="20"/>
          <w:szCs w:val="20"/>
          <w:color w:val="auto"/>
        </w:rPr>
      </w:pPr>
    </w:p>
    <w:p>
      <w:pPr>
        <w:ind w:left="640" w:right="179"/>
        <w:spacing w:after="0" w:line="287" w:lineRule="auto"/>
        <w:rPr>
          <w:sz w:val="20"/>
          <w:szCs w:val="20"/>
          <w:color w:val="auto"/>
        </w:rPr>
      </w:pPr>
      <w:r>
        <w:rPr>
          <w:rFonts w:ascii="Arial" w:cs="Arial" w:eastAsia="Arial" w:hAnsi="Arial"/>
          <w:sz w:val="19"/>
          <w:szCs w:val="19"/>
          <w:color w:val="auto"/>
        </w:rPr>
        <w:t>All other schedules to the consolidated financial statements required by Article 7 of Regulation S-X are not required under the related instructions or are inapplicable and therefore have been omitted.</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(a)(3)</w:t>
      </w:r>
      <w:r>
        <w:rPr>
          <w:sz w:val="20"/>
          <w:szCs w:val="20"/>
          <w:color w:val="auto"/>
        </w:rPr>
        <w:tab/>
      </w:r>
      <w:r>
        <w:rPr>
          <w:rFonts w:ascii="Arial" w:cs="Arial" w:eastAsia="Arial" w:hAnsi="Arial"/>
          <w:sz w:val="18"/>
          <w:szCs w:val="18"/>
          <w:u w:val="single" w:color="auto"/>
          <w:color w:val="auto"/>
        </w:rPr>
        <w:t>Exhibits</w:t>
      </w:r>
    </w:p>
    <w:p>
      <w:pPr>
        <w:spacing w:after="0" w:line="229" w:lineRule="exact"/>
        <w:rPr>
          <w:sz w:val="20"/>
          <w:szCs w:val="20"/>
          <w:color w:val="auto"/>
        </w:rPr>
      </w:pPr>
    </w:p>
    <w:p>
      <w:pPr>
        <w:ind w:left="640" w:right="179"/>
        <w:spacing w:after="0" w:line="260" w:lineRule="auto"/>
        <w:rPr>
          <w:sz w:val="20"/>
          <w:szCs w:val="20"/>
          <w:color w:val="auto"/>
        </w:rPr>
      </w:pPr>
      <w:r>
        <w:rPr>
          <w:rFonts w:ascii="Arial" w:cs="Arial" w:eastAsia="Arial" w:hAnsi="Arial"/>
          <w:sz w:val="20"/>
          <w:szCs w:val="20"/>
          <w:color w:val="auto"/>
        </w:rPr>
        <w:t>The following Exhibits are filed herewith pursuant to Rule 601 of Regulation S-K or are incorporated by reference to previous filings.</w:t>
      </w:r>
    </w:p>
    <w:p>
      <w:pPr>
        <w:spacing w:after="0" w:line="207" w:lineRule="exact"/>
        <w:rPr>
          <w:sz w:val="20"/>
          <w:szCs w:val="20"/>
          <w:color w:val="auto"/>
        </w:rPr>
      </w:pPr>
    </w:p>
    <w:tbl>
      <w:tblPr>
        <w:tblLayout w:type="fixed"/>
        <w:tblInd w:w="720" w:type="dxa"/>
        <w:tblCellMar>
          <w:top w:w="0" w:type="dxa"/>
          <w:left w:w="0" w:type="dxa"/>
          <w:bottom w:w="0" w:type="dxa"/>
          <w:right w:w="0" w:type="dxa"/>
        </w:tblCellMar>
      </w:tblPr>
      <w:tr>
        <w:trPr>
          <w:trHeight w:val="237"/>
        </w:trPr>
        <w:tc>
          <w:tcPr>
            <w:tcW w:w="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3.1</w:t>
            </w:r>
          </w:p>
        </w:tc>
        <w:tc>
          <w:tcPr>
            <w:tcW w:w="7440" w:type="dxa"/>
            <w:vAlign w:val="bottom"/>
            <w:gridSpan w:val="16"/>
            <w:shd w:val="clear" w:color="auto" w:fill="CCEEFF"/>
          </w:tcPr>
          <w:p>
            <w:pPr>
              <w:spacing w:after="0"/>
              <w:rPr>
                <w:rFonts w:ascii="Arial" w:cs="Arial" w:eastAsia="Arial" w:hAnsi="Arial"/>
                <w:sz w:val="20"/>
                <w:szCs w:val="20"/>
                <w:color w:val="0000EE"/>
              </w:rPr>
            </w:pPr>
            <w:hyperlink r:id="rId77">
              <w:r>
                <w:rPr>
                  <w:rFonts w:ascii="Arial" w:cs="Arial" w:eastAsia="Arial" w:hAnsi="Arial"/>
                  <w:sz w:val="20"/>
                  <w:szCs w:val="20"/>
                  <w:color w:val="0000EE"/>
                </w:rPr>
                <w:t xml:space="preserve">Amended and Restated Articles of Incorporation </w:t>
              </w:r>
            </w:hyperlink>
            <w:r>
              <w:rPr>
                <w:rFonts w:ascii="Arial" w:cs="Arial" w:eastAsia="Arial" w:hAnsi="Arial"/>
                <w:sz w:val="20"/>
                <w:szCs w:val="20"/>
                <w:color w:val="000000"/>
              </w:rPr>
              <w:t>(4)</w:t>
            </w:r>
          </w:p>
        </w:tc>
      </w:tr>
      <w:tr>
        <w:trPr>
          <w:trHeight w:val="229"/>
        </w:trPr>
        <w:tc>
          <w:tcPr>
            <w:tcW w:w="920" w:type="dxa"/>
            <w:vAlign w:val="bottom"/>
            <w:tcBorders>
              <w:top w:val="single" w:sz="8" w:color="CCEEFF"/>
            </w:tcBorders>
          </w:tcPr>
          <w:p>
            <w:pPr>
              <w:ind w:left="20"/>
              <w:spacing w:after="0"/>
              <w:rPr>
                <w:sz w:val="20"/>
                <w:szCs w:val="20"/>
                <w:color w:val="auto"/>
              </w:rPr>
            </w:pPr>
            <w:r>
              <w:rPr>
                <w:rFonts w:ascii="Arial" w:cs="Arial" w:eastAsia="Arial" w:hAnsi="Arial"/>
                <w:sz w:val="20"/>
                <w:szCs w:val="20"/>
                <w:color w:val="auto"/>
              </w:rPr>
              <w:t>3.2</w:t>
            </w:r>
          </w:p>
        </w:tc>
        <w:tc>
          <w:tcPr>
            <w:tcW w:w="3860" w:type="dxa"/>
            <w:vAlign w:val="bottom"/>
            <w:tcBorders>
              <w:top w:val="single" w:sz="8" w:color="0000FF"/>
            </w:tcBorders>
            <w:gridSpan w:val="7"/>
          </w:tcPr>
          <w:p>
            <w:pPr>
              <w:spacing w:after="0"/>
              <w:rPr>
                <w:rFonts w:ascii="Arial" w:cs="Arial" w:eastAsia="Arial" w:hAnsi="Arial"/>
                <w:sz w:val="20"/>
                <w:szCs w:val="20"/>
                <w:color w:val="0000EE"/>
              </w:rPr>
            </w:pPr>
            <w:hyperlink r:id="rId78">
              <w:r>
                <w:rPr>
                  <w:rFonts w:ascii="Arial" w:cs="Arial" w:eastAsia="Arial" w:hAnsi="Arial"/>
                  <w:sz w:val="20"/>
                  <w:szCs w:val="20"/>
                  <w:color w:val="0000EE"/>
                </w:rPr>
                <w:t xml:space="preserve">Amended and Restated Bylaws </w:t>
              </w:r>
            </w:hyperlink>
            <w:r>
              <w:rPr>
                <w:rFonts w:ascii="Arial" w:cs="Arial" w:eastAsia="Arial" w:hAnsi="Arial"/>
                <w:sz w:val="20"/>
                <w:szCs w:val="20"/>
                <w:color w:val="000000"/>
              </w:rPr>
              <w:t>(7)</w:t>
            </w:r>
          </w:p>
        </w:tc>
        <w:tc>
          <w:tcPr>
            <w:tcW w:w="3580" w:type="dxa"/>
            <w:vAlign w:val="bottom"/>
            <w:tcBorders>
              <w:top w:val="single" w:sz="8" w:color="CCEEFF"/>
            </w:tcBorders>
            <w:gridSpan w:val="9"/>
          </w:tcPr>
          <w:p>
            <w:pPr>
              <w:spacing w:after="0"/>
              <w:rPr>
                <w:sz w:val="19"/>
                <w:szCs w:val="19"/>
                <w:color w:val="auto"/>
              </w:rPr>
            </w:pPr>
          </w:p>
        </w:tc>
      </w:tr>
      <w:tr>
        <w:trPr>
          <w:trHeight w:val="27"/>
        </w:trPr>
        <w:tc>
          <w:tcPr>
            <w:tcW w:w="92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4.1</w:t>
            </w:r>
          </w:p>
        </w:tc>
        <w:tc>
          <w:tcPr>
            <w:tcW w:w="7440" w:type="dxa"/>
            <w:vAlign w:val="bottom"/>
            <w:gridSpan w:val="16"/>
            <w:shd w:val="clear" w:color="auto" w:fill="CCEEFF"/>
          </w:tcPr>
          <w:p>
            <w:pPr>
              <w:spacing w:after="0"/>
              <w:rPr>
                <w:sz w:val="20"/>
                <w:szCs w:val="20"/>
                <w:color w:val="auto"/>
              </w:rPr>
            </w:pPr>
            <w:r>
              <w:rPr>
                <w:rFonts w:ascii="Arial" w:cs="Arial" w:eastAsia="Arial" w:hAnsi="Arial"/>
                <w:sz w:val="20"/>
                <w:szCs w:val="20"/>
                <w:color w:val="auto"/>
              </w:rPr>
              <w:t>Specimen Class A Stock Certificate (1)</w:t>
            </w:r>
          </w:p>
        </w:tc>
      </w:tr>
      <w:tr>
        <w:trPr>
          <w:trHeight w:val="253"/>
        </w:trPr>
        <w:tc>
          <w:tcPr>
            <w:tcW w:w="920" w:type="dxa"/>
            <w:vAlign w:val="bottom"/>
          </w:tcPr>
          <w:p>
            <w:pPr>
              <w:ind w:left="20"/>
              <w:spacing w:after="0"/>
              <w:rPr>
                <w:sz w:val="20"/>
                <w:szCs w:val="20"/>
                <w:color w:val="auto"/>
              </w:rPr>
            </w:pPr>
            <w:r>
              <w:rPr>
                <w:rFonts w:ascii="Arial" w:cs="Arial" w:eastAsia="Arial" w:hAnsi="Arial"/>
                <w:sz w:val="20"/>
                <w:szCs w:val="20"/>
                <w:color w:val="auto"/>
              </w:rPr>
              <w:t>4.2</w:t>
            </w:r>
          </w:p>
        </w:tc>
        <w:tc>
          <w:tcPr>
            <w:tcW w:w="7440" w:type="dxa"/>
            <w:vAlign w:val="bottom"/>
            <w:gridSpan w:val="16"/>
          </w:tcPr>
          <w:p>
            <w:pPr>
              <w:spacing w:after="0"/>
              <w:rPr>
                <w:sz w:val="20"/>
                <w:szCs w:val="20"/>
                <w:color w:val="auto"/>
              </w:rPr>
            </w:pPr>
            <w:r>
              <w:rPr>
                <w:rFonts w:ascii="Arial" w:cs="Arial" w:eastAsia="Arial" w:hAnsi="Arial"/>
                <w:sz w:val="20"/>
                <w:szCs w:val="20"/>
                <w:color w:val="auto"/>
              </w:rPr>
              <w:t>Specimen Class C Stock Certificate (1)</w:t>
            </w:r>
          </w:p>
        </w:tc>
      </w:tr>
      <w:tr>
        <w:trPr>
          <w:trHeight w:val="260"/>
        </w:trPr>
        <w:tc>
          <w:tcPr>
            <w:tcW w:w="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4.3</w:t>
            </w:r>
          </w:p>
        </w:tc>
        <w:tc>
          <w:tcPr>
            <w:tcW w:w="7440" w:type="dxa"/>
            <w:vAlign w:val="bottom"/>
            <w:gridSpan w:val="16"/>
            <w:shd w:val="clear" w:color="auto" w:fill="CCEEFF"/>
          </w:tcPr>
          <w:p>
            <w:pPr>
              <w:spacing w:after="0"/>
              <w:rPr>
                <w:sz w:val="20"/>
                <w:szCs w:val="20"/>
                <w:color w:val="auto"/>
              </w:rPr>
            </w:pPr>
            <w:r>
              <w:rPr>
                <w:rFonts w:ascii="Arial" w:cs="Arial" w:eastAsia="Arial" w:hAnsi="Arial"/>
                <w:sz w:val="20"/>
                <w:szCs w:val="20"/>
                <w:color w:val="auto"/>
                <w:w w:val="93"/>
              </w:rPr>
              <w:t>Specimen Preferred Stock Certificate and Certificate of Designation of Preferred Stock (1)</w:t>
            </w:r>
          </w:p>
        </w:tc>
      </w:tr>
      <w:tr>
        <w:trPr>
          <w:trHeight w:val="253"/>
        </w:trPr>
        <w:tc>
          <w:tcPr>
            <w:tcW w:w="920" w:type="dxa"/>
            <w:vAlign w:val="bottom"/>
          </w:tcPr>
          <w:p>
            <w:pPr>
              <w:ind w:left="20"/>
              <w:spacing w:after="0"/>
              <w:rPr>
                <w:sz w:val="20"/>
                <w:szCs w:val="20"/>
                <w:color w:val="auto"/>
              </w:rPr>
            </w:pPr>
            <w:r>
              <w:rPr>
                <w:rFonts w:ascii="Arial" w:cs="Arial" w:eastAsia="Arial" w:hAnsi="Arial"/>
                <w:sz w:val="20"/>
                <w:szCs w:val="20"/>
                <w:color w:val="auto"/>
              </w:rPr>
              <w:t>10.1</w:t>
            </w:r>
          </w:p>
        </w:tc>
        <w:tc>
          <w:tcPr>
            <w:tcW w:w="7440" w:type="dxa"/>
            <w:vAlign w:val="bottom"/>
            <w:gridSpan w:val="16"/>
          </w:tcPr>
          <w:p>
            <w:pPr>
              <w:spacing w:after="0"/>
              <w:rPr>
                <w:sz w:val="20"/>
                <w:szCs w:val="20"/>
                <w:color w:val="auto"/>
              </w:rPr>
            </w:pPr>
            <w:r>
              <w:rPr>
                <w:rFonts w:ascii="Arial" w:cs="Arial" w:eastAsia="Arial" w:hAnsi="Arial"/>
                <w:sz w:val="20"/>
                <w:szCs w:val="20"/>
                <w:color w:val="auto"/>
                <w:w w:val="89"/>
              </w:rPr>
              <w:t>Employee Stock Ownership Plan, as amended and restated (ESOP) and Trust Agreement (1)</w:t>
            </w:r>
          </w:p>
        </w:tc>
      </w:tr>
      <w:tr>
        <w:trPr>
          <w:trHeight w:val="240"/>
        </w:trPr>
        <w:tc>
          <w:tcPr>
            <w:tcW w:w="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10.2</w:t>
            </w:r>
          </w:p>
        </w:tc>
        <w:tc>
          <w:tcPr>
            <w:tcW w:w="7440" w:type="dxa"/>
            <w:vAlign w:val="bottom"/>
            <w:gridSpan w:val="16"/>
            <w:shd w:val="clear" w:color="auto" w:fill="CCEEFF"/>
          </w:tcPr>
          <w:p>
            <w:pPr>
              <w:spacing w:after="0"/>
              <w:rPr>
                <w:rFonts w:ascii="Arial" w:cs="Arial" w:eastAsia="Arial" w:hAnsi="Arial"/>
                <w:sz w:val="20"/>
                <w:szCs w:val="20"/>
                <w:color w:val="0000EE"/>
                <w:w w:val="96"/>
              </w:rPr>
            </w:pPr>
            <w:hyperlink r:id="rId79">
              <w:r>
                <w:rPr>
                  <w:rFonts w:ascii="Arial" w:cs="Arial" w:eastAsia="Arial" w:hAnsi="Arial"/>
                  <w:sz w:val="20"/>
                  <w:szCs w:val="20"/>
                  <w:color w:val="0000EE"/>
                  <w:w w:val="96"/>
                </w:rPr>
                <w:t xml:space="preserve">Amended and Restated 2013 Stock Option and Other Equity Incentive Awards Plan </w:t>
              </w:r>
            </w:hyperlink>
            <w:r>
              <w:rPr>
                <w:rFonts w:ascii="Arial" w:cs="Arial" w:eastAsia="Arial" w:hAnsi="Arial"/>
                <w:sz w:val="20"/>
                <w:szCs w:val="20"/>
                <w:color w:val="000000"/>
                <w:w w:val="96"/>
              </w:rPr>
              <w:t>(3)</w:t>
            </w:r>
          </w:p>
        </w:tc>
      </w:tr>
      <w:tr>
        <w:trPr>
          <w:trHeight w:val="237"/>
        </w:trPr>
        <w:tc>
          <w:tcPr>
            <w:tcW w:w="920" w:type="dxa"/>
            <w:vAlign w:val="bottom"/>
            <w:tcBorders>
              <w:top w:val="single" w:sz="8" w:color="CCEEFF"/>
            </w:tcBorders>
          </w:tcPr>
          <w:p>
            <w:pPr>
              <w:ind w:left="20"/>
              <w:spacing w:after="0"/>
              <w:rPr>
                <w:sz w:val="20"/>
                <w:szCs w:val="20"/>
                <w:color w:val="auto"/>
              </w:rPr>
            </w:pPr>
            <w:r>
              <w:rPr>
                <w:rFonts w:ascii="Arial" w:cs="Arial" w:eastAsia="Arial" w:hAnsi="Arial"/>
                <w:sz w:val="20"/>
                <w:szCs w:val="20"/>
                <w:color w:val="auto"/>
              </w:rPr>
              <w:t>10.3</w:t>
            </w:r>
          </w:p>
        </w:tc>
        <w:tc>
          <w:tcPr>
            <w:tcW w:w="6640" w:type="dxa"/>
            <w:vAlign w:val="bottom"/>
            <w:tcBorders>
              <w:top w:val="single" w:sz="8" w:color="0000FF"/>
            </w:tcBorders>
            <w:gridSpan w:val="10"/>
          </w:tcPr>
          <w:p>
            <w:pPr>
              <w:spacing w:after="0"/>
              <w:rPr>
                <w:sz w:val="20"/>
                <w:szCs w:val="20"/>
                <w:color w:val="auto"/>
              </w:rPr>
            </w:pPr>
            <w:r>
              <w:rPr>
                <w:rFonts w:ascii="Arial" w:cs="Arial" w:eastAsia="Arial" w:hAnsi="Arial"/>
                <w:sz w:val="20"/>
                <w:szCs w:val="20"/>
                <w:color w:val="0000FF"/>
              </w:rPr>
              <w:t xml:space="preserve">Amended and Restated 2014 Director Stock Option Plan </w:t>
            </w:r>
            <w:r>
              <w:rPr>
                <w:rFonts w:ascii="Arial" w:cs="Arial" w:eastAsia="Arial" w:hAnsi="Arial"/>
                <w:sz w:val="20"/>
                <w:szCs w:val="20"/>
                <w:color w:val="000000"/>
              </w:rPr>
              <w:t>(10)</w:t>
            </w:r>
          </w:p>
        </w:tc>
        <w:tc>
          <w:tcPr>
            <w:tcW w:w="800" w:type="dxa"/>
            <w:vAlign w:val="bottom"/>
            <w:tcBorders>
              <w:top w:val="single" w:sz="8" w:color="CCEEFF"/>
            </w:tcBorders>
            <w:gridSpan w:val="6"/>
          </w:tcPr>
          <w:p>
            <w:pPr>
              <w:spacing w:after="0"/>
              <w:rPr>
                <w:sz w:val="20"/>
                <w:szCs w:val="20"/>
                <w:color w:val="auto"/>
              </w:rPr>
            </w:pPr>
          </w:p>
        </w:tc>
      </w:tr>
      <w:tr>
        <w:trPr>
          <w:trHeight w:val="236"/>
        </w:trPr>
        <w:tc>
          <w:tcPr>
            <w:tcW w:w="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10.4</w:t>
            </w:r>
          </w:p>
        </w:tc>
        <w:tc>
          <w:tcPr>
            <w:tcW w:w="4500" w:type="dxa"/>
            <w:vAlign w:val="bottom"/>
            <w:tcBorders>
              <w:top w:val="single" w:sz="8" w:color="0000FF"/>
            </w:tcBorders>
            <w:gridSpan w:val="8"/>
            <w:shd w:val="clear" w:color="auto" w:fill="CCEEFF"/>
          </w:tcPr>
          <w:p>
            <w:pPr>
              <w:spacing w:after="0"/>
              <w:rPr>
                <w:rFonts w:ascii="Arial" w:cs="Arial" w:eastAsia="Arial" w:hAnsi="Arial"/>
                <w:sz w:val="20"/>
                <w:szCs w:val="20"/>
                <w:color w:val="0000EE"/>
              </w:rPr>
            </w:pPr>
            <w:hyperlink r:id="rId80">
              <w:r>
                <w:rPr>
                  <w:rFonts w:ascii="Arial" w:cs="Arial" w:eastAsia="Arial" w:hAnsi="Arial"/>
                  <w:sz w:val="20"/>
                  <w:szCs w:val="20"/>
                  <w:color w:val="0000EE"/>
                </w:rPr>
                <w:t xml:space="preserve">Employment Agreement with Scott M. Quist </w:t>
              </w:r>
            </w:hyperlink>
            <w:r>
              <w:rPr>
                <w:rFonts w:ascii="Arial" w:cs="Arial" w:eastAsia="Arial" w:hAnsi="Arial"/>
                <w:sz w:val="20"/>
                <w:szCs w:val="20"/>
                <w:color w:val="000000"/>
              </w:rPr>
              <w:t>(2)</w:t>
            </w:r>
          </w:p>
        </w:tc>
        <w:tc>
          <w:tcPr>
            <w:tcW w:w="2940" w:type="dxa"/>
            <w:vAlign w:val="bottom"/>
            <w:gridSpan w:val="8"/>
            <w:shd w:val="clear" w:color="auto" w:fill="CCEEFF"/>
          </w:tcPr>
          <w:p>
            <w:pPr>
              <w:spacing w:after="0"/>
              <w:rPr>
                <w:sz w:val="20"/>
                <w:szCs w:val="20"/>
                <w:color w:val="auto"/>
              </w:rPr>
            </w:pPr>
          </w:p>
        </w:tc>
      </w:tr>
      <w:tr>
        <w:trPr>
          <w:trHeight w:val="230"/>
        </w:trPr>
        <w:tc>
          <w:tcPr>
            <w:tcW w:w="920" w:type="dxa"/>
            <w:vAlign w:val="bottom"/>
            <w:tcBorders>
              <w:top w:val="single" w:sz="8" w:color="CCEEFF"/>
            </w:tcBorders>
          </w:tcPr>
          <w:p>
            <w:pPr>
              <w:ind w:left="20"/>
              <w:spacing w:after="0"/>
              <w:rPr>
                <w:sz w:val="20"/>
                <w:szCs w:val="20"/>
                <w:color w:val="auto"/>
              </w:rPr>
            </w:pPr>
            <w:r>
              <w:rPr>
                <w:rFonts w:ascii="Arial" w:cs="Arial" w:eastAsia="Arial" w:hAnsi="Arial"/>
                <w:sz w:val="20"/>
                <w:szCs w:val="20"/>
                <w:color w:val="auto"/>
              </w:rPr>
              <w:t>10.5</w:t>
            </w:r>
          </w:p>
        </w:tc>
        <w:tc>
          <w:tcPr>
            <w:tcW w:w="3560" w:type="dxa"/>
            <w:vAlign w:val="bottom"/>
            <w:tcBorders>
              <w:top w:val="single" w:sz="8" w:color="0000FF"/>
            </w:tcBorders>
            <w:gridSpan w:val="6"/>
          </w:tcPr>
          <w:p>
            <w:pPr>
              <w:spacing w:after="0"/>
              <w:rPr>
                <w:rFonts w:ascii="Arial" w:cs="Arial" w:eastAsia="Arial" w:hAnsi="Arial"/>
                <w:sz w:val="20"/>
                <w:szCs w:val="20"/>
                <w:color w:val="0000EE"/>
              </w:rPr>
            </w:pPr>
            <w:hyperlink r:id="rId81">
              <w:r>
                <w:rPr>
                  <w:rFonts w:ascii="Arial" w:cs="Arial" w:eastAsia="Arial" w:hAnsi="Arial"/>
                  <w:sz w:val="20"/>
                  <w:szCs w:val="20"/>
                  <w:color w:val="0000EE"/>
                </w:rPr>
                <w:t xml:space="preserve">Stock Repurchase Plan </w:t>
              </w:r>
            </w:hyperlink>
            <w:r>
              <w:rPr>
                <w:rFonts w:ascii="Arial" w:cs="Arial" w:eastAsia="Arial" w:hAnsi="Arial"/>
                <w:sz w:val="20"/>
                <w:szCs w:val="20"/>
                <w:color w:val="000000"/>
              </w:rPr>
              <w:t>(5)</w:t>
            </w:r>
          </w:p>
        </w:tc>
        <w:tc>
          <w:tcPr>
            <w:tcW w:w="3880" w:type="dxa"/>
            <w:vAlign w:val="bottom"/>
            <w:tcBorders>
              <w:top w:val="single" w:sz="8" w:color="CCEEFF"/>
            </w:tcBorders>
            <w:gridSpan w:val="10"/>
          </w:tcPr>
          <w:p>
            <w:pPr>
              <w:spacing w:after="0"/>
              <w:rPr>
                <w:sz w:val="19"/>
                <w:szCs w:val="19"/>
                <w:color w:val="auto"/>
              </w:rPr>
            </w:pPr>
          </w:p>
        </w:tc>
      </w:tr>
      <w:tr>
        <w:trPr>
          <w:trHeight w:val="27"/>
        </w:trPr>
        <w:tc>
          <w:tcPr>
            <w:tcW w:w="92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9"/>
        </w:trPr>
        <w:tc>
          <w:tcPr>
            <w:tcW w:w="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10.6</w:t>
            </w:r>
          </w:p>
        </w:tc>
        <w:tc>
          <w:tcPr>
            <w:tcW w:w="7440" w:type="dxa"/>
            <w:vAlign w:val="bottom"/>
            <w:gridSpan w:val="16"/>
            <w:shd w:val="clear" w:color="auto" w:fill="CCEEFF"/>
          </w:tcPr>
          <w:p>
            <w:pPr>
              <w:spacing w:after="0"/>
              <w:rPr>
                <w:rFonts w:ascii="Arial" w:cs="Arial" w:eastAsia="Arial" w:hAnsi="Arial"/>
                <w:sz w:val="20"/>
                <w:szCs w:val="20"/>
                <w:color w:val="0000EE"/>
                <w:w w:val="90"/>
              </w:rPr>
            </w:pPr>
            <w:hyperlink r:id="rId82">
              <w:r>
                <w:rPr>
                  <w:rFonts w:ascii="Arial" w:cs="Arial" w:eastAsia="Arial" w:hAnsi="Arial"/>
                  <w:sz w:val="20"/>
                  <w:szCs w:val="20"/>
                  <w:color w:val="0000EE"/>
                  <w:w w:val="90"/>
                </w:rPr>
                <w:t>Asset Purchase Agreement among SN Probst LLC, Probst Family Funerals and Cremations,</w:t>
              </w:r>
            </w:hyperlink>
          </w:p>
        </w:tc>
      </w:tr>
      <w:tr>
        <w:trPr>
          <w:trHeight w:val="210"/>
        </w:trPr>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7160" w:type="dxa"/>
            <w:vAlign w:val="bottom"/>
            <w:tcBorders>
              <w:top w:val="single" w:sz="8" w:color="0000FF"/>
            </w:tcBorders>
            <w:gridSpan w:val="14"/>
            <w:shd w:val="clear" w:color="auto" w:fill="CCEEFF"/>
          </w:tcPr>
          <w:p>
            <w:pPr>
              <w:spacing w:after="0" w:line="209" w:lineRule="exact"/>
              <w:rPr>
                <w:rFonts w:ascii="Arial" w:cs="Arial" w:eastAsia="Arial" w:hAnsi="Arial"/>
                <w:sz w:val="20"/>
                <w:szCs w:val="20"/>
                <w:color w:val="0000EE"/>
                <w:w w:val="93"/>
              </w:rPr>
            </w:pPr>
            <w:hyperlink r:id="rId82">
              <w:r>
                <w:rPr>
                  <w:rFonts w:ascii="Arial" w:cs="Arial" w:eastAsia="Arial" w:hAnsi="Arial"/>
                  <w:sz w:val="20"/>
                  <w:szCs w:val="20"/>
                  <w:color w:val="0000EE"/>
                  <w:w w:val="93"/>
                </w:rPr>
                <w:t>L.L.C, Heber Valley Funeral Home, Inc., Joe T. Probst, Clinton Wayne Probst, Calle J.</w:t>
              </w:r>
            </w:hyperlink>
          </w:p>
        </w:tc>
        <w:tc>
          <w:tcPr>
            <w:tcW w:w="140" w:type="dxa"/>
            <w:vAlign w:val="bottom"/>
            <w:tcBorders>
              <w:top w:val="single" w:sz="8" w:color="CCEEFF"/>
            </w:tcBorders>
            <w:shd w:val="clear" w:color="auto" w:fill="CCEEFF"/>
          </w:tcPr>
          <w:p>
            <w:pPr>
              <w:spacing w:after="0"/>
              <w:rPr>
                <w:sz w:val="18"/>
                <w:szCs w:val="18"/>
                <w:color w:val="auto"/>
              </w:rPr>
            </w:pPr>
          </w:p>
        </w:tc>
      </w:tr>
      <w:tr>
        <w:trPr>
          <w:trHeight w:val="210"/>
        </w:trPr>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40" w:type="dxa"/>
            <w:vAlign w:val="bottom"/>
            <w:tcBorders>
              <w:top w:val="single" w:sz="8" w:color="0000FF"/>
            </w:tcBorders>
            <w:gridSpan w:val="10"/>
            <w:shd w:val="clear" w:color="auto" w:fill="CCEEFF"/>
          </w:tcPr>
          <w:p>
            <w:pPr>
              <w:spacing w:after="0" w:line="209" w:lineRule="exact"/>
              <w:rPr>
                <w:rFonts w:ascii="Arial" w:cs="Arial" w:eastAsia="Arial" w:hAnsi="Arial"/>
                <w:sz w:val="20"/>
                <w:szCs w:val="20"/>
                <w:color w:val="0000EE"/>
              </w:rPr>
            </w:pPr>
            <w:hyperlink r:id="rId82">
              <w:r>
                <w:rPr>
                  <w:rFonts w:ascii="Arial" w:cs="Arial" w:eastAsia="Arial" w:hAnsi="Arial"/>
                  <w:sz w:val="20"/>
                  <w:szCs w:val="20"/>
                  <w:color w:val="0000EE"/>
                </w:rPr>
                <w:t xml:space="preserve">Probst, and Marsha J. Probst </w:t>
              </w:r>
              <w:r>
                <w:rPr>
                  <w:rFonts w:ascii="Arial" w:cs="Arial" w:eastAsia="Arial" w:hAnsi="Arial"/>
                  <w:sz w:val="20"/>
                  <w:szCs w:val="20"/>
                  <w:color w:val="000000"/>
                </w:rPr>
                <w:t>(6)</w:t>
              </w:r>
            </w:hyperlink>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r>
      <w:tr>
        <w:trPr>
          <w:trHeight w:val="27"/>
        </w:trPr>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30"/>
        </w:trPr>
        <w:tc>
          <w:tcPr>
            <w:tcW w:w="920" w:type="dxa"/>
            <w:vAlign w:val="bottom"/>
          </w:tcPr>
          <w:p>
            <w:pPr>
              <w:ind w:left="20"/>
              <w:spacing w:after="0"/>
              <w:rPr>
                <w:sz w:val="20"/>
                <w:szCs w:val="20"/>
                <w:color w:val="auto"/>
              </w:rPr>
            </w:pPr>
            <w:r>
              <w:rPr>
                <w:rFonts w:ascii="Arial" w:cs="Arial" w:eastAsia="Arial" w:hAnsi="Arial"/>
                <w:sz w:val="20"/>
                <w:szCs w:val="20"/>
                <w:color w:val="auto"/>
              </w:rPr>
              <w:t>10.7</w:t>
            </w:r>
          </w:p>
        </w:tc>
        <w:tc>
          <w:tcPr>
            <w:tcW w:w="7440" w:type="dxa"/>
            <w:vAlign w:val="bottom"/>
            <w:gridSpan w:val="16"/>
          </w:tcPr>
          <w:p>
            <w:pPr>
              <w:spacing w:after="0"/>
              <w:rPr>
                <w:rFonts w:ascii="Arial" w:cs="Arial" w:eastAsia="Arial" w:hAnsi="Arial"/>
                <w:sz w:val="20"/>
                <w:szCs w:val="20"/>
                <w:color w:val="0000EE"/>
                <w:w w:val="92"/>
              </w:rPr>
            </w:pPr>
            <w:hyperlink r:id="rId83">
              <w:r>
                <w:rPr>
                  <w:rFonts w:ascii="Arial" w:cs="Arial" w:eastAsia="Arial" w:hAnsi="Arial"/>
                  <w:sz w:val="20"/>
                  <w:szCs w:val="20"/>
                  <w:color w:val="0000EE"/>
                  <w:w w:val="92"/>
                </w:rPr>
                <w:t>Coinsurance Agreement between Kilpatrick Life Insurance Company and Security National</w:t>
              </w:r>
            </w:hyperlink>
          </w:p>
        </w:tc>
      </w:tr>
      <w:tr>
        <w:trPr>
          <w:trHeight w:val="209"/>
        </w:trPr>
        <w:tc>
          <w:tcPr>
            <w:tcW w:w="92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7120" w:type="dxa"/>
            <w:vAlign w:val="bottom"/>
            <w:tcBorders>
              <w:top w:val="single" w:sz="8" w:color="0000FF"/>
            </w:tcBorders>
            <w:gridSpan w:val="13"/>
          </w:tcPr>
          <w:p>
            <w:pPr>
              <w:spacing w:after="0" w:line="209" w:lineRule="exact"/>
              <w:rPr>
                <w:rFonts w:ascii="Arial" w:cs="Arial" w:eastAsia="Arial" w:hAnsi="Arial"/>
                <w:sz w:val="20"/>
                <w:szCs w:val="20"/>
                <w:color w:val="0000EE"/>
              </w:rPr>
            </w:pPr>
            <w:hyperlink r:id="rId83">
              <w:r>
                <w:rPr>
                  <w:rFonts w:ascii="Arial" w:cs="Arial" w:eastAsia="Arial" w:hAnsi="Arial"/>
                  <w:sz w:val="20"/>
                  <w:szCs w:val="20"/>
                  <w:color w:val="0000EE"/>
                </w:rPr>
                <w:t xml:space="preserve">Life Insurance Company </w:t>
              </w:r>
              <w:r>
                <w:rPr>
                  <w:rFonts w:ascii="Arial" w:cs="Arial" w:eastAsia="Arial" w:hAnsi="Arial"/>
                  <w:sz w:val="20"/>
                  <w:szCs w:val="20"/>
                  <w:color w:val="000000"/>
                </w:rPr>
                <w:t>(8)</w:t>
              </w:r>
            </w:hyperlink>
          </w:p>
        </w:tc>
        <w:tc>
          <w:tcPr>
            <w:tcW w:w="180" w:type="dxa"/>
            <w:vAlign w:val="bottom"/>
            <w:gridSpan w:val="2"/>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0"/>
        </w:trPr>
        <w:tc>
          <w:tcPr>
            <w:tcW w:w="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10.8</w:t>
            </w:r>
          </w:p>
        </w:tc>
        <w:tc>
          <w:tcPr>
            <w:tcW w:w="7440" w:type="dxa"/>
            <w:vAlign w:val="bottom"/>
            <w:gridSpan w:val="16"/>
            <w:shd w:val="clear" w:color="auto" w:fill="CCEEFF"/>
          </w:tcPr>
          <w:p>
            <w:pPr>
              <w:spacing w:after="0"/>
              <w:rPr>
                <w:rFonts w:ascii="Arial" w:cs="Arial" w:eastAsia="Arial" w:hAnsi="Arial"/>
                <w:sz w:val="20"/>
                <w:szCs w:val="20"/>
                <w:color w:val="0000EE"/>
                <w:w w:val="93"/>
              </w:rPr>
            </w:pPr>
            <w:hyperlink r:id="rId84">
              <w:r>
                <w:rPr>
                  <w:rFonts w:ascii="Arial" w:cs="Arial" w:eastAsia="Arial" w:hAnsi="Arial"/>
                  <w:sz w:val="20"/>
                  <w:szCs w:val="20"/>
                  <w:color w:val="0000EE"/>
                  <w:w w:val="93"/>
                </w:rPr>
                <w:t>Stock Purchase Agreement among Security National Financial Corporation, Kilpatrick Life</w:t>
              </w:r>
            </w:hyperlink>
          </w:p>
        </w:tc>
      </w:tr>
      <w:tr>
        <w:trPr>
          <w:trHeight w:val="210"/>
        </w:trPr>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7100" w:type="dxa"/>
            <w:vAlign w:val="bottom"/>
            <w:tcBorders>
              <w:top w:val="single" w:sz="8" w:color="0000FF"/>
            </w:tcBorders>
            <w:gridSpan w:val="12"/>
            <w:shd w:val="clear" w:color="auto" w:fill="CCEEFF"/>
          </w:tcPr>
          <w:p>
            <w:pPr>
              <w:spacing w:after="0" w:line="209" w:lineRule="exact"/>
              <w:rPr>
                <w:rFonts w:ascii="Arial" w:cs="Arial" w:eastAsia="Arial" w:hAnsi="Arial"/>
                <w:sz w:val="20"/>
                <w:szCs w:val="20"/>
                <w:color w:val="0000EE"/>
                <w:w w:val="95"/>
              </w:rPr>
            </w:pPr>
            <w:hyperlink r:id="rId84">
              <w:r>
                <w:rPr>
                  <w:rFonts w:ascii="Arial" w:cs="Arial" w:eastAsia="Arial" w:hAnsi="Arial"/>
                  <w:sz w:val="20"/>
                  <w:szCs w:val="20"/>
                  <w:color w:val="0000EE"/>
                  <w:w w:val="95"/>
                </w:rPr>
                <w:t xml:space="preserve">Insurance Company, and the Shareholders of Kilpatrick Life Insurance Company </w:t>
              </w:r>
              <w:r>
                <w:rPr>
                  <w:rFonts w:ascii="Arial" w:cs="Arial" w:eastAsia="Arial" w:hAnsi="Arial"/>
                  <w:sz w:val="20"/>
                  <w:szCs w:val="20"/>
                  <w:color w:val="000000"/>
                  <w:w w:val="95"/>
                </w:rPr>
                <w:t>(8)</w:t>
              </w:r>
            </w:hyperlink>
          </w:p>
        </w:tc>
        <w:tc>
          <w:tcPr>
            <w:tcW w:w="200" w:type="dxa"/>
            <w:vAlign w:val="bottom"/>
            <w:tcBorders>
              <w:top w:val="single" w:sz="8" w:color="CCEEFF"/>
            </w:tcBorders>
            <w:gridSpan w:val="3"/>
            <w:shd w:val="clear" w:color="auto" w:fill="CCEEFF"/>
          </w:tcPr>
          <w:p>
            <w:pPr>
              <w:spacing w:after="0"/>
              <w:rPr>
                <w:sz w:val="18"/>
                <w:szCs w:val="18"/>
                <w:color w:val="auto"/>
              </w:rPr>
            </w:pPr>
          </w:p>
        </w:tc>
      </w:tr>
      <w:tr>
        <w:trPr>
          <w:trHeight w:val="27"/>
        </w:trPr>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06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30"/>
        </w:trPr>
        <w:tc>
          <w:tcPr>
            <w:tcW w:w="920" w:type="dxa"/>
            <w:vAlign w:val="bottom"/>
          </w:tcPr>
          <w:p>
            <w:pPr>
              <w:ind w:left="20"/>
              <w:spacing w:after="0"/>
              <w:rPr>
                <w:sz w:val="20"/>
                <w:szCs w:val="20"/>
                <w:color w:val="auto"/>
              </w:rPr>
            </w:pPr>
            <w:r>
              <w:rPr>
                <w:rFonts w:ascii="Arial" w:cs="Arial" w:eastAsia="Arial" w:hAnsi="Arial"/>
                <w:sz w:val="20"/>
                <w:szCs w:val="20"/>
                <w:color w:val="auto"/>
              </w:rPr>
              <w:t>10.9</w:t>
            </w:r>
          </w:p>
        </w:tc>
        <w:tc>
          <w:tcPr>
            <w:tcW w:w="7440" w:type="dxa"/>
            <w:vAlign w:val="bottom"/>
            <w:gridSpan w:val="16"/>
          </w:tcPr>
          <w:p>
            <w:pPr>
              <w:spacing w:after="0"/>
              <w:rPr>
                <w:rFonts w:ascii="Arial" w:cs="Arial" w:eastAsia="Arial" w:hAnsi="Arial"/>
                <w:sz w:val="20"/>
                <w:szCs w:val="20"/>
                <w:color w:val="0000EE"/>
                <w:w w:val="92"/>
              </w:rPr>
            </w:pPr>
            <w:hyperlink r:id="rId85">
              <w:r>
                <w:rPr>
                  <w:rFonts w:ascii="Arial" w:cs="Arial" w:eastAsia="Arial" w:hAnsi="Arial"/>
                  <w:sz w:val="20"/>
                  <w:szCs w:val="20"/>
                  <w:color w:val="0000EE"/>
                  <w:w w:val="92"/>
                </w:rPr>
                <w:t>Consolidated Statement of Assets Acquired and Liabilities Assumed at December 13, 2019</w:t>
              </w:r>
            </w:hyperlink>
          </w:p>
        </w:tc>
      </w:tr>
      <w:tr>
        <w:trPr>
          <w:trHeight w:val="244"/>
        </w:trPr>
        <w:tc>
          <w:tcPr>
            <w:tcW w:w="920" w:type="dxa"/>
            <w:vAlign w:val="bottom"/>
          </w:tcPr>
          <w:p>
            <w:pPr>
              <w:spacing w:after="0"/>
              <w:rPr>
                <w:sz w:val="21"/>
                <w:szCs w:val="21"/>
                <w:color w:val="auto"/>
              </w:rPr>
            </w:pPr>
          </w:p>
        </w:tc>
        <w:tc>
          <w:tcPr>
            <w:tcW w:w="1820" w:type="dxa"/>
            <w:vAlign w:val="bottom"/>
            <w:tcBorders>
              <w:top w:val="single" w:sz="8" w:color="0000FF"/>
            </w:tcBorders>
            <w:gridSpan w:val="2"/>
          </w:tcPr>
          <w:p>
            <w:pPr>
              <w:ind w:left="140"/>
              <w:spacing w:after="0"/>
              <w:rPr>
                <w:sz w:val="20"/>
                <w:szCs w:val="20"/>
                <w:color w:val="auto"/>
              </w:rPr>
            </w:pPr>
            <w:r>
              <w:rPr>
                <w:rFonts w:ascii="Arial" w:cs="Arial" w:eastAsia="Arial" w:hAnsi="Arial"/>
                <w:sz w:val="20"/>
                <w:szCs w:val="20"/>
                <w:color w:val="auto"/>
              </w:rPr>
              <w:t>(9)</w:t>
            </w:r>
          </w:p>
        </w:tc>
        <w:tc>
          <w:tcPr>
            <w:tcW w:w="2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-3810</wp:posOffset>
            </wp:positionV>
            <wp:extent cx="5297805"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5297805" cy="162560"/>
                    </a:xfrm>
                    <a:prstGeom prst="rect">
                      <a:avLst/>
                    </a:prstGeom>
                    <a:noFill/>
                  </pic:spPr>
                </pic:pic>
              </a:graphicData>
            </a:graphic>
          </wp:anchor>
        </w:drawing>
      </w:r>
    </w:p>
    <w:p>
      <w:pPr>
        <w:ind w:left="1640" w:hanging="899"/>
        <w:spacing w:after="0"/>
        <w:tabs>
          <w:tab w:leader="none" w:pos="1640" w:val="left"/>
        </w:tabs>
        <w:numPr>
          <w:ilvl w:val="0"/>
          <w:numId w:val="62"/>
        </w:numPr>
        <w:rPr>
          <w:rFonts w:ascii="Arial" w:cs="Arial" w:eastAsia="Arial" w:hAnsi="Arial"/>
          <w:sz w:val="20"/>
          <w:szCs w:val="20"/>
          <w:color w:val="0000EE"/>
        </w:rPr>
      </w:pPr>
      <w:hyperlink r:id="rId87">
        <w:r>
          <w:rPr>
            <w:rFonts w:ascii="Arial" w:cs="Arial" w:eastAsia="Arial" w:hAnsi="Arial"/>
            <w:sz w:val="20"/>
            <w:szCs w:val="20"/>
            <w:color w:val="0000EE"/>
          </w:rPr>
          <w:t xml:space="preserve">Code of Business Conduct and Ethics </w:t>
        </w:r>
      </w:hyperlink>
      <w:r>
        <w:rPr>
          <w:rFonts w:ascii="Arial" w:cs="Arial" w:eastAsia="Arial" w:hAnsi="Arial"/>
          <w:sz w:val="20"/>
          <w:szCs w:val="20"/>
          <w:color w:val="000000"/>
        </w:rPr>
        <w:t>(7)</w:t>
      </w:r>
    </w:p>
    <w:p>
      <w:pPr>
        <w:spacing w:after="0" w:line="16" w:lineRule="exact"/>
        <w:rPr>
          <w:sz w:val="20"/>
          <w:szCs w:val="20"/>
          <w:color w:val="auto"/>
        </w:rPr>
      </w:pPr>
    </w:p>
    <w:p>
      <w:pPr>
        <w:ind w:left="1640" w:hanging="899"/>
        <w:spacing w:after="0"/>
        <w:tabs>
          <w:tab w:leader="none" w:pos="1640" w:val="left"/>
        </w:tabs>
        <w:numPr>
          <w:ilvl w:val="0"/>
          <w:numId w:val="63"/>
        </w:numPr>
        <w:rPr>
          <w:rFonts w:ascii="Arial" w:cs="Arial" w:eastAsia="Arial" w:hAnsi="Arial"/>
          <w:sz w:val="20"/>
          <w:szCs w:val="20"/>
          <w:color w:val="0000EE"/>
        </w:rPr>
      </w:pPr>
      <w:hyperlink r:id="rId88">
        <w:r>
          <w:rPr>
            <w:rFonts w:ascii="Arial" w:cs="Arial" w:eastAsia="Arial" w:hAnsi="Arial"/>
            <w:sz w:val="20"/>
            <w:szCs w:val="20"/>
            <w:color w:val="0000EE"/>
          </w:rPr>
          <w:t>Subsidiaries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1045210</wp:posOffset>
            </wp:positionH>
            <wp:positionV relativeFrom="paragraph">
              <wp:posOffset>1905</wp:posOffset>
            </wp:positionV>
            <wp:extent cx="1482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7" w:lineRule="exact"/>
        <w:rPr>
          <w:sz w:val="20"/>
          <w:szCs w:val="20"/>
          <w:color w:val="auto"/>
        </w:rPr>
      </w:pPr>
    </w:p>
    <w:p>
      <w:pPr>
        <w:ind w:left="1640" w:right="259" w:hanging="1033"/>
        <w:spacing w:after="0" w:line="253" w:lineRule="auto"/>
        <w:tabs>
          <w:tab w:leader="none" w:pos="1620" w:val="left"/>
        </w:tabs>
        <w:rPr>
          <w:rFonts w:ascii="Arial" w:cs="Arial" w:eastAsia="Arial" w:hAnsi="Arial"/>
          <w:sz w:val="20"/>
          <w:szCs w:val="20"/>
          <w:color w:val="0000EE"/>
        </w:rPr>
      </w:pPr>
      <w:r>
        <w:rPr>
          <w:rFonts w:ascii="Arial" w:cs="Arial" w:eastAsia="Arial" w:hAnsi="Arial"/>
          <w:sz w:val="20"/>
          <w:szCs w:val="20"/>
          <w:color w:val="auto"/>
        </w:rPr>
        <w:t>31.1</w:t>
      </w:r>
      <w:r>
        <w:rPr>
          <w:sz w:val="20"/>
          <w:szCs w:val="20"/>
          <w:color w:val="auto"/>
        </w:rPr>
        <w:tab/>
      </w:r>
      <w:hyperlink r:id="rId90">
        <w:r>
          <w:rPr>
            <w:rFonts w:ascii="Arial" w:cs="Arial" w:eastAsia="Arial" w:hAnsi="Arial"/>
            <w:sz w:val="20"/>
            <w:szCs w:val="20"/>
            <w:color w:val="0000EE"/>
          </w:rPr>
          <w:t>Certification pursuant to 18 U.S.C. Section 1350, as enacted by Section 302 of the Sarbanes-</w:t>
        </w:r>
      </w:hyperlink>
      <w:hyperlink r:id="rId90">
        <w:r>
          <w:rPr>
            <w:rFonts w:ascii="Arial" w:cs="Arial" w:eastAsia="Arial" w:hAnsi="Arial"/>
            <w:sz w:val="20"/>
            <w:szCs w:val="20"/>
            <w:color w:val="0000EE"/>
          </w:rPr>
          <w:t>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-305435</wp:posOffset>
            </wp:positionV>
            <wp:extent cx="5297805"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5297805" cy="308610"/>
                    </a:xfrm>
                    <a:prstGeom prst="rect">
                      <a:avLst/>
                    </a:prstGeom>
                    <a:noFill/>
                  </pic:spPr>
                </pic:pic>
              </a:graphicData>
            </a:graphic>
          </wp:anchor>
        </w:drawing>
      </w:r>
    </w:p>
    <w:p>
      <w:pPr>
        <w:ind w:left="1640" w:right="259" w:hanging="1033"/>
        <w:spacing w:after="0" w:line="260" w:lineRule="auto"/>
        <w:tabs>
          <w:tab w:leader="none" w:pos="1620" w:val="left"/>
        </w:tabs>
        <w:rPr>
          <w:rFonts w:ascii="Arial" w:cs="Arial" w:eastAsia="Arial" w:hAnsi="Arial"/>
          <w:sz w:val="20"/>
          <w:szCs w:val="20"/>
          <w:color w:val="0000EE"/>
        </w:rPr>
      </w:pPr>
      <w:r>
        <w:rPr>
          <w:rFonts w:ascii="Arial" w:cs="Arial" w:eastAsia="Arial" w:hAnsi="Arial"/>
          <w:sz w:val="20"/>
          <w:szCs w:val="20"/>
          <w:color w:val="auto"/>
        </w:rPr>
        <w:t>31.2</w:t>
      </w:r>
      <w:r>
        <w:rPr>
          <w:sz w:val="20"/>
          <w:szCs w:val="20"/>
          <w:color w:val="auto"/>
        </w:rPr>
        <w:tab/>
      </w:r>
      <w:hyperlink r:id="rId92">
        <w:r>
          <w:rPr>
            <w:rFonts w:ascii="Arial" w:cs="Arial" w:eastAsia="Arial" w:hAnsi="Arial"/>
            <w:sz w:val="20"/>
            <w:szCs w:val="20"/>
            <w:color w:val="0000EE"/>
          </w:rPr>
          <w:t>Certification pursuant to 18 U.S.C. Section 1350, as enacted by Section 302 of the Sarbanes-</w:t>
        </w:r>
      </w:hyperlink>
      <w:hyperlink r:id="rId92">
        <w:r>
          <w:rPr>
            <w:rFonts w:ascii="Arial" w:cs="Arial" w:eastAsia="Arial" w:hAnsi="Arial"/>
            <w:sz w:val="20"/>
            <w:szCs w:val="20"/>
            <w:color w:val="0000EE"/>
          </w:rPr>
          <w:t>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1045210</wp:posOffset>
            </wp:positionH>
            <wp:positionV relativeFrom="paragraph">
              <wp:posOffset>-167640</wp:posOffset>
            </wp:positionV>
            <wp:extent cx="46634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column">
              <wp:posOffset>1130935</wp:posOffset>
            </wp:positionH>
            <wp:positionV relativeFrom="paragraph">
              <wp:posOffset>-22225</wp:posOffset>
            </wp:positionV>
            <wp:extent cx="9340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ectPr>
          <w:pgSz w:w="11900" w:h="16838" w:orient="portrait"/>
          <w:cols w:equalWidth="0" w:num="1">
            <w:col w:w="9239"/>
          </w:cols>
          <w:pgMar w:left="1220" w:top="118" w:right="1440" w:bottom="1440" w:gutter="0" w:footer="0" w:header="0"/>
        </w:sectPr>
      </w:pP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57607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239"/>
          </w:cols>
          <w:pgMar w:left="1220" w:top="118" w:right="1440" w:bottom="1440" w:gutter="0" w:footer="0" w:header="0"/>
          <w:type w:val="continuous"/>
        </w:sectPr>
      </w:pPr>
    </w:p>
    <w:bookmarkStart w:id="57" w:name="page58"/>
    <w:bookmarkEnd w:id="57"/>
    <w:tbl>
      <w:tblPr>
        <w:tblLayout w:type="fixed"/>
        <w:tblInd w:w="500" w:type="dxa"/>
        <w:tblCellMar>
          <w:top w:w="0" w:type="dxa"/>
          <w:left w:w="0" w:type="dxa"/>
          <w:bottom w:w="0" w:type="dxa"/>
          <w:right w:w="0" w:type="dxa"/>
        </w:tblCellMar>
      </w:tblPr>
      <w:tr>
        <w:trPr>
          <w:trHeight w:val="230"/>
        </w:trPr>
        <w:tc>
          <w:tcPr>
            <w:tcW w:w="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32.1</w:t>
            </w:r>
          </w:p>
        </w:tc>
        <w:tc>
          <w:tcPr>
            <w:tcW w:w="7440" w:type="dxa"/>
            <w:vAlign w:val="bottom"/>
            <w:gridSpan w:val="4"/>
            <w:shd w:val="clear" w:color="auto" w:fill="CCEEFF"/>
          </w:tcPr>
          <w:p>
            <w:pPr>
              <w:spacing w:after="0"/>
              <w:rPr>
                <w:rFonts w:ascii="Arial" w:cs="Arial" w:eastAsia="Arial" w:hAnsi="Arial"/>
                <w:sz w:val="20"/>
                <w:szCs w:val="20"/>
                <w:color w:val="0000EE"/>
                <w:w w:val="91"/>
              </w:rPr>
            </w:pPr>
            <w:hyperlink r:id="rId96">
              <w:r>
                <w:rPr>
                  <w:rFonts w:ascii="Arial" w:cs="Arial" w:eastAsia="Arial" w:hAnsi="Arial"/>
                  <w:sz w:val="20"/>
                  <w:szCs w:val="20"/>
                  <w:color w:val="0000EE"/>
                  <w:w w:val="91"/>
                </w:rPr>
                <w:t>Certification pursuant to 18 U.S.C. Section 1350, as adopted pursuant to Section 906 of the</w:t>
              </w:r>
            </w:hyperlink>
          </w:p>
        </w:tc>
      </w:tr>
      <w:tr>
        <w:trPr>
          <w:trHeight w:val="210"/>
        </w:trPr>
        <w:tc>
          <w:tcPr>
            <w:tcW w:w="920" w:type="dxa"/>
            <w:vAlign w:val="bottom"/>
            <w:tcBorders>
              <w:top w:val="single" w:sz="8" w:color="CCEEFF"/>
            </w:tcBorders>
            <w:shd w:val="clear" w:color="auto" w:fill="CCEEFF"/>
          </w:tcPr>
          <w:p>
            <w:pPr>
              <w:spacing w:after="0"/>
              <w:rPr>
                <w:sz w:val="18"/>
                <w:szCs w:val="18"/>
                <w:color w:val="auto"/>
              </w:rPr>
            </w:pPr>
          </w:p>
        </w:tc>
        <w:tc>
          <w:tcPr>
            <w:tcW w:w="7220" w:type="dxa"/>
            <w:vAlign w:val="bottom"/>
            <w:tcBorders>
              <w:top w:val="single" w:sz="8" w:color="0000FF"/>
            </w:tcBorders>
            <w:gridSpan w:val="3"/>
            <w:shd w:val="clear" w:color="auto" w:fill="CCEEFF"/>
          </w:tcPr>
          <w:p>
            <w:pPr>
              <w:ind w:left="140"/>
              <w:spacing w:after="0" w:line="209" w:lineRule="exact"/>
              <w:rPr>
                <w:rFonts w:ascii="Arial" w:cs="Arial" w:eastAsia="Arial" w:hAnsi="Arial"/>
                <w:sz w:val="20"/>
                <w:szCs w:val="20"/>
                <w:color w:val="0000EE"/>
              </w:rPr>
            </w:pPr>
            <w:hyperlink r:id="rId96">
              <w:r>
                <w:rPr>
                  <w:rFonts w:ascii="Arial" w:cs="Arial" w:eastAsia="Arial" w:hAnsi="Arial"/>
                  <w:sz w:val="20"/>
                  <w:szCs w:val="20"/>
                  <w:color w:val="0000EE"/>
                </w:rPr>
                <w:t>Sarbanes-Oxley Act of 2002</w:t>
              </w:r>
            </w:hyperlink>
          </w:p>
        </w:tc>
        <w:tc>
          <w:tcPr>
            <w:tcW w:w="220" w:type="dxa"/>
            <w:vAlign w:val="bottom"/>
            <w:tcBorders>
              <w:top w:val="single" w:sz="8" w:color="CCEEFF"/>
            </w:tcBorders>
            <w:shd w:val="clear" w:color="auto" w:fill="CCEEFF"/>
          </w:tcPr>
          <w:p>
            <w:pPr>
              <w:spacing w:after="0"/>
              <w:rPr>
                <w:sz w:val="18"/>
                <w:szCs w:val="18"/>
                <w:color w:val="auto"/>
              </w:rPr>
            </w:pPr>
          </w:p>
        </w:tc>
      </w:tr>
      <w:tr>
        <w:trPr>
          <w:trHeight w:val="27"/>
        </w:trPr>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60" w:type="dxa"/>
            <w:vAlign w:val="bottom"/>
            <w:shd w:val="clear" w:color="auto" w:fill="0000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9"/>
        </w:trPr>
        <w:tc>
          <w:tcPr>
            <w:tcW w:w="920" w:type="dxa"/>
            <w:vAlign w:val="bottom"/>
          </w:tcPr>
          <w:p>
            <w:pPr>
              <w:ind w:left="20"/>
              <w:spacing w:after="0"/>
              <w:rPr>
                <w:sz w:val="20"/>
                <w:szCs w:val="20"/>
                <w:color w:val="auto"/>
              </w:rPr>
            </w:pPr>
            <w:r>
              <w:rPr>
                <w:rFonts w:ascii="Arial" w:cs="Arial" w:eastAsia="Arial" w:hAnsi="Arial"/>
                <w:sz w:val="20"/>
                <w:szCs w:val="20"/>
                <w:color w:val="auto"/>
              </w:rPr>
              <w:t>32.2</w:t>
            </w:r>
          </w:p>
        </w:tc>
        <w:tc>
          <w:tcPr>
            <w:tcW w:w="7440" w:type="dxa"/>
            <w:vAlign w:val="bottom"/>
            <w:gridSpan w:val="4"/>
          </w:tcPr>
          <w:p>
            <w:pPr>
              <w:spacing w:after="0"/>
              <w:rPr>
                <w:rFonts w:ascii="Arial" w:cs="Arial" w:eastAsia="Arial" w:hAnsi="Arial"/>
                <w:sz w:val="20"/>
                <w:szCs w:val="20"/>
                <w:color w:val="0000EE"/>
                <w:w w:val="91"/>
              </w:rPr>
            </w:pPr>
            <w:hyperlink r:id="rId97">
              <w:r>
                <w:rPr>
                  <w:rFonts w:ascii="Arial" w:cs="Arial" w:eastAsia="Arial" w:hAnsi="Arial"/>
                  <w:sz w:val="20"/>
                  <w:szCs w:val="20"/>
                  <w:color w:val="0000EE"/>
                  <w:w w:val="91"/>
                </w:rPr>
                <w:t>Certification pursuant to 18 U.S.C. Section 1350, as adopted pursuant to Section 906 of the</w:t>
              </w:r>
            </w:hyperlink>
          </w:p>
        </w:tc>
      </w:tr>
      <w:tr>
        <w:trPr>
          <w:trHeight w:val="210"/>
        </w:trPr>
        <w:tc>
          <w:tcPr>
            <w:tcW w:w="920" w:type="dxa"/>
            <w:vAlign w:val="bottom"/>
          </w:tcPr>
          <w:p>
            <w:pPr>
              <w:spacing w:after="0"/>
              <w:rPr>
                <w:sz w:val="18"/>
                <w:szCs w:val="18"/>
                <w:color w:val="auto"/>
              </w:rPr>
            </w:pPr>
          </w:p>
        </w:tc>
        <w:tc>
          <w:tcPr>
            <w:tcW w:w="7220" w:type="dxa"/>
            <w:vAlign w:val="bottom"/>
            <w:tcBorders>
              <w:top w:val="single" w:sz="8" w:color="0000FF"/>
            </w:tcBorders>
            <w:gridSpan w:val="3"/>
          </w:tcPr>
          <w:p>
            <w:pPr>
              <w:ind w:left="140"/>
              <w:spacing w:after="0" w:line="209" w:lineRule="exact"/>
              <w:rPr>
                <w:rFonts w:ascii="Arial" w:cs="Arial" w:eastAsia="Arial" w:hAnsi="Arial"/>
                <w:sz w:val="20"/>
                <w:szCs w:val="20"/>
                <w:color w:val="0000EE"/>
              </w:rPr>
            </w:pPr>
            <w:hyperlink r:id="rId97">
              <w:r>
                <w:rPr>
                  <w:rFonts w:ascii="Arial" w:cs="Arial" w:eastAsia="Arial" w:hAnsi="Arial"/>
                  <w:sz w:val="20"/>
                  <w:szCs w:val="20"/>
                  <w:color w:val="0000EE"/>
                </w:rPr>
                <w:t>Sarbanes-Oxley Act of 2002</w:t>
              </w:r>
            </w:hyperlink>
          </w:p>
        </w:tc>
        <w:tc>
          <w:tcPr>
            <w:tcW w:w="22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shd w:val="clear" w:color="auto" w:fill="0000FF"/>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7"/>
        </w:trPr>
        <w:tc>
          <w:tcPr>
            <w:tcW w:w="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101.xml</w:t>
            </w:r>
          </w:p>
        </w:tc>
        <w:tc>
          <w:tcPr>
            <w:tcW w:w="7440" w:type="dxa"/>
            <w:vAlign w:val="bottom"/>
            <w:gridSpan w:val="4"/>
            <w:shd w:val="clear" w:color="auto" w:fill="CCEEFF"/>
          </w:tcPr>
          <w:p>
            <w:pPr>
              <w:spacing w:after="0"/>
              <w:rPr>
                <w:sz w:val="20"/>
                <w:szCs w:val="20"/>
                <w:color w:val="auto"/>
              </w:rPr>
            </w:pPr>
            <w:r>
              <w:rPr>
                <w:rFonts w:ascii="Arial" w:cs="Arial" w:eastAsia="Arial" w:hAnsi="Arial"/>
                <w:sz w:val="20"/>
                <w:szCs w:val="20"/>
                <w:color w:val="auto"/>
              </w:rPr>
              <w:t>Instance Document</w:t>
            </w:r>
          </w:p>
        </w:tc>
      </w:tr>
      <w:tr>
        <w:trPr>
          <w:trHeight w:val="253"/>
        </w:trPr>
        <w:tc>
          <w:tcPr>
            <w:tcW w:w="920" w:type="dxa"/>
            <w:vAlign w:val="bottom"/>
          </w:tcPr>
          <w:p>
            <w:pPr>
              <w:ind w:left="20"/>
              <w:spacing w:after="0"/>
              <w:rPr>
                <w:sz w:val="20"/>
                <w:szCs w:val="20"/>
                <w:color w:val="auto"/>
              </w:rPr>
            </w:pPr>
            <w:r>
              <w:rPr>
                <w:rFonts w:ascii="Arial" w:cs="Arial" w:eastAsia="Arial" w:hAnsi="Arial"/>
                <w:sz w:val="20"/>
                <w:szCs w:val="20"/>
                <w:color w:val="auto"/>
              </w:rPr>
              <w:t>101.xsd</w:t>
            </w:r>
          </w:p>
        </w:tc>
        <w:tc>
          <w:tcPr>
            <w:tcW w:w="7440" w:type="dxa"/>
            <w:vAlign w:val="bottom"/>
            <w:gridSpan w:val="4"/>
          </w:tcPr>
          <w:p>
            <w:pPr>
              <w:spacing w:after="0"/>
              <w:rPr>
                <w:sz w:val="20"/>
                <w:szCs w:val="20"/>
                <w:color w:val="auto"/>
              </w:rPr>
            </w:pPr>
            <w:r>
              <w:rPr>
                <w:rFonts w:ascii="Arial" w:cs="Arial" w:eastAsia="Arial" w:hAnsi="Arial"/>
                <w:sz w:val="20"/>
                <w:szCs w:val="20"/>
                <w:color w:val="auto"/>
              </w:rPr>
              <w:t>Taxonomy Extension Schema Document</w:t>
            </w:r>
          </w:p>
        </w:tc>
      </w:tr>
      <w:tr>
        <w:trPr>
          <w:trHeight w:val="260"/>
        </w:trPr>
        <w:tc>
          <w:tcPr>
            <w:tcW w:w="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101.cal</w:t>
            </w:r>
          </w:p>
        </w:tc>
        <w:tc>
          <w:tcPr>
            <w:tcW w:w="7440" w:type="dxa"/>
            <w:vAlign w:val="bottom"/>
            <w:gridSpan w:val="4"/>
            <w:shd w:val="clear" w:color="auto" w:fill="CCEEFF"/>
          </w:tcPr>
          <w:p>
            <w:pPr>
              <w:spacing w:after="0"/>
              <w:rPr>
                <w:sz w:val="20"/>
                <w:szCs w:val="20"/>
                <w:color w:val="auto"/>
              </w:rPr>
            </w:pPr>
            <w:r>
              <w:rPr>
                <w:rFonts w:ascii="Arial" w:cs="Arial" w:eastAsia="Arial" w:hAnsi="Arial"/>
                <w:sz w:val="20"/>
                <w:szCs w:val="20"/>
                <w:color w:val="auto"/>
              </w:rPr>
              <w:t>Taxonomy Extension Calculation Linkbase Document</w:t>
            </w:r>
          </w:p>
        </w:tc>
      </w:tr>
      <w:tr>
        <w:trPr>
          <w:trHeight w:val="253"/>
        </w:trPr>
        <w:tc>
          <w:tcPr>
            <w:tcW w:w="920" w:type="dxa"/>
            <w:vAlign w:val="bottom"/>
          </w:tcPr>
          <w:p>
            <w:pPr>
              <w:ind w:left="20"/>
              <w:spacing w:after="0"/>
              <w:rPr>
                <w:sz w:val="20"/>
                <w:szCs w:val="20"/>
                <w:color w:val="auto"/>
              </w:rPr>
            </w:pPr>
            <w:r>
              <w:rPr>
                <w:rFonts w:ascii="Arial" w:cs="Arial" w:eastAsia="Arial" w:hAnsi="Arial"/>
                <w:sz w:val="20"/>
                <w:szCs w:val="20"/>
                <w:color w:val="auto"/>
              </w:rPr>
              <w:t>101.def</w:t>
            </w:r>
          </w:p>
        </w:tc>
        <w:tc>
          <w:tcPr>
            <w:tcW w:w="7440" w:type="dxa"/>
            <w:vAlign w:val="bottom"/>
            <w:gridSpan w:val="4"/>
          </w:tcPr>
          <w:p>
            <w:pPr>
              <w:spacing w:after="0"/>
              <w:rPr>
                <w:sz w:val="20"/>
                <w:szCs w:val="20"/>
                <w:color w:val="auto"/>
              </w:rPr>
            </w:pPr>
            <w:r>
              <w:rPr>
                <w:rFonts w:ascii="Arial" w:cs="Arial" w:eastAsia="Arial" w:hAnsi="Arial"/>
                <w:sz w:val="20"/>
                <w:szCs w:val="20"/>
                <w:color w:val="auto"/>
              </w:rPr>
              <w:t>Taxonomy Extension Definition Linkbase Document</w:t>
            </w:r>
          </w:p>
        </w:tc>
      </w:tr>
      <w:tr>
        <w:trPr>
          <w:trHeight w:val="260"/>
        </w:trPr>
        <w:tc>
          <w:tcPr>
            <w:tcW w:w="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101.lab</w:t>
            </w:r>
          </w:p>
        </w:tc>
        <w:tc>
          <w:tcPr>
            <w:tcW w:w="7440" w:type="dxa"/>
            <w:vAlign w:val="bottom"/>
            <w:gridSpan w:val="4"/>
            <w:shd w:val="clear" w:color="auto" w:fill="CCEEFF"/>
          </w:tcPr>
          <w:p>
            <w:pPr>
              <w:spacing w:after="0"/>
              <w:rPr>
                <w:sz w:val="20"/>
                <w:szCs w:val="20"/>
                <w:color w:val="auto"/>
              </w:rPr>
            </w:pPr>
            <w:r>
              <w:rPr>
                <w:rFonts w:ascii="Arial" w:cs="Arial" w:eastAsia="Arial" w:hAnsi="Arial"/>
                <w:sz w:val="20"/>
                <w:szCs w:val="20"/>
                <w:color w:val="auto"/>
              </w:rPr>
              <w:t>Taxonomy Extension Label Linkbase Document</w:t>
            </w:r>
          </w:p>
        </w:tc>
      </w:tr>
      <w:tr>
        <w:trPr>
          <w:trHeight w:val="250"/>
        </w:trPr>
        <w:tc>
          <w:tcPr>
            <w:tcW w:w="920" w:type="dxa"/>
            <w:vAlign w:val="bottom"/>
          </w:tcPr>
          <w:p>
            <w:pPr>
              <w:ind w:left="20"/>
              <w:spacing w:after="0"/>
              <w:rPr>
                <w:sz w:val="20"/>
                <w:szCs w:val="20"/>
                <w:color w:val="auto"/>
              </w:rPr>
            </w:pPr>
            <w:r>
              <w:rPr>
                <w:rFonts w:ascii="Arial" w:cs="Arial" w:eastAsia="Arial" w:hAnsi="Arial"/>
                <w:sz w:val="20"/>
                <w:szCs w:val="20"/>
                <w:color w:val="auto"/>
              </w:rPr>
              <w:t>101.pre</w:t>
            </w:r>
          </w:p>
        </w:tc>
        <w:tc>
          <w:tcPr>
            <w:tcW w:w="7440" w:type="dxa"/>
            <w:vAlign w:val="bottom"/>
            <w:gridSpan w:val="4"/>
          </w:tcPr>
          <w:p>
            <w:pPr>
              <w:spacing w:after="0"/>
              <w:rPr>
                <w:sz w:val="20"/>
                <w:szCs w:val="20"/>
                <w:color w:val="auto"/>
              </w:rPr>
            </w:pPr>
            <w:r>
              <w:rPr>
                <w:rFonts w:ascii="Arial" w:cs="Arial" w:eastAsia="Arial" w:hAnsi="Arial"/>
                <w:sz w:val="20"/>
                <w:szCs w:val="20"/>
                <w:color w:val="auto"/>
              </w:rPr>
              <w:t>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38100</wp:posOffset>
            </wp:positionV>
            <wp:extent cx="12255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104" w:lineRule="exact"/>
        <w:rPr>
          <w:sz w:val="20"/>
          <w:szCs w:val="20"/>
          <w:color w:val="auto"/>
        </w:rPr>
      </w:pPr>
    </w:p>
    <w:p>
      <w:pPr>
        <w:ind w:left="1080" w:hanging="329"/>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from Registration Statement on Form S-1, as filed on June 29, 1987</w:t>
      </w:r>
    </w:p>
    <w:p>
      <w:pPr>
        <w:spacing w:after="0" w:line="38" w:lineRule="exact"/>
        <w:rPr>
          <w:rFonts w:ascii="Arial" w:cs="Arial" w:eastAsia="Arial" w:hAnsi="Arial"/>
          <w:sz w:val="18"/>
          <w:szCs w:val="18"/>
          <w:color w:val="auto"/>
        </w:rPr>
      </w:pPr>
    </w:p>
    <w:p>
      <w:pPr>
        <w:ind w:left="1080" w:hanging="329"/>
        <w:spacing w:after="0"/>
        <w:tabs>
          <w:tab w:leader="none" w:pos="10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Incorporated by reference from Report on Form 10-Q, as filed on November 13, 2015</w:t>
      </w:r>
    </w:p>
    <w:p>
      <w:pPr>
        <w:ind w:left="1080" w:hanging="329"/>
        <w:spacing w:after="0"/>
        <w:tabs>
          <w:tab w:leader="none" w:pos="10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Incorporated by reference from Report on Form 10-Q, as filed on August 15, 2016</w:t>
      </w:r>
    </w:p>
    <w:p>
      <w:pPr>
        <w:ind w:left="1080" w:hanging="329"/>
        <w:spacing w:after="0"/>
        <w:tabs>
          <w:tab w:leader="none" w:pos="10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Incorporated by reference from Report on Form 10-K, as filed on March 31, 2017</w:t>
      </w:r>
    </w:p>
    <w:p>
      <w:pPr>
        <w:ind w:left="1080" w:hanging="329"/>
        <w:spacing w:after="0"/>
        <w:tabs>
          <w:tab w:leader="none" w:pos="10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Incorporated by reference from Report on Form 10-Q, as filed on November 13, 2018</w:t>
      </w:r>
    </w:p>
    <w:p>
      <w:pPr>
        <w:ind w:left="1080" w:hanging="329"/>
        <w:spacing w:after="0"/>
        <w:tabs>
          <w:tab w:leader="none" w:pos="10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Incorporated by reference from Report on Form 8-K, as filed on February 27, 2019</w:t>
      </w:r>
    </w:p>
    <w:p>
      <w:pPr>
        <w:ind w:left="1080" w:hanging="329"/>
        <w:spacing w:after="0"/>
        <w:tabs>
          <w:tab w:leader="none" w:pos="10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Incorporated by reference from Report on Form 10-Q, as filed on May 15, 2019</w:t>
      </w:r>
    </w:p>
    <w:p>
      <w:pPr>
        <w:ind w:left="1080" w:hanging="329"/>
        <w:spacing w:after="0"/>
        <w:tabs>
          <w:tab w:leader="none" w:pos="10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Incorporated by reference from Report on Form 8-K, as filed on November 12, 2019</w:t>
      </w:r>
    </w:p>
    <w:p>
      <w:pPr>
        <w:ind w:left="1080" w:hanging="329"/>
        <w:spacing w:after="0"/>
        <w:tabs>
          <w:tab w:leader="none" w:pos="10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Incorporated by reference from Report on Form 8-K/A, as filed on February 26, 2020</w:t>
      </w:r>
    </w:p>
    <w:p>
      <w:pPr>
        <w:ind w:left="1160" w:hanging="409"/>
        <w:spacing w:after="0"/>
        <w:tabs>
          <w:tab w:leader="none" w:pos="11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Incorporated by reference from Report on Form 10-Q, as filed on August 14, 2020</w:t>
      </w:r>
    </w:p>
    <w:p>
      <w:pPr>
        <w:spacing w:after="0" w:line="240"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95885</wp:posOffset>
            </wp:positionV>
            <wp:extent cx="57607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58" w:name="page59"/>
    <w:bookmarkEnd w:id="58"/>
    <w:p>
      <w:pPr>
        <w:jc w:val="center"/>
        <w:ind w:right="179"/>
        <w:spacing w:after="0"/>
        <w:rPr>
          <w:sz w:val="20"/>
          <w:szCs w:val="20"/>
          <w:color w:val="auto"/>
        </w:rPr>
      </w:pPr>
      <w:r>
        <w:rPr>
          <w:rFonts w:ascii="Arial" w:cs="Arial" w:eastAsia="Arial" w:hAnsi="Arial"/>
          <w:sz w:val="20"/>
          <w:szCs w:val="20"/>
          <w:b w:val="1"/>
          <w:bCs w:val="1"/>
          <w:color w:val="auto"/>
        </w:rPr>
        <w:t>SIGNATURES</w:t>
      </w:r>
    </w:p>
    <w:p>
      <w:pPr>
        <w:spacing w:after="0" w:line="153" w:lineRule="exact"/>
        <w:rPr>
          <w:sz w:val="20"/>
          <w:szCs w:val="20"/>
          <w:color w:val="auto"/>
        </w:rPr>
      </w:pPr>
    </w:p>
    <w:p>
      <w:pPr>
        <w:ind w:right="179"/>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i w:val="1"/>
          <w:iCs w:val="1"/>
          <w:color w:val="auto"/>
        </w:rPr>
        <w:t>REGISTRANT</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20"/>
          <w:szCs w:val="20"/>
          <w:u w:val="single" w:color="auto"/>
          <w:color w:val="auto"/>
        </w:rPr>
        <w:t>SECURITY NATIONAL FINANCIAL CORPORATION</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Registrant</w:t>
      </w:r>
    </w:p>
    <w:p>
      <w:pPr>
        <w:spacing w:after="0" w:line="375" w:lineRule="exact"/>
        <w:rPr>
          <w:sz w:val="20"/>
          <w:szCs w:val="20"/>
          <w:color w:val="auto"/>
        </w:rPr>
      </w:pPr>
    </w:p>
    <w:p>
      <w:pPr>
        <w:ind w:left="20"/>
        <w:spacing w:after="0"/>
        <w:tabs>
          <w:tab w:leader="none" w:pos="5420" w:val="left"/>
        </w:tabs>
        <w:rPr>
          <w:sz w:val="20"/>
          <w:szCs w:val="20"/>
          <w:color w:val="auto"/>
        </w:rPr>
      </w:pPr>
      <w:r>
        <w:rPr>
          <w:rFonts w:ascii="Arial" w:cs="Arial" w:eastAsia="Arial" w:hAnsi="Arial"/>
          <w:sz w:val="20"/>
          <w:szCs w:val="20"/>
          <w:color w:val="auto"/>
        </w:rPr>
        <w:t>Dated: May 17, 2021</w:t>
      </w:r>
      <w:r>
        <w:rPr>
          <w:sz w:val="20"/>
          <w:szCs w:val="20"/>
          <w:color w:val="auto"/>
        </w:rPr>
        <w:tab/>
      </w:r>
      <w:r>
        <w:rPr>
          <w:rFonts w:ascii="Arial" w:cs="Arial" w:eastAsia="Arial" w:hAnsi="Arial"/>
          <w:sz w:val="18"/>
          <w:szCs w:val="18"/>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19050</wp:posOffset>
            </wp:positionV>
            <wp:extent cx="23145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Scott M. Quist</w:t>
      </w:r>
    </w:p>
    <w:p>
      <w:pPr>
        <w:spacing w:after="0" w:line="27" w:lineRule="exact"/>
        <w:rPr>
          <w:sz w:val="20"/>
          <w:szCs w:val="20"/>
          <w:color w:val="auto"/>
        </w:rPr>
      </w:pPr>
    </w:p>
    <w:p>
      <w:pPr>
        <w:ind w:left="5440"/>
        <w:spacing w:after="0"/>
        <w:rPr>
          <w:sz w:val="20"/>
          <w:szCs w:val="20"/>
          <w:color w:val="auto"/>
        </w:rPr>
      </w:pPr>
      <w:r>
        <w:rPr>
          <w:rFonts w:ascii="Arial" w:cs="Arial" w:eastAsia="Arial" w:hAnsi="Arial"/>
          <w:sz w:val="19"/>
          <w:szCs w:val="19"/>
          <w:color w:val="auto"/>
        </w:rPr>
        <w:t>Chairman, President and Chief Executive</w:t>
      </w:r>
    </w:p>
    <w:p>
      <w:pPr>
        <w:spacing w:after="0" w:line="27"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Officer</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(Principal Executive Officer)</w:t>
      </w:r>
    </w:p>
    <w:p>
      <w:pPr>
        <w:spacing w:after="0" w:line="297" w:lineRule="exact"/>
        <w:rPr>
          <w:sz w:val="20"/>
          <w:szCs w:val="20"/>
          <w:color w:val="auto"/>
        </w:rPr>
      </w:pPr>
    </w:p>
    <w:p>
      <w:pPr>
        <w:ind w:left="20"/>
        <w:spacing w:after="0"/>
        <w:tabs>
          <w:tab w:leader="none" w:pos="5420" w:val="left"/>
        </w:tabs>
        <w:rPr>
          <w:sz w:val="20"/>
          <w:szCs w:val="20"/>
          <w:color w:val="auto"/>
        </w:rPr>
      </w:pPr>
      <w:r>
        <w:rPr>
          <w:rFonts w:ascii="Arial" w:cs="Arial" w:eastAsia="Arial" w:hAnsi="Arial"/>
          <w:sz w:val="20"/>
          <w:szCs w:val="20"/>
          <w:color w:val="auto"/>
        </w:rPr>
        <w:t>Dated: May 17, 2021</w:t>
      </w:r>
      <w:r>
        <w:rPr>
          <w:sz w:val="20"/>
          <w:szCs w:val="20"/>
          <w:color w:val="auto"/>
        </w:rPr>
        <w:tab/>
      </w:r>
      <w:r>
        <w:rPr>
          <w:rFonts w:ascii="Arial" w:cs="Arial" w:eastAsia="Arial" w:hAnsi="Arial"/>
          <w:sz w:val="18"/>
          <w:szCs w:val="18"/>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19050</wp:posOffset>
            </wp:positionV>
            <wp:extent cx="23145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Garrett S. Sill</w:t>
      </w:r>
    </w:p>
    <w:p>
      <w:pPr>
        <w:spacing w:after="0" w:line="27"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Chief Financial Officer and Treasurer</w:t>
      </w:r>
    </w:p>
    <w:p>
      <w:pPr>
        <w:spacing w:after="0" w:line="27"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(Principal Financial Officer and Principal</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219075</wp:posOffset>
            </wp:positionV>
            <wp:extent cx="14827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14827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9239"/>
          </w:cols>
          <w:pgMar w:left="1220" w:top="118" w:right="1440" w:bottom="1440" w:gutter="0" w:footer="0" w:header="0"/>
        </w:sectPr>
      </w:pPr>
    </w:p>
    <w:bookmarkStart w:id="59" w:name="page60"/>
    <w:bookmarkEnd w:id="59"/>
    <w:p>
      <w:pPr>
        <w:jc w:val="center"/>
        <w:ind w:right="179"/>
        <w:spacing w:after="0"/>
        <w:rPr>
          <w:sz w:val="20"/>
          <w:szCs w:val="20"/>
          <w:color w:val="auto"/>
        </w:rPr>
      </w:pPr>
      <w:r>
        <w:rPr>
          <w:rFonts w:ascii="Arial" w:cs="Arial" w:eastAsia="Arial" w:hAnsi="Arial"/>
          <w:sz w:val="20"/>
          <w:szCs w:val="20"/>
          <w:color w:val="auto"/>
        </w:rPr>
        <w:t>EXHIBIT 21</w:t>
      </w: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Subsidiaries of Security National Financial Corporation</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As of March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Life Insurance Segment</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Security National Life Insurance Company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Reppond Holding Company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First Guaranty Insurance Company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Kilpatrick Life Insurance Company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Bluebonnet Properties,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Kilpatrick Financial,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Memorial Insurance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Southern Security Life Insurance Company,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Trans-Western Life Insurance Company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SN Farmington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5300 Development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434 Holdings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Ascension 433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SN Diamond LLC</w:t>
      </w:r>
    </w:p>
    <w:p>
      <w:pPr>
        <w:spacing w:after="0" w:line="27" w:lineRule="exact"/>
        <w:rPr>
          <w:sz w:val="20"/>
          <w:szCs w:val="20"/>
          <w:color w:val="auto"/>
        </w:rPr>
      </w:pPr>
    </w:p>
    <w:p>
      <w:pPr>
        <w:ind w:right="1979"/>
        <w:spacing w:after="0" w:line="267" w:lineRule="auto"/>
        <w:rPr>
          <w:sz w:val="20"/>
          <w:szCs w:val="20"/>
          <w:color w:val="auto"/>
        </w:rPr>
      </w:pPr>
      <w:r>
        <w:rPr>
          <w:rFonts w:ascii="Arial" w:cs="Arial" w:eastAsia="Arial" w:hAnsi="Arial"/>
          <w:sz w:val="20"/>
          <w:szCs w:val="20"/>
          <w:color w:val="auto"/>
        </w:rPr>
        <w:t>Security National Real Estate Services, Inc. also dba Security National Commercial Capital Marketing Source Center, Inc. dba Security National Travel Services SNFC Subsidiary, LLC</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American Funeral Financial,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FFC Acquisition Co., LLC dba Funeral Funding Center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Canadian Funeral Financial,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Mortician's Choice,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 &amp; J Financial,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Beta Capital Corp.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Beneficiary Advance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SNA-Venture LLC</w:t>
      </w:r>
    </w:p>
    <w:p>
      <w:pPr>
        <w:spacing w:after="0" w:line="27" w:lineRule="exact"/>
        <w:rPr>
          <w:sz w:val="20"/>
          <w:szCs w:val="20"/>
          <w:color w:val="auto"/>
        </w:rPr>
      </w:pPr>
    </w:p>
    <w:p>
      <w:pPr>
        <w:jc w:val="both"/>
        <w:ind w:right="179"/>
        <w:spacing w:after="0" w:line="246" w:lineRule="auto"/>
        <w:rPr>
          <w:sz w:val="20"/>
          <w:szCs w:val="20"/>
          <w:color w:val="auto"/>
        </w:rPr>
      </w:pPr>
      <w:r>
        <w:rPr>
          <w:rFonts w:ascii="Arial" w:cs="Arial" w:eastAsia="Arial" w:hAnsi="Arial"/>
          <w:sz w:val="20"/>
          <w:szCs w:val="20"/>
          <w:color w:val="auto"/>
        </w:rPr>
        <w:t>SNA-VR LLC; SNA-AM LLC; SNA-GV LLC; SNA-MM LLC; SNA-RP LLC; SNA-SP LLC; SNA-SR LLC; SNA-WC LLC; SNA-MB LLC; SNA-AS LLC; SNA-SE LLC; SNA-TC LLC; SNA-ST LLC; SNA-SW LLC; SNA-MV LLC; SNA-DM LLC; SNA-WF LLC; SNA-SP2 LLC; SNA-MP LLC; SNA-TR LLC; SNA-CV LLC; SNA-WF2 LLC; SNA-WL LLC; SNA-HAFB LLC</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Mortgage Segment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SecurityNational Mortgage Company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EverLEND Mortgage Company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SN Sunset LLC</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Cemetery/Mortuary Segment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California Memorial Estates,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Paradise Chapel Funeral Home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Holladay Memorial Park,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Cottonwood Mortuary,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Deseret Memorial,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Holladay Cottonwood Memorial Foundation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Memorial Estates,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Memorial Mortuary,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Affordable Funerals and Cremations of America,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SN Probst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SN Silver Creek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229235</wp:posOffset>
            </wp:positionV>
            <wp:extent cx="14827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1482725" cy="42545"/>
                    </a:xfrm>
                    <a:prstGeom prst="rect">
                      <a:avLst/>
                    </a:prstGeom>
                    <a:noFill/>
                  </pic:spPr>
                </pic:pic>
              </a:graphicData>
            </a:graphic>
          </wp:anchor>
        </w:drawing>
      </w:r>
    </w:p>
    <w:p>
      <w:pPr>
        <w:sectPr>
          <w:pgSz w:w="11900" w:h="16838" w:orient="portrait"/>
          <w:cols w:equalWidth="0" w:num="1">
            <w:col w:w="9219"/>
          </w:cols>
          <w:pgMar w:left="1240" w:top="122" w:right="1440" w:bottom="1440" w:gutter="0" w:footer="0" w:header="0"/>
        </w:sectPr>
      </w:pPr>
    </w:p>
    <w:bookmarkStart w:id="60" w:name="page61"/>
    <w:bookmarkEnd w:id="60"/>
    <w:p>
      <w:pPr>
        <w:jc w:val="right"/>
        <w:ind w:right="159"/>
        <w:spacing w:after="0"/>
        <w:rPr>
          <w:sz w:val="20"/>
          <w:szCs w:val="20"/>
          <w:color w:val="auto"/>
        </w:rPr>
      </w:pPr>
      <w:r>
        <w:rPr>
          <w:rFonts w:ascii="Arial" w:cs="Arial" w:eastAsia="Arial" w:hAnsi="Arial"/>
          <w:sz w:val="20"/>
          <w:szCs w:val="20"/>
          <w:color w:val="auto"/>
        </w:rPr>
        <w:t>EXHIBIT 31.1</w:t>
      </w:r>
    </w:p>
    <w:p>
      <w:pPr>
        <w:spacing w:after="0" w:line="16" w:lineRule="exact"/>
        <w:rPr>
          <w:sz w:val="20"/>
          <w:szCs w:val="20"/>
          <w:color w:val="auto"/>
        </w:rPr>
      </w:pPr>
    </w:p>
    <w:p>
      <w:pPr>
        <w:jc w:val="center"/>
        <w:ind w:right="158"/>
        <w:spacing w:after="0"/>
        <w:rPr>
          <w:sz w:val="20"/>
          <w:szCs w:val="20"/>
          <w:color w:val="auto"/>
        </w:rPr>
      </w:pPr>
      <w:r>
        <w:rPr>
          <w:rFonts w:ascii="Arial" w:cs="Arial" w:eastAsia="Arial" w:hAnsi="Arial"/>
          <w:sz w:val="20"/>
          <w:szCs w:val="20"/>
          <w:color w:val="auto"/>
        </w:rPr>
        <w:t>CERTIFICATION OF CHIEF EXECUTIVE OFFICER,</w:t>
      </w:r>
    </w:p>
    <w:p>
      <w:pPr>
        <w:jc w:val="center"/>
        <w:ind w:right="158"/>
        <w:spacing w:after="0"/>
        <w:rPr>
          <w:sz w:val="20"/>
          <w:szCs w:val="20"/>
          <w:color w:val="auto"/>
        </w:rPr>
      </w:pPr>
      <w:r>
        <w:rPr>
          <w:rFonts w:ascii="Arial" w:cs="Arial" w:eastAsia="Arial" w:hAnsi="Arial"/>
          <w:sz w:val="20"/>
          <w:szCs w:val="20"/>
          <w:color w:val="auto"/>
        </w:rPr>
        <w:t>AS REQUIRED BY SECTION 302 OF THE SARBANES-OXLEY ACT OF 2002</w:t>
      </w:r>
    </w:p>
    <w:p>
      <w:pPr>
        <w:spacing w:after="0" w:line="132" w:lineRule="exact"/>
        <w:rPr>
          <w:sz w:val="20"/>
          <w:szCs w:val="20"/>
          <w:color w:val="auto"/>
        </w:rPr>
      </w:pPr>
    </w:p>
    <w:p>
      <w:pPr>
        <w:ind w:left="1"/>
        <w:spacing w:after="0"/>
        <w:rPr>
          <w:sz w:val="20"/>
          <w:szCs w:val="20"/>
          <w:color w:val="auto"/>
        </w:rPr>
      </w:pPr>
      <w:r>
        <w:rPr>
          <w:rFonts w:ascii="Arial" w:cs="Arial" w:eastAsia="Arial" w:hAnsi="Arial"/>
          <w:sz w:val="20"/>
          <w:szCs w:val="20"/>
          <w:color w:val="auto"/>
        </w:rPr>
        <w:t>I, Scott M. Quist, certify that:</w:t>
      </w:r>
    </w:p>
    <w:p>
      <w:pPr>
        <w:spacing w:after="0" w:line="148" w:lineRule="exact"/>
        <w:rPr>
          <w:sz w:val="20"/>
          <w:szCs w:val="20"/>
          <w:color w:val="auto"/>
        </w:rPr>
      </w:pPr>
    </w:p>
    <w:p>
      <w:pPr>
        <w:ind w:left="321" w:hanging="321"/>
        <w:spacing w:after="0"/>
        <w:tabs>
          <w:tab w:leader="none" w:pos="321" w:val="left"/>
        </w:tabs>
        <w:numPr>
          <w:ilvl w:val="0"/>
          <w:numId w:val="65"/>
        </w:numPr>
        <w:rPr>
          <w:rFonts w:ascii="Arial" w:cs="Arial" w:eastAsia="Arial" w:hAnsi="Arial"/>
          <w:sz w:val="20"/>
          <w:szCs w:val="20"/>
          <w:color w:val="auto"/>
        </w:rPr>
      </w:pPr>
      <w:r>
        <w:rPr>
          <w:rFonts w:ascii="Arial" w:cs="Arial" w:eastAsia="Arial" w:hAnsi="Arial"/>
          <w:sz w:val="20"/>
          <w:szCs w:val="20"/>
          <w:color w:val="auto"/>
        </w:rPr>
        <w:t>I have reviewed this report on Form 10-Q of Security National Financial Corporation;</w:t>
      </w:r>
    </w:p>
    <w:p>
      <w:pPr>
        <w:spacing w:after="0" w:line="148" w:lineRule="exact"/>
        <w:rPr>
          <w:rFonts w:ascii="Arial" w:cs="Arial" w:eastAsia="Arial" w:hAnsi="Arial"/>
          <w:sz w:val="20"/>
          <w:szCs w:val="20"/>
          <w:color w:val="auto"/>
        </w:rPr>
      </w:pPr>
    </w:p>
    <w:p>
      <w:pPr>
        <w:jc w:val="both"/>
        <w:ind w:left="321" w:right="179" w:hanging="321"/>
        <w:spacing w:after="0" w:line="269" w:lineRule="auto"/>
        <w:tabs>
          <w:tab w:leader="none" w:pos="321" w:val="left"/>
        </w:tabs>
        <w:numPr>
          <w:ilvl w:val="0"/>
          <w:numId w:val="65"/>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9"/>
          <w:szCs w:val="19"/>
          <w:color w:val="auto"/>
        </w:rPr>
      </w:pPr>
    </w:p>
    <w:p>
      <w:pPr>
        <w:jc w:val="both"/>
        <w:ind w:left="321" w:right="179" w:hanging="321"/>
        <w:spacing w:after="0" w:line="250" w:lineRule="auto"/>
        <w:tabs>
          <w:tab w:leader="none" w:pos="321" w:val="left"/>
        </w:tabs>
        <w:numPr>
          <w:ilvl w:val="0"/>
          <w:numId w:val="6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20"/>
          <w:szCs w:val="20"/>
          <w:color w:val="auto"/>
        </w:rPr>
      </w:pPr>
    </w:p>
    <w:p>
      <w:pPr>
        <w:jc w:val="both"/>
        <w:ind w:left="321" w:right="179" w:hanging="321"/>
        <w:spacing w:after="0" w:line="246" w:lineRule="auto"/>
        <w:tabs>
          <w:tab w:leader="none" w:pos="321"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20"/>
          <w:szCs w:val="20"/>
          <w:color w:val="auto"/>
        </w:rPr>
      </w:pPr>
    </w:p>
    <w:p>
      <w:pPr>
        <w:jc w:val="both"/>
        <w:ind w:left="641" w:right="179" w:hanging="317"/>
        <w:spacing w:after="0" w:line="246" w:lineRule="auto"/>
        <w:tabs>
          <w:tab w:leader="none" w:pos="641" w:val="left"/>
        </w:tabs>
        <w:numPr>
          <w:ilvl w:val="1"/>
          <w:numId w:val="6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96" w:lineRule="exact"/>
        <w:rPr>
          <w:rFonts w:ascii="Arial" w:cs="Arial" w:eastAsia="Arial" w:hAnsi="Arial"/>
          <w:sz w:val="20"/>
          <w:szCs w:val="20"/>
          <w:color w:val="auto"/>
        </w:rPr>
      </w:pPr>
    </w:p>
    <w:p>
      <w:pPr>
        <w:jc w:val="both"/>
        <w:ind w:left="641" w:right="179" w:hanging="317"/>
        <w:spacing w:after="0" w:line="246" w:lineRule="auto"/>
        <w:tabs>
          <w:tab w:leader="none" w:pos="641" w:val="left"/>
        </w:tabs>
        <w:numPr>
          <w:ilvl w:val="1"/>
          <w:numId w:val="6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20"/>
          <w:szCs w:val="20"/>
          <w:color w:val="auto"/>
        </w:rPr>
      </w:pPr>
    </w:p>
    <w:p>
      <w:pPr>
        <w:jc w:val="both"/>
        <w:ind w:left="641" w:right="179" w:hanging="317"/>
        <w:spacing w:after="0" w:line="250" w:lineRule="auto"/>
        <w:tabs>
          <w:tab w:leader="none" w:pos="641" w:val="left"/>
        </w:tabs>
        <w:numPr>
          <w:ilvl w:val="1"/>
          <w:numId w:val="6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20"/>
          <w:szCs w:val="20"/>
          <w:color w:val="auto"/>
        </w:rPr>
      </w:pPr>
    </w:p>
    <w:p>
      <w:pPr>
        <w:jc w:val="both"/>
        <w:ind w:left="641" w:right="179" w:hanging="317"/>
        <w:spacing w:after="0" w:line="246" w:lineRule="auto"/>
        <w:tabs>
          <w:tab w:leader="none" w:pos="641" w:val="left"/>
        </w:tabs>
        <w:numPr>
          <w:ilvl w:val="1"/>
          <w:numId w:val="6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20"/>
          <w:szCs w:val="20"/>
          <w:color w:val="auto"/>
        </w:rPr>
      </w:pPr>
    </w:p>
    <w:p>
      <w:pPr>
        <w:jc w:val="both"/>
        <w:ind w:left="321" w:right="179" w:hanging="321"/>
        <w:spacing w:after="0" w:line="250" w:lineRule="auto"/>
        <w:tabs>
          <w:tab w:leader="none" w:pos="321"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Arial" w:cs="Arial" w:eastAsia="Arial" w:hAnsi="Arial"/>
          <w:sz w:val="20"/>
          <w:szCs w:val="20"/>
          <w:color w:val="auto"/>
        </w:rPr>
      </w:pPr>
    </w:p>
    <w:p>
      <w:pPr>
        <w:jc w:val="both"/>
        <w:ind w:left="641" w:right="179" w:hanging="317"/>
        <w:spacing w:after="0" w:line="250" w:lineRule="auto"/>
        <w:tabs>
          <w:tab w:leader="none" w:pos="641" w:val="left"/>
        </w:tabs>
        <w:numPr>
          <w:ilvl w:val="1"/>
          <w:numId w:val="6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20"/>
          <w:szCs w:val="20"/>
          <w:color w:val="auto"/>
        </w:rPr>
      </w:pPr>
    </w:p>
    <w:p>
      <w:pPr>
        <w:ind w:left="641" w:right="179" w:hanging="317"/>
        <w:spacing w:after="0" w:line="260" w:lineRule="auto"/>
        <w:tabs>
          <w:tab w:leader="none" w:pos="641" w:val="left"/>
        </w:tabs>
        <w:numPr>
          <w:ilvl w:val="1"/>
          <w:numId w:val="6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ind w:left="21"/>
        <w:spacing w:after="0"/>
        <w:tabs>
          <w:tab w:leader="none" w:pos="5781" w:val="left"/>
        </w:tabs>
        <w:rPr>
          <w:sz w:val="20"/>
          <w:szCs w:val="20"/>
          <w:color w:val="auto"/>
        </w:rPr>
      </w:pPr>
      <w:r>
        <w:rPr>
          <w:rFonts w:ascii="Arial" w:cs="Arial" w:eastAsia="Arial" w:hAnsi="Arial"/>
          <w:sz w:val="20"/>
          <w:szCs w:val="20"/>
          <w:color w:val="auto"/>
        </w:rPr>
        <w:t>Dated: May 17, 2021</w:t>
      </w:r>
      <w:r>
        <w:rPr>
          <w:sz w:val="20"/>
          <w:szCs w:val="20"/>
          <w:color w:val="auto"/>
        </w:rPr>
        <w:tab/>
      </w:r>
      <w:r>
        <w:rPr>
          <w:rFonts w:ascii="Arial" w:cs="Arial" w:eastAsia="Arial" w:hAnsi="Arial"/>
          <w:sz w:val="18"/>
          <w:szCs w:val="18"/>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3669030</wp:posOffset>
            </wp:positionH>
            <wp:positionV relativeFrom="paragraph">
              <wp:posOffset>19050</wp:posOffset>
            </wp:positionV>
            <wp:extent cx="20916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0" w:lineRule="exact"/>
        <w:rPr>
          <w:sz w:val="20"/>
          <w:szCs w:val="20"/>
          <w:color w:val="auto"/>
        </w:rPr>
      </w:pPr>
    </w:p>
    <w:p>
      <w:pPr>
        <w:ind w:left="5801"/>
        <w:spacing w:after="0"/>
        <w:rPr>
          <w:sz w:val="20"/>
          <w:szCs w:val="20"/>
          <w:color w:val="auto"/>
        </w:rPr>
      </w:pPr>
      <w:r>
        <w:rPr>
          <w:rFonts w:ascii="Arial" w:cs="Arial" w:eastAsia="Arial" w:hAnsi="Arial"/>
          <w:sz w:val="20"/>
          <w:szCs w:val="20"/>
          <w:color w:val="auto"/>
        </w:rPr>
        <w:t>Scott M. Quist</w:t>
      </w:r>
    </w:p>
    <w:p>
      <w:pPr>
        <w:spacing w:after="0" w:line="27" w:lineRule="exact"/>
        <w:rPr>
          <w:sz w:val="20"/>
          <w:szCs w:val="20"/>
          <w:color w:val="auto"/>
        </w:rPr>
      </w:pPr>
    </w:p>
    <w:p>
      <w:pPr>
        <w:ind w:left="5801"/>
        <w:spacing w:after="0"/>
        <w:rPr>
          <w:sz w:val="20"/>
          <w:szCs w:val="20"/>
          <w:color w:val="auto"/>
        </w:rPr>
      </w:pPr>
      <w:r>
        <w:rPr>
          <w:rFonts w:ascii="Arial" w:cs="Arial" w:eastAsia="Arial" w:hAnsi="Arial"/>
          <w:sz w:val="20"/>
          <w:szCs w:val="20"/>
          <w:color w:val="auto"/>
        </w:rPr>
        <w:t>Chairman, President and</w:t>
      </w:r>
    </w:p>
    <w:p>
      <w:pPr>
        <w:spacing w:after="0" w:line="16" w:lineRule="exact"/>
        <w:rPr>
          <w:sz w:val="20"/>
          <w:szCs w:val="20"/>
          <w:color w:val="auto"/>
        </w:rPr>
      </w:pPr>
    </w:p>
    <w:p>
      <w:pPr>
        <w:ind w:left="5801"/>
        <w:spacing w:after="0"/>
        <w:rPr>
          <w:sz w:val="20"/>
          <w:szCs w:val="20"/>
          <w:color w:val="auto"/>
        </w:rPr>
      </w:pPr>
      <w:r>
        <w:rPr>
          <w:rFonts w:ascii="Arial" w:cs="Arial" w:eastAsia="Arial" w:hAnsi="Arial"/>
          <w:sz w:val="20"/>
          <w:szCs w:val="20"/>
          <w:color w:val="auto"/>
        </w:rPr>
        <w:t>Chief Executive Officer</w:t>
      </w:r>
    </w:p>
    <w:p>
      <w:pPr>
        <w:spacing w:after="0" w:line="11" w:lineRule="exact"/>
        <w:rPr>
          <w:sz w:val="20"/>
          <w:szCs w:val="20"/>
          <w:color w:val="auto"/>
        </w:rPr>
      </w:pPr>
    </w:p>
    <w:p>
      <w:pPr>
        <w:ind w:left="5801"/>
        <w:spacing w:after="0"/>
        <w:rPr>
          <w:sz w:val="20"/>
          <w:szCs w:val="20"/>
          <w:color w:val="auto"/>
        </w:rPr>
      </w:pPr>
      <w:r>
        <w:rPr>
          <w:rFonts w:ascii="Arial" w:cs="Arial" w:eastAsia="Arial" w:hAnsi="Arial"/>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229235</wp:posOffset>
            </wp:positionV>
            <wp:extent cx="14827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1482725" cy="42545"/>
                    </a:xfrm>
                    <a:prstGeom prst="rect">
                      <a:avLst/>
                    </a:prstGeom>
                    <a:noFill/>
                  </pic:spPr>
                </pic:pic>
              </a:graphicData>
            </a:graphic>
          </wp:anchor>
        </w:drawing>
      </w:r>
    </w:p>
    <w:p>
      <w:pPr>
        <w:sectPr>
          <w:pgSz w:w="11900" w:h="16838" w:orient="portrait"/>
          <w:cols w:equalWidth="0" w:num="1">
            <w:col w:w="9240"/>
          </w:cols>
          <w:pgMar w:left="1219" w:top="122" w:right="1440" w:bottom="1440" w:gutter="0" w:footer="0" w:header="0"/>
        </w:sectPr>
      </w:pPr>
    </w:p>
    <w:bookmarkStart w:id="61" w:name="page62"/>
    <w:bookmarkEnd w:id="61"/>
    <w:p>
      <w:pPr>
        <w:jc w:val="right"/>
        <w:ind w:right="159"/>
        <w:spacing w:after="0"/>
        <w:rPr>
          <w:sz w:val="20"/>
          <w:szCs w:val="20"/>
          <w:color w:val="auto"/>
        </w:rPr>
      </w:pPr>
      <w:r>
        <w:rPr>
          <w:rFonts w:ascii="Arial" w:cs="Arial" w:eastAsia="Arial" w:hAnsi="Arial"/>
          <w:sz w:val="20"/>
          <w:szCs w:val="20"/>
          <w:color w:val="auto"/>
        </w:rPr>
        <w:t>EXHIBIT 31.2</w:t>
      </w:r>
    </w:p>
    <w:p>
      <w:pPr>
        <w:spacing w:after="0" w:line="16" w:lineRule="exact"/>
        <w:rPr>
          <w:sz w:val="20"/>
          <w:szCs w:val="20"/>
          <w:color w:val="auto"/>
        </w:rPr>
      </w:pPr>
    </w:p>
    <w:p>
      <w:pPr>
        <w:jc w:val="center"/>
        <w:ind w:right="158"/>
        <w:spacing w:after="0"/>
        <w:rPr>
          <w:sz w:val="20"/>
          <w:szCs w:val="20"/>
          <w:color w:val="auto"/>
        </w:rPr>
      </w:pPr>
      <w:r>
        <w:rPr>
          <w:rFonts w:ascii="Arial" w:cs="Arial" w:eastAsia="Arial" w:hAnsi="Arial"/>
          <w:sz w:val="20"/>
          <w:szCs w:val="20"/>
          <w:color w:val="auto"/>
        </w:rPr>
        <w:t>CERTIFICATION OF CHIEF FINANCIAL OFFICER,</w:t>
      </w:r>
    </w:p>
    <w:p>
      <w:pPr>
        <w:jc w:val="center"/>
        <w:ind w:right="158"/>
        <w:spacing w:after="0"/>
        <w:rPr>
          <w:sz w:val="20"/>
          <w:szCs w:val="20"/>
          <w:color w:val="auto"/>
        </w:rPr>
      </w:pPr>
      <w:r>
        <w:rPr>
          <w:rFonts w:ascii="Arial" w:cs="Arial" w:eastAsia="Arial" w:hAnsi="Arial"/>
          <w:sz w:val="20"/>
          <w:szCs w:val="20"/>
          <w:color w:val="auto"/>
        </w:rPr>
        <w:t>AS REQUIRED BY SECTION 302 OF THE SARBANES-OXLEY ACT OF 2002</w:t>
      </w:r>
    </w:p>
    <w:p>
      <w:pPr>
        <w:spacing w:after="0" w:line="132" w:lineRule="exact"/>
        <w:rPr>
          <w:sz w:val="20"/>
          <w:szCs w:val="20"/>
          <w:color w:val="auto"/>
        </w:rPr>
      </w:pPr>
    </w:p>
    <w:p>
      <w:pPr>
        <w:ind w:left="1"/>
        <w:spacing w:after="0"/>
        <w:rPr>
          <w:sz w:val="20"/>
          <w:szCs w:val="20"/>
          <w:color w:val="auto"/>
        </w:rPr>
      </w:pPr>
      <w:r>
        <w:rPr>
          <w:rFonts w:ascii="Arial" w:cs="Arial" w:eastAsia="Arial" w:hAnsi="Arial"/>
          <w:sz w:val="20"/>
          <w:szCs w:val="20"/>
          <w:color w:val="auto"/>
        </w:rPr>
        <w:t>I, Garrett S. Sill, certify that:</w:t>
      </w:r>
    </w:p>
    <w:p>
      <w:pPr>
        <w:spacing w:after="0" w:line="148" w:lineRule="exact"/>
        <w:rPr>
          <w:sz w:val="20"/>
          <w:szCs w:val="20"/>
          <w:color w:val="auto"/>
        </w:rPr>
      </w:pPr>
    </w:p>
    <w:p>
      <w:pPr>
        <w:ind w:left="321" w:hanging="321"/>
        <w:spacing w:after="0"/>
        <w:tabs>
          <w:tab w:leader="none" w:pos="321" w:val="left"/>
        </w:tabs>
        <w:numPr>
          <w:ilvl w:val="0"/>
          <w:numId w:val="66"/>
        </w:numPr>
        <w:rPr>
          <w:rFonts w:ascii="Arial" w:cs="Arial" w:eastAsia="Arial" w:hAnsi="Arial"/>
          <w:sz w:val="20"/>
          <w:szCs w:val="20"/>
          <w:color w:val="auto"/>
        </w:rPr>
      </w:pPr>
      <w:r>
        <w:rPr>
          <w:rFonts w:ascii="Arial" w:cs="Arial" w:eastAsia="Arial" w:hAnsi="Arial"/>
          <w:sz w:val="20"/>
          <w:szCs w:val="20"/>
          <w:color w:val="auto"/>
        </w:rPr>
        <w:t>I have reviewed this report on Form 10-Q of Security National Financial Corporation;</w:t>
      </w:r>
    </w:p>
    <w:p>
      <w:pPr>
        <w:spacing w:after="0" w:line="148" w:lineRule="exact"/>
        <w:rPr>
          <w:rFonts w:ascii="Arial" w:cs="Arial" w:eastAsia="Arial" w:hAnsi="Arial"/>
          <w:sz w:val="20"/>
          <w:szCs w:val="20"/>
          <w:color w:val="auto"/>
        </w:rPr>
      </w:pPr>
    </w:p>
    <w:p>
      <w:pPr>
        <w:jc w:val="both"/>
        <w:ind w:left="321" w:right="179" w:hanging="321"/>
        <w:spacing w:after="0" w:line="269" w:lineRule="auto"/>
        <w:tabs>
          <w:tab w:leader="none" w:pos="321" w:val="left"/>
        </w:tabs>
        <w:numPr>
          <w:ilvl w:val="0"/>
          <w:numId w:val="66"/>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9"/>
          <w:szCs w:val="19"/>
          <w:color w:val="auto"/>
        </w:rPr>
      </w:pPr>
    </w:p>
    <w:p>
      <w:pPr>
        <w:jc w:val="both"/>
        <w:ind w:left="321" w:right="179" w:hanging="321"/>
        <w:spacing w:after="0" w:line="250" w:lineRule="auto"/>
        <w:tabs>
          <w:tab w:leader="none" w:pos="321" w:val="left"/>
        </w:tabs>
        <w:numPr>
          <w:ilvl w:val="0"/>
          <w:numId w:val="6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20"/>
          <w:szCs w:val="20"/>
          <w:color w:val="auto"/>
        </w:rPr>
      </w:pPr>
    </w:p>
    <w:p>
      <w:pPr>
        <w:jc w:val="both"/>
        <w:ind w:left="321" w:right="179" w:hanging="321"/>
        <w:spacing w:after="0" w:line="246" w:lineRule="auto"/>
        <w:tabs>
          <w:tab w:leader="none" w:pos="321"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20"/>
          <w:szCs w:val="20"/>
          <w:color w:val="auto"/>
        </w:rPr>
      </w:pPr>
    </w:p>
    <w:p>
      <w:pPr>
        <w:jc w:val="both"/>
        <w:ind w:left="641" w:right="179" w:hanging="317"/>
        <w:spacing w:after="0" w:line="246" w:lineRule="auto"/>
        <w:tabs>
          <w:tab w:leader="none" w:pos="641" w:val="left"/>
        </w:tabs>
        <w:numPr>
          <w:ilvl w:val="1"/>
          <w:numId w:val="6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23" w:lineRule="exact"/>
        <w:rPr>
          <w:rFonts w:ascii="Arial" w:cs="Arial" w:eastAsia="Arial" w:hAnsi="Arial"/>
          <w:sz w:val="20"/>
          <w:szCs w:val="20"/>
          <w:color w:val="auto"/>
        </w:rPr>
      </w:pPr>
    </w:p>
    <w:p>
      <w:pPr>
        <w:jc w:val="both"/>
        <w:ind w:left="641" w:right="179" w:hanging="317"/>
        <w:spacing w:after="0" w:line="246" w:lineRule="auto"/>
        <w:tabs>
          <w:tab w:leader="none" w:pos="641" w:val="left"/>
        </w:tabs>
        <w:numPr>
          <w:ilvl w:val="1"/>
          <w:numId w:val="66"/>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20"/>
          <w:szCs w:val="20"/>
          <w:color w:val="auto"/>
        </w:rPr>
      </w:pPr>
    </w:p>
    <w:p>
      <w:pPr>
        <w:jc w:val="both"/>
        <w:ind w:left="641" w:right="179" w:hanging="317"/>
        <w:spacing w:after="0" w:line="250" w:lineRule="auto"/>
        <w:tabs>
          <w:tab w:leader="none" w:pos="641" w:val="left"/>
        </w:tabs>
        <w:numPr>
          <w:ilvl w:val="1"/>
          <w:numId w:val="6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20"/>
          <w:szCs w:val="20"/>
          <w:color w:val="auto"/>
        </w:rPr>
      </w:pPr>
    </w:p>
    <w:p>
      <w:pPr>
        <w:jc w:val="both"/>
        <w:ind w:left="641" w:right="179" w:hanging="317"/>
        <w:spacing w:after="0" w:line="246" w:lineRule="auto"/>
        <w:tabs>
          <w:tab w:leader="none" w:pos="641" w:val="left"/>
        </w:tabs>
        <w:numPr>
          <w:ilvl w:val="1"/>
          <w:numId w:val="6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20"/>
          <w:szCs w:val="20"/>
          <w:color w:val="auto"/>
        </w:rPr>
      </w:pPr>
    </w:p>
    <w:p>
      <w:pPr>
        <w:jc w:val="both"/>
        <w:ind w:left="321" w:right="179" w:hanging="321"/>
        <w:spacing w:after="0" w:line="250" w:lineRule="auto"/>
        <w:tabs>
          <w:tab w:leader="none" w:pos="321"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Arial" w:cs="Arial" w:eastAsia="Arial" w:hAnsi="Arial"/>
          <w:sz w:val="20"/>
          <w:szCs w:val="20"/>
          <w:color w:val="auto"/>
        </w:rPr>
      </w:pPr>
    </w:p>
    <w:p>
      <w:pPr>
        <w:jc w:val="both"/>
        <w:ind w:left="641" w:right="179" w:hanging="317"/>
        <w:spacing w:after="0" w:line="250" w:lineRule="auto"/>
        <w:tabs>
          <w:tab w:leader="none" w:pos="641" w:val="left"/>
        </w:tabs>
        <w:numPr>
          <w:ilvl w:val="1"/>
          <w:numId w:val="6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20"/>
          <w:szCs w:val="20"/>
          <w:color w:val="auto"/>
        </w:rPr>
      </w:pPr>
    </w:p>
    <w:p>
      <w:pPr>
        <w:ind w:left="641" w:right="179" w:hanging="317"/>
        <w:spacing w:after="0" w:line="260" w:lineRule="auto"/>
        <w:tabs>
          <w:tab w:leader="none" w:pos="641" w:val="left"/>
        </w:tabs>
        <w:numPr>
          <w:ilvl w:val="1"/>
          <w:numId w:val="6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ind w:left="21"/>
        <w:spacing w:after="0"/>
        <w:tabs>
          <w:tab w:leader="none" w:pos="5761" w:val="left"/>
        </w:tabs>
        <w:rPr>
          <w:sz w:val="20"/>
          <w:szCs w:val="20"/>
          <w:color w:val="auto"/>
        </w:rPr>
      </w:pPr>
      <w:r>
        <w:rPr>
          <w:rFonts w:ascii="Arial" w:cs="Arial" w:eastAsia="Arial" w:hAnsi="Arial"/>
          <w:sz w:val="20"/>
          <w:szCs w:val="20"/>
          <w:color w:val="auto"/>
        </w:rPr>
        <w:t>Dated: May 17, 2021</w:t>
      </w:r>
      <w:r>
        <w:rPr>
          <w:sz w:val="20"/>
          <w:szCs w:val="20"/>
          <w:color w:val="auto"/>
        </w:rPr>
        <w:tab/>
      </w:r>
      <w:r>
        <w:rPr>
          <w:rFonts w:ascii="Arial" w:cs="Arial" w:eastAsia="Arial" w:hAnsi="Arial"/>
          <w:sz w:val="18"/>
          <w:szCs w:val="18"/>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19050</wp:posOffset>
            </wp:positionV>
            <wp:extent cx="20999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0" w:lineRule="exact"/>
        <w:rPr>
          <w:sz w:val="20"/>
          <w:szCs w:val="20"/>
          <w:color w:val="auto"/>
        </w:rPr>
      </w:pPr>
    </w:p>
    <w:p>
      <w:pPr>
        <w:ind w:left="5781"/>
        <w:spacing w:after="0"/>
        <w:rPr>
          <w:sz w:val="20"/>
          <w:szCs w:val="20"/>
          <w:color w:val="auto"/>
        </w:rPr>
      </w:pPr>
      <w:r>
        <w:rPr>
          <w:rFonts w:ascii="Arial" w:cs="Arial" w:eastAsia="Arial" w:hAnsi="Arial"/>
          <w:sz w:val="20"/>
          <w:szCs w:val="20"/>
          <w:color w:val="auto"/>
        </w:rPr>
        <w:t>Garrett S. Sill</w:t>
      </w:r>
    </w:p>
    <w:p>
      <w:pPr>
        <w:spacing w:after="0" w:line="27" w:lineRule="exact"/>
        <w:rPr>
          <w:sz w:val="20"/>
          <w:szCs w:val="20"/>
          <w:color w:val="auto"/>
        </w:rPr>
      </w:pPr>
    </w:p>
    <w:p>
      <w:pPr>
        <w:ind w:left="5781"/>
        <w:spacing w:after="0"/>
        <w:rPr>
          <w:sz w:val="20"/>
          <w:szCs w:val="20"/>
          <w:color w:val="auto"/>
        </w:rPr>
      </w:pPr>
      <w:r>
        <w:rPr>
          <w:rFonts w:ascii="Arial" w:cs="Arial" w:eastAsia="Arial" w:hAnsi="Arial"/>
          <w:sz w:val="20"/>
          <w:szCs w:val="20"/>
          <w:color w:val="auto"/>
        </w:rPr>
        <w:t>Chief Financial Officer and Treasurer</w:t>
      </w:r>
    </w:p>
    <w:p>
      <w:pPr>
        <w:spacing w:after="0" w:line="27" w:lineRule="exact"/>
        <w:rPr>
          <w:sz w:val="20"/>
          <w:szCs w:val="20"/>
          <w:color w:val="auto"/>
        </w:rPr>
      </w:pPr>
    </w:p>
    <w:p>
      <w:pPr>
        <w:ind w:left="5781"/>
        <w:spacing w:after="0"/>
        <w:rPr>
          <w:sz w:val="20"/>
          <w:szCs w:val="20"/>
          <w:color w:val="auto"/>
        </w:rPr>
      </w:pPr>
      <w:r>
        <w:rPr>
          <w:rFonts w:ascii="Arial" w:cs="Arial" w:eastAsia="Arial" w:hAnsi="Arial"/>
          <w:sz w:val="20"/>
          <w:szCs w:val="20"/>
          <w:color w:val="auto"/>
        </w:rPr>
        <w:t>(Principal Financial Officer and</w:t>
      </w:r>
    </w:p>
    <w:p>
      <w:pPr>
        <w:spacing w:after="0" w:line="16" w:lineRule="exact"/>
        <w:rPr>
          <w:sz w:val="20"/>
          <w:szCs w:val="20"/>
          <w:color w:val="auto"/>
        </w:rPr>
      </w:pPr>
    </w:p>
    <w:p>
      <w:pPr>
        <w:ind w:left="5781"/>
        <w:spacing w:after="0"/>
        <w:rPr>
          <w:sz w:val="20"/>
          <w:szCs w:val="20"/>
          <w:color w:val="auto"/>
        </w:rPr>
      </w:pPr>
      <w:r>
        <w:rPr>
          <w:rFonts w:ascii="Arial" w:cs="Arial" w:eastAsia="Arial" w:hAnsi="Arial"/>
          <w:sz w:val="20"/>
          <w:szCs w:val="20"/>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219075</wp:posOffset>
            </wp:positionV>
            <wp:extent cx="14827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1482725" cy="42545"/>
                    </a:xfrm>
                    <a:prstGeom prst="rect">
                      <a:avLst/>
                    </a:prstGeom>
                    <a:noFill/>
                  </pic:spPr>
                </pic:pic>
              </a:graphicData>
            </a:graphic>
          </wp:anchor>
        </w:drawing>
      </w:r>
    </w:p>
    <w:p>
      <w:pPr>
        <w:sectPr>
          <w:pgSz w:w="11900" w:h="16838" w:orient="portrait"/>
          <w:cols w:equalWidth="0" w:num="1">
            <w:col w:w="9240"/>
          </w:cols>
          <w:pgMar w:left="1219" w:top="122" w:right="1440" w:bottom="1440" w:gutter="0" w:footer="0" w:header="0"/>
        </w:sectPr>
      </w:pPr>
    </w:p>
    <w:bookmarkStart w:id="62" w:name="page63"/>
    <w:bookmarkEnd w:id="62"/>
    <w:p>
      <w:pPr>
        <w:jc w:val="right"/>
        <w:ind w:right="159"/>
        <w:spacing w:after="0"/>
        <w:rPr>
          <w:sz w:val="20"/>
          <w:szCs w:val="20"/>
          <w:color w:val="auto"/>
        </w:rPr>
      </w:pPr>
      <w:r>
        <w:rPr>
          <w:rFonts w:ascii="Arial" w:cs="Arial" w:eastAsia="Arial" w:hAnsi="Arial"/>
          <w:sz w:val="20"/>
          <w:szCs w:val="20"/>
          <w:color w:val="auto"/>
        </w:rPr>
        <w:t>EXHIBIT 32.1</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CERTIFICATION OF CHIEF EXECUTIVE OFFICER,</w:t>
      </w:r>
    </w:p>
    <w:p>
      <w:pPr>
        <w:jc w:val="center"/>
        <w:ind w:right="159"/>
        <w:spacing w:after="0"/>
        <w:rPr>
          <w:sz w:val="20"/>
          <w:szCs w:val="20"/>
          <w:color w:val="auto"/>
        </w:rPr>
      </w:pPr>
      <w:r>
        <w:rPr>
          <w:rFonts w:ascii="Arial" w:cs="Arial" w:eastAsia="Arial" w:hAnsi="Arial"/>
          <w:sz w:val="20"/>
          <w:szCs w:val="20"/>
          <w:color w:val="auto"/>
        </w:rPr>
        <w:t>AS REQUIRED BY SECTION 906 OF THE SARBANES-OXLEY ACT OF 2002</w:t>
      </w:r>
    </w:p>
    <w:p>
      <w:pPr>
        <w:spacing w:after="0" w:line="132" w:lineRule="exact"/>
        <w:rPr>
          <w:sz w:val="20"/>
          <w:szCs w:val="20"/>
          <w:color w:val="auto"/>
        </w:rPr>
      </w:pPr>
    </w:p>
    <w:p>
      <w:pPr>
        <w:jc w:val="both"/>
        <w:ind w:right="159"/>
        <w:spacing w:after="0" w:line="260" w:lineRule="auto"/>
        <w:rPr>
          <w:sz w:val="20"/>
          <w:szCs w:val="20"/>
          <w:color w:val="auto"/>
        </w:rPr>
      </w:pPr>
      <w:r>
        <w:rPr>
          <w:rFonts w:ascii="Arial" w:cs="Arial" w:eastAsia="Arial" w:hAnsi="Arial"/>
          <w:sz w:val="19"/>
          <w:szCs w:val="19"/>
          <w:color w:val="auto"/>
        </w:rPr>
        <w:t>In connection with the Quarterly Report of Security National Financial Corporation (the “Company”) on Form 10-Q for the period ending March 31, 2021,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113" w:lineRule="exact"/>
        <w:rPr>
          <w:sz w:val="20"/>
          <w:szCs w:val="20"/>
          <w:color w:val="auto"/>
        </w:rPr>
      </w:pPr>
    </w:p>
    <w:p>
      <w:pPr>
        <w:ind w:left="640" w:right="179" w:hanging="317"/>
        <w:spacing w:after="0" w:line="260" w:lineRule="auto"/>
        <w:tabs>
          <w:tab w:leader="none" w:pos="64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09" w:lineRule="exact"/>
        <w:rPr>
          <w:rFonts w:ascii="Arial" w:cs="Arial" w:eastAsia="Arial" w:hAnsi="Arial"/>
          <w:sz w:val="20"/>
          <w:szCs w:val="20"/>
          <w:color w:val="auto"/>
        </w:rPr>
      </w:pPr>
    </w:p>
    <w:p>
      <w:pPr>
        <w:ind w:left="640" w:right="179" w:hanging="317"/>
        <w:spacing w:after="0" w:line="260" w:lineRule="auto"/>
        <w:tabs>
          <w:tab w:leader="none" w:pos="64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p>
      <w:pPr>
        <w:ind w:left="20"/>
        <w:spacing w:after="0"/>
        <w:tabs>
          <w:tab w:leader="none" w:pos="5780" w:val="left"/>
        </w:tabs>
        <w:rPr>
          <w:sz w:val="20"/>
          <w:szCs w:val="20"/>
          <w:color w:val="auto"/>
        </w:rPr>
      </w:pPr>
      <w:r>
        <w:rPr>
          <w:rFonts w:ascii="Arial" w:cs="Arial" w:eastAsia="Arial" w:hAnsi="Arial"/>
          <w:sz w:val="20"/>
          <w:szCs w:val="20"/>
          <w:color w:val="auto"/>
        </w:rPr>
        <w:t>Dated: May 17, 2021</w:t>
      </w:r>
      <w:r>
        <w:rPr>
          <w:sz w:val="20"/>
          <w:szCs w:val="20"/>
          <w:color w:val="auto"/>
        </w:rPr>
        <w:tab/>
      </w:r>
      <w:r>
        <w:rPr>
          <w:rFonts w:ascii="Arial" w:cs="Arial" w:eastAsia="Arial" w:hAnsi="Arial"/>
          <w:sz w:val="18"/>
          <w:szCs w:val="18"/>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19050</wp:posOffset>
            </wp:positionV>
            <wp:extent cx="2091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Scott M. Quist</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Chairman, President and</w:t>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Chief Executive Officer</w:t>
      </w:r>
    </w:p>
    <w:p>
      <w:pPr>
        <w:spacing w:after="0" w:line="11"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229235</wp:posOffset>
            </wp:positionV>
            <wp:extent cx="14827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1482725" cy="42545"/>
                    </a:xfrm>
                    <a:prstGeom prst="rect">
                      <a:avLst/>
                    </a:prstGeom>
                    <a:noFill/>
                  </pic:spPr>
                </pic:pic>
              </a:graphicData>
            </a:graphic>
          </wp:anchor>
        </w:drawing>
      </w:r>
    </w:p>
    <w:p>
      <w:pPr>
        <w:sectPr>
          <w:pgSz w:w="11900" w:h="16838" w:orient="portrait"/>
          <w:cols w:equalWidth="0" w:num="1">
            <w:col w:w="9239"/>
          </w:cols>
          <w:pgMar w:left="1220" w:top="122" w:right="1440" w:bottom="1440" w:gutter="0" w:footer="0" w:header="0"/>
        </w:sectPr>
      </w:pPr>
    </w:p>
    <w:bookmarkStart w:id="63" w:name="page64"/>
    <w:bookmarkEnd w:id="63"/>
    <w:p>
      <w:pPr>
        <w:jc w:val="right"/>
        <w:ind w:right="159"/>
        <w:spacing w:after="0"/>
        <w:rPr>
          <w:sz w:val="20"/>
          <w:szCs w:val="20"/>
          <w:color w:val="auto"/>
        </w:rPr>
      </w:pPr>
      <w:r>
        <w:rPr>
          <w:rFonts w:ascii="Arial" w:cs="Arial" w:eastAsia="Arial" w:hAnsi="Arial"/>
          <w:sz w:val="20"/>
          <w:szCs w:val="20"/>
          <w:color w:val="auto"/>
        </w:rPr>
        <w:t>EXHIBIT 32.2</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CERTIFICATION OF CHIEF FINANCIAL OFFICER,</w:t>
      </w:r>
    </w:p>
    <w:p>
      <w:pPr>
        <w:jc w:val="center"/>
        <w:ind w:right="159"/>
        <w:spacing w:after="0"/>
        <w:rPr>
          <w:sz w:val="20"/>
          <w:szCs w:val="20"/>
          <w:color w:val="auto"/>
        </w:rPr>
      </w:pPr>
      <w:r>
        <w:rPr>
          <w:rFonts w:ascii="Arial" w:cs="Arial" w:eastAsia="Arial" w:hAnsi="Arial"/>
          <w:sz w:val="20"/>
          <w:szCs w:val="20"/>
          <w:color w:val="auto"/>
        </w:rPr>
        <w:t>AS REQUIRED BY SECTION 906 OF THE SARBANES-OXLEY ACT OF 2002</w:t>
      </w:r>
    </w:p>
    <w:p>
      <w:pPr>
        <w:spacing w:after="0" w:line="132" w:lineRule="exact"/>
        <w:rPr>
          <w:sz w:val="20"/>
          <w:szCs w:val="20"/>
          <w:color w:val="auto"/>
        </w:rPr>
      </w:pPr>
    </w:p>
    <w:p>
      <w:pPr>
        <w:jc w:val="both"/>
        <w:ind w:right="159"/>
        <w:spacing w:after="0" w:line="244" w:lineRule="auto"/>
        <w:rPr>
          <w:sz w:val="20"/>
          <w:szCs w:val="20"/>
          <w:color w:val="auto"/>
        </w:rPr>
      </w:pPr>
      <w:r>
        <w:rPr>
          <w:rFonts w:ascii="Arial" w:cs="Arial" w:eastAsia="Arial" w:hAnsi="Arial"/>
          <w:sz w:val="20"/>
          <w:szCs w:val="20"/>
          <w:color w:val="auto"/>
        </w:rPr>
        <w:t>In connection with the Quarterly Report of Security National Financial Corporation (the “Company”) on Form 10-Q for the period ending March 31, 2021,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27" w:lineRule="exact"/>
        <w:rPr>
          <w:sz w:val="20"/>
          <w:szCs w:val="20"/>
          <w:color w:val="auto"/>
        </w:rPr>
      </w:pPr>
    </w:p>
    <w:p>
      <w:pPr>
        <w:ind w:left="640" w:right="179" w:hanging="317"/>
        <w:spacing w:after="0" w:line="260" w:lineRule="auto"/>
        <w:tabs>
          <w:tab w:leader="none" w:pos="6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09" w:lineRule="exact"/>
        <w:rPr>
          <w:rFonts w:ascii="Arial" w:cs="Arial" w:eastAsia="Arial" w:hAnsi="Arial"/>
          <w:sz w:val="20"/>
          <w:szCs w:val="20"/>
          <w:color w:val="auto"/>
        </w:rPr>
      </w:pPr>
    </w:p>
    <w:p>
      <w:pPr>
        <w:ind w:left="640" w:right="179" w:hanging="317"/>
        <w:spacing w:after="0" w:line="260" w:lineRule="auto"/>
        <w:tabs>
          <w:tab w:leader="none" w:pos="6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20"/>
          <w:szCs w:val="20"/>
          <w:color w:val="auto"/>
        </w:rPr>
        <w:t>Dated: May 17, 2021</w:t>
      </w:r>
      <w:r>
        <w:rPr>
          <w:sz w:val="20"/>
          <w:szCs w:val="20"/>
          <w:color w:val="auto"/>
        </w:rPr>
        <w:tab/>
      </w:r>
      <w:r>
        <w:rPr>
          <w:rFonts w:ascii="Arial" w:cs="Arial" w:eastAsia="Arial" w:hAnsi="Arial"/>
          <w:sz w:val="18"/>
          <w:szCs w:val="18"/>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19050</wp:posOffset>
            </wp:positionV>
            <wp:extent cx="21170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Garrett S. Sill</w:t>
      </w:r>
    </w:p>
    <w:p>
      <w:pPr>
        <w:spacing w:after="0" w:line="27"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Chief Financial Officer and Treasurer</w:t>
      </w:r>
    </w:p>
    <w:p>
      <w:pPr>
        <w:spacing w:after="0" w:line="27"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(Principal Financial Officer and</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219075</wp:posOffset>
            </wp:positionV>
            <wp:extent cx="14827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1482725" cy="42545"/>
                    </a:xfrm>
                    <a:prstGeom prst="rect">
                      <a:avLst/>
                    </a:prstGeom>
                    <a:noFill/>
                  </pic:spPr>
                </pic:pic>
              </a:graphicData>
            </a:graphic>
          </wp:anchor>
        </w:drawing>
      </w:r>
    </w:p>
    <w:sectPr>
      <w:pgSz w:w="11900" w:h="16838" w:orient="portrait"/>
      <w:cols w:equalWidth="0" w:num="1">
        <w:col w:w="9239"/>
      </w:cols>
      <w:pgMar w:left="122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upperLetter"/>
      <w:start w:val="24"/>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1)"/>
      <w:numFmt w:val="decimal"/>
      <w:start w:val="2"/>
    </w:lvl>
  </w:abstractNum>
  <w:abstractNum w:abstractNumId="5">
    <w:nsid w:val="77465F01"/>
    <w:multiLevelType w:val="hybridMultilevel"/>
    <w:lvl w:ilvl="0">
      <w:lvlJc w:val="left"/>
      <w:lvlText w:val="%1)"/>
      <w:numFmt w:val="decimal"/>
      <w:start w:val="3"/>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3"/>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3"/>
    </w:lvl>
  </w:abstractNum>
  <w:abstractNum w:abstractNumId="10">
    <w:nsid w:val="51EAD36B"/>
    <w:multiLevelType w:val="hybridMultilevel"/>
    <w:lvl w:ilvl="0">
      <w:lvlJc w:val="left"/>
      <w:lvlText w:val="%1)"/>
      <w:numFmt w:val="decimal"/>
      <w:start w:val="3"/>
    </w:lvl>
  </w:abstractNum>
  <w:abstractNum w:abstractNumId="11">
    <w:nsid w:val="2D517796"/>
    <w:multiLevelType w:val="hybridMultilevel"/>
    <w:lvl w:ilvl="0">
      <w:lvlJc w:val="left"/>
      <w:lvlText w:val="%1)"/>
      <w:numFmt w:val="decimal"/>
      <w:start w:val="3"/>
    </w:lvl>
  </w:abstractNum>
  <w:abstractNum w:abstractNumId="12">
    <w:nsid w:val="580BD78F"/>
    <w:multiLevelType w:val="hybridMultilevel"/>
    <w:lvl w:ilvl="0">
      <w:lvlJc w:val="left"/>
      <w:lvlText w:val="%1)"/>
      <w:numFmt w:val="decimal"/>
      <w:start w:val="3"/>
    </w:lvl>
  </w:abstractNum>
  <w:abstractNum w:abstractNumId="13">
    <w:nsid w:val="153EA438"/>
    <w:multiLevelType w:val="hybridMultilevel"/>
    <w:lvl w:ilvl="0">
      <w:lvlJc w:val="left"/>
      <w:lvlText w:val="%1)"/>
      <w:numFmt w:val="decimal"/>
      <w:start w:val="3"/>
    </w:lvl>
  </w:abstractNum>
  <w:abstractNum w:abstractNumId="14">
    <w:nsid w:val="3855585C"/>
    <w:multiLevelType w:val="hybridMultilevel"/>
    <w:lvl w:ilvl="0">
      <w:lvlJc w:val="left"/>
      <w:lvlText w:val="%1)"/>
      <w:numFmt w:val="decimal"/>
      <w:start w:val="3"/>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3"/>
    </w:lvl>
  </w:abstractNum>
  <w:abstractNum w:abstractNumId="17">
    <w:nsid w:val="2A487CB0"/>
    <w:multiLevelType w:val="hybridMultilevel"/>
    <w:lvl w:ilvl="0">
      <w:lvlJc w:val="left"/>
      <w:lvlText w:val="%1)"/>
      <w:numFmt w:val="decimal"/>
      <w:start w:val="3"/>
    </w:lvl>
  </w:abstractNum>
  <w:abstractNum w:abstractNumId="18">
    <w:nsid w:val="1D4ED43B"/>
    <w:multiLevelType w:val="hybridMultilevel"/>
    <w:lvl w:ilvl="0">
      <w:lvlJc w:val="left"/>
      <w:lvlText w:val="%1)"/>
      <w:numFmt w:val="decimal"/>
      <w:start w:val="3"/>
    </w:lvl>
  </w:abstractNum>
  <w:abstractNum w:abstractNumId="19">
    <w:nsid w:val="725A06FB"/>
    <w:multiLevelType w:val="hybridMultilevel"/>
    <w:lvl w:ilvl="0">
      <w:lvlJc w:val="left"/>
      <w:lvlText w:val="%1)"/>
      <w:numFmt w:val="decimal"/>
      <w:start w:val="3"/>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3"/>
    </w:lvl>
  </w:abstractNum>
  <w:abstractNum w:abstractNumId="22">
    <w:nsid w:val="7A6D8D3C"/>
    <w:multiLevelType w:val="hybridMultilevel"/>
    <w:lvl w:ilvl="0">
      <w:lvlJc w:val="left"/>
      <w:lvlText w:val="%1)"/>
      <w:numFmt w:val="decimal"/>
      <w:start w:val="3"/>
    </w:lvl>
  </w:abstractNum>
  <w:abstractNum w:abstractNumId="23">
    <w:nsid w:val="4B588F54"/>
    <w:multiLevelType w:val="hybridMultilevel"/>
    <w:lvl w:ilvl="0">
      <w:lvlJc w:val="left"/>
      <w:lvlText w:val="%1)"/>
      <w:numFmt w:val="decimal"/>
      <w:start w:val="4"/>
    </w:lvl>
  </w:abstractNum>
  <w:abstractNum w:abstractNumId="24">
    <w:nsid w:val="542289EC"/>
    <w:multiLevelType w:val="hybridMultilevel"/>
    <w:lvl w:ilvl="0">
      <w:lvlJc w:val="left"/>
      <w:lvlText w:val="%1)"/>
      <w:numFmt w:val="decimal"/>
      <w:start w:val="4"/>
    </w:lvl>
  </w:abstractNum>
  <w:abstractNum w:abstractNumId="25">
    <w:nsid w:val="6DE91B18"/>
    <w:multiLevelType w:val="hybridMultilevel"/>
    <w:lvl w:ilvl="0">
      <w:lvlJc w:val="left"/>
      <w:lvlText w:val="%1)"/>
      <w:numFmt w:val="decimal"/>
      <w:start w:val="5"/>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decimal"/>
      <w:start w:val="5"/>
    </w:lvl>
  </w:abstractNum>
  <w:abstractNum w:abstractNumId="28">
    <w:nsid w:val="32FFF902"/>
    <w:multiLevelType w:val="hybridMultilevel"/>
    <w:lvl w:ilvl="0">
      <w:lvlJc w:val="left"/>
      <w:lvlText w:val="%1)"/>
      <w:numFmt w:val="decimal"/>
      <w:start w:val="7"/>
    </w:lvl>
  </w:abstractNum>
  <w:abstractNum w:abstractNumId="29">
    <w:nsid w:val="684A481A"/>
    <w:multiLevelType w:val="hybridMultilevel"/>
    <w:lvl w:ilvl="0">
      <w:lvlJc w:val="left"/>
      <w:lvlText w:val="%1)"/>
      <w:numFmt w:val="decimal"/>
      <w:start w:val="7"/>
    </w:lvl>
  </w:abstractNum>
  <w:abstractNum w:abstractNumId="30">
    <w:nsid w:val="579478FE"/>
    <w:multiLevelType w:val="hybridMultilevel"/>
    <w:lvl w:ilvl="0">
      <w:lvlJc w:val="left"/>
      <w:lvlText w:val="%1)"/>
      <w:numFmt w:val="decimal"/>
      <w:start w:val="8"/>
    </w:lvl>
  </w:abstractNum>
  <w:abstractNum w:abstractNumId="31">
    <w:nsid w:val="749ABB43"/>
    <w:multiLevelType w:val="hybridMultilevel"/>
    <w:lvl w:ilvl="0">
      <w:lvlJc w:val="left"/>
      <w:lvlText w:val="%1)"/>
      <w:numFmt w:val="lowerLetter"/>
      <w:start w:val="1"/>
    </w:lvl>
  </w:abstractNum>
  <w:abstractNum w:abstractNumId="32">
    <w:nsid w:val="3DC240FB"/>
    <w:multiLevelType w:val="hybridMultilevel"/>
    <w:lvl w:ilvl="0">
      <w:lvlJc w:val="left"/>
      <w:lvlText w:val="%1)"/>
      <w:numFmt w:val="decimal"/>
      <w:start w:val="8"/>
    </w:lvl>
  </w:abstractNum>
  <w:abstractNum w:abstractNumId="33">
    <w:nsid w:val="1BA026FA"/>
    <w:multiLevelType w:val="hybridMultilevel"/>
    <w:lvl w:ilvl="0">
      <w:lvlJc w:val="left"/>
      <w:lvlText w:val="%1)"/>
      <w:numFmt w:val="decimal"/>
      <w:start w:val="8"/>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8"/>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8"/>
    </w:lvl>
  </w:abstractNum>
  <w:abstractNum w:abstractNumId="38">
    <w:nsid w:val="520EEDD1"/>
    <w:multiLevelType w:val="hybridMultilevel"/>
    <w:lvl w:ilvl="0">
      <w:lvlJc w:val="left"/>
      <w:lvlText w:val="%1)"/>
      <w:numFmt w:val="decimal"/>
      <w:start w:val="8"/>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8"/>
    </w:lvl>
  </w:abstractNum>
  <w:abstractNum w:abstractNumId="42">
    <w:nsid w:val="649BB77C"/>
    <w:multiLevelType w:val="hybridMultilevel"/>
    <w:lvl w:ilvl="0">
      <w:lvlJc w:val="left"/>
      <w:lvlText w:val="%1)"/>
      <w:numFmt w:val="decimal"/>
      <w:start w:val="8"/>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8"/>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1)"/>
      <w:numFmt w:val="decimal"/>
      <w:start w:val="8"/>
    </w:lvl>
  </w:abstractNum>
  <w:abstractNum w:abstractNumId="47">
    <w:nsid w:val="235BA861"/>
    <w:multiLevelType w:val="hybridMultilevel"/>
    <w:lvl w:ilvl="0">
      <w:lvlJc w:val="left"/>
      <w:lvlText w:val="%1)"/>
      <w:numFmt w:val="decimal"/>
      <w:start w:val="9"/>
    </w:lvl>
  </w:abstractNum>
  <w:abstractNum w:abstractNumId="48">
    <w:nsid w:val="47398C89"/>
    <w:multiLevelType w:val="hybridMultilevel"/>
    <w:lvl w:ilvl="0">
      <w:lvlJc w:val="left"/>
      <w:lvlText w:val="%1)"/>
      <w:numFmt w:val="decimal"/>
      <w:start w:val="10"/>
    </w:lvl>
  </w:abstractNum>
  <w:abstractNum w:abstractNumId="49">
    <w:nsid w:val="354FE9F9"/>
    <w:multiLevelType w:val="hybridMultilevel"/>
    <w:lvl w:ilvl="0">
      <w:lvlJc w:val="left"/>
      <w:lvlText w:val="%1)"/>
      <w:numFmt w:val="decimal"/>
      <w:start w:val="10"/>
    </w:lvl>
  </w:abstractNum>
  <w:abstractNum w:abstractNumId="50">
    <w:nsid w:val="15B5AF5C"/>
    <w:multiLevelType w:val="hybridMultilevel"/>
    <w:lvl w:ilvl="0">
      <w:lvlJc w:val="left"/>
      <w:lvlText w:val="%1)"/>
      <w:numFmt w:val="decimal"/>
      <w:start w:val="10"/>
    </w:lvl>
  </w:abstractNum>
  <w:abstractNum w:abstractNumId="51">
    <w:nsid w:val="741226BB"/>
    <w:multiLevelType w:val="hybridMultilevel"/>
    <w:lvl w:ilvl="0">
      <w:lvlJc w:val="left"/>
      <w:lvlText w:val="%1)"/>
      <w:numFmt w:val="decimal"/>
      <w:start w:val="11"/>
    </w:lvl>
  </w:abstractNum>
  <w:abstractNum w:abstractNumId="52">
    <w:nsid w:val="D34B6A8"/>
    <w:multiLevelType w:val="hybridMultilevel"/>
    <w:lvl w:ilvl="0">
      <w:lvlJc w:val="left"/>
      <w:lvlText w:val="%1)"/>
      <w:numFmt w:val="decimal"/>
      <w:start w:val="11"/>
    </w:lvl>
  </w:abstractNum>
  <w:abstractNum w:abstractNumId="53">
    <w:nsid w:val="10233C99"/>
    <w:multiLevelType w:val="hybridMultilevel"/>
    <w:lvl w:ilvl="0">
      <w:lvlJc w:val="left"/>
      <w:lvlText w:val="%1)"/>
      <w:numFmt w:val="decimal"/>
      <w:start w:val="11"/>
    </w:lvl>
  </w:abstractNum>
  <w:abstractNum w:abstractNumId="54">
    <w:nsid w:val="3F6AB60F"/>
    <w:multiLevelType w:val="hybridMultilevel"/>
    <w:lvl w:ilvl="0">
      <w:lvlJc w:val="left"/>
      <w:lvlText w:val="%1)"/>
      <w:numFmt w:val="decimal"/>
      <w:start w:val="12"/>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decimal"/>
      <w:start w:val="12"/>
    </w:lvl>
  </w:abstractNum>
  <w:abstractNum w:abstractNumId="57">
    <w:nsid w:val="77AE35EB"/>
    <w:multiLevelType w:val="hybridMultilevel"/>
    <w:lvl w:ilvl="0">
      <w:lvlJc w:val="left"/>
      <w:lvlText w:val="%1)"/>
      <w:numFmt w:val="decimal"/>
      <w:start w:val="13"/>
    </w:lvl>
  </w:abstractNum>
  <w:abstractNum w:abstractNumId="58">
    <w:nsid w:val="579BE4F1"/>
    <w:multiLevelType w:val="hybridMultilevel"/>
    <w:lvl w:ilvl="0">
      <w:lvlJc w:val="left"/>
      <w:lvlText w:val="%1)"/>
      <w:numFmt w:val="decimal"/>
      <w:start w:val="14"/>
    </w:lvl>
  </w:abstractNum>
  <w:abstractNum w:abstractNumId="59">
    <w:nsid w:val="310C50B3"/>
    <w:multiLevelType w:val="hybridMultilevel"/>
    <w:lvl w:ilvl="0">
      <w:lvlJc w:val="left"/>
      <w:lvlText w:val="%1)"/>
      <w:numFmt w:val="decimal"/>
      <w:start w:val="14"/>
    </w:lvl>
  </w:abstractNum>
  <w:abstractNum w:abstractNumId="60">
    <w:nsid w:val="5FF87E05"/>
    <w:multiLevelType w:val="hybridMultilevel"/>
    <w:lvl w:ilvl="0">
      <w:lvlJc w:val="left"/>
      <w:lvlText w:val="(%1)"/>
      <w:numFmt w:val="lowerRoman"/>
      <w:start w:val="3"/>
    </w:lvl>
  </w:abstractNum>
  <w:abstractNum w:abstractNumId="61">
    <w:nsid w:val="2F305DEF"/>
    <w:multiLevelType w:val="hybridMultilevel"/>
    <w:lvl w:ilvl="0">
      <w:lvlJc w:val="left"/>
      <w:lvlText w:val="%1"/>
      <w:numFmt w:val="decimal"/>
      <w:start w:val="14"/>
    </w:lvl>
  </w:abstractNum>
  <w:abstractNum w:abstractNumId="62">
    <w:nsid w:val="25A70BF7"/>
    <w:multiLevelType w:val="hybridMultilevel"/>
    <w:lvl w:ilvl="0">
      <w:lvlJc w:val="left"/>
      <w:lvlText w:val="%1"/>
      <w:numFmt w:val="decimal"/>
      <w:start w:val="2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6" Type="http://schemas.openxmlformats.org/officeDocument/2006/relationships/image" Target="media/image70.png"/><Relationship Id="rId89" Type="http://schemas.openxmlformats.org/officeDocument/2006/relationships/image" Target="media/image71.png"/><Relationship Id="rId91"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77" Type="http://schemas.openxmlformats.org/officeDocument/2006/relationships/hyperlink" Target="http://www.sec.gov/Archives/edgar/data/318673/000109690617000214/exh3_1.pdf" TargetMode="External"/><Relationship Id="rId78" Type="http://schemas.openxmlformats.org/officeDocument/2006/relationships/hyperlink" Target="http://www.sec.gov/Archives/edgar/data/318673/000109690619000199/exh3_2.pdf" TargetMode="External"/><Relationship Id="rId79" Type="http://schemas.openxmlformats.org/officeDocument/2006/relationships/hyperlink" Target="http://www.sec.gov/Archives/edgar/data/318673/000109690616001835/exh10_4.htm" TargetMode="External"/><Relationship Id="rId80" Type="http://schemas.openxmlformats.org/officeDocument/2006/relationships/hyperlink" Target="http://www.sec.gov/Archives/edgar/data/318673/000109690615001153/exh108.htm" TargetMode="External"/><Relationship Id="rId81" Type="http://schemas.openxmlformats.org/officeDocument/2006/relationships/hyperlink" Target="http://www.sec.gov/Archives/edgar/data/318673/000109690618000639/exh10_9.htm" TargetMode="External"/><Relationship Id="rId82" Type="http://schemas.openxmlformats.org/officeDocument/2006/relationships/hyperlink" Target="http://www.sec.gov/Archives/edgar/data/318673/000109690619000084/exh10_1.htm" TargetMode="External"/><Relationship Id="rId83" Type="http://schemas.openxmlformats.org/officeDocument/2006/relationships/hyperlink" Target="http://www.sec.gov/Archives/edgar/data/318673/000109690619000367/exh10_2.htm" TargetMode="External"/><Relationship Id="rId84" Type="http://schemas.openxmlformats.org/officeDocument/2006/relationships/hyperlink" Target="http://www.sec.gov/Archives/edgar/data/318673/000109690619000367/exh10_1.htm" TargetMode="External"/><Relationship Id="rId85" Type="http://schemas.openxmlformats.org/officeDocument/2006/relationships/hyperlink" Target="http://www.sec.gov/Archives/edgar/data/318673/000109690620000092/exh99_1.htm" TargetMode="External"/><Relationship Id="rId87" Type="http://schemas.openxmlformats.org/officeDocument/2006/relationships/hyperlink" Target="http://www.sec.gov/Archives/edgar/data/318673/000109690619000199/exh14.htm" TargetMode="External"/><Relationship Id="rId88" Type="http://schemas.openxmlformats.org/officeDocument/2006/relationships/hyperlink" Target="file:///data/convert/snfc_ex21.htm" TargetMode="External"/><Relationship Id="rId90" Type="http://schemas.openxmlformats.org/officeDocument/2006/relationships/hyperlink" Target="file:///data/convert/snfc_ex31z1.htm" TargetMode="External"/><Relationship Id="rId92" Type="http://schemas.openxmlformats.org/officeDocument/2006/relationships/hyperlink" Target="file:///data/convert/snfc_ex31z2.htm" TargetMode="External"/><Relationship Id="rId96" Type="http://schemas.openxmlformats.org/officeDocument/2006/relationships/hyperlink" Target="file:///data/convert/snfc_ex32z1.htm" TargetMode="External"/><Relationship Id="rId97" Type="http://schemas.openxmlformats.org/officeDocument/2006/relationships/hyperlink" Target="file:///data/convert/snfc_ex32z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2021-05-17T10:48:05Z</dcterms:created>
  <dcterms:modified xsi:type="dcterms:W3CDTF">2021-05-17T10:48:05Z</dcterms:modified>
</cp:coreProperties>
</file>