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852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336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274955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81" w:lineRule="exact"/>
        <w:rPr>
          <w:sz w:val="24"/>
          <w:szCs w:val="24"/>
          <w:color w:val="auto"/>
        </w:rPr>
      </w:pPr>
    </w:p>
    <w:p>
      <w:pPr>
        <w:ind w:left="3500" w:right="120" w:hanging="3376"/>
        <w:spacing w:after="0" w:line="529" w:lineRule="auto"/>
        <w:tabs>
          <w:tab w:leader="none" w:pos="473"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QUARTERLY REPORT PURSUANT TO SECTION 13 OR 15(d) OF THE SECURITIES EXCHANGE ACT OF 1934 For the quarterly period ended June 30, 2019, 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 ] TRANSITION REPORT PURSUANT TO SECTION 13 OR 15(d) OF THE SECURITIES EXCHANGE ACT OF 1934</w:t>
      </w:r>
    </w:p>
    <w:p>
      <w:pPr>
        <w:spacing w:after="0" w:line="287"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 to ________</w:t>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000-09341</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SECURITY NATIONAL FINANCIAL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21"/>
          <w:szCs w:val="21"/>
          <w:i w:val="1"/>
          <w:iCs w:val="1"/>
          <w:color w:val="auto"/>
        </w:rPr>
        <w:t>(Exact name of registrant as specified in its charter)</w:t>
      </w:r>
    </w:p>
    <w:p>
      <w:pPr>
        <w:spacing w:after="0" w:line="255" w:lineRule="exact"/>
        <w:rPr>
          <w:sz w:val="24"/>
          <w:szCs w:val="24"/>
          <w:color w:val="auto"/>
        </w:rPr>
      </w:pPr>
    </w:p>
    <w:tbl>
      <w:tblPr>
        <w:tblLayout w:type="fixed"/>
        <w:tblInd w:w="70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42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UTAH</w:t>
            </w:r>
          </w:p>
        </w:tc>
        <w:tc>
          <w:tcPr>
            <w:tcW w:w="47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87-0345941</w:t>
            </w:r>
          </w:p>
        </w:tc>
      </w:tr>
      <w:tr>
        <w:trPr>
          <w:trHeight w:val="20"/>
        </w:trPr>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2"/>
        </w:trPr>
        <w:tc>
          <w:tcPr>
            <w:tcW w:w="4440" w:type="dxa"/>
            <w:vAlign w:val="bottom"/>
            <w:gridSpan w:val="5"/>
          </w:tcPr>
          <w:p>
            <w:pPr>
              <w:jc w:val="center"/>
              <w:ind w:right="120"/>
              <w:spacing w:after="0"/>
              <w:rPr>
                <w:sz w:val="20"/>
                <w:szCs w:val="20"/>
                <w:color w:val="auto"/>
              </w:rPr>
            </w:pPr>
            <w:r>
              <w:rPr>
                <w:rFonts w:ascii="Arial" w:cs="Arial" w:eastAsia="Arial" w:hAnsi="Arial"/>
                <w:sz w:val="18"/>
                <w:szCs w:val="18"/>
                <w:i w:val="1"/>
                <w:iCs w:val="1"/>
                <w:color w:val="auto"/>
                <w:w w:val="93"/>
              </w:rPr>
              <w:t>(State or other jurisdiction of incorporation or organization)</w:t>
            </w:r>
          </w:p>
        </w:tc>
        <w:tc>
          <w:tcPr>
            <w:tcW w:w="1160" w:type="dxa"/>
            <w:vAlign w:val="bottom"/>
          </w:tcPr>
          <w:p>
            <w:pPr>
              <w:spacing w:after="0"/>
              <w:rPr>
                <w:sz w:val="20"/>
                <w:szCs w:val="20"/>
                <w:color w:val="auto"/>
              </w:rPr>
            </w:pPr>
          </w:p>
        </w:tc>
        <w:tc>
          <w:tcPr>
            <w:tcW w:w="3540" w:type="dxa"/>
            <w:vAlign w:val="bottom"/>
            <w:gridSpan w:val="5"/>
          </w:tcPr>
          <w:p>
            <w:pPr>
              <w:jc w:val="center"/>
              <w:ind w:left="911"/>
              <w:spacing w:after="0"/>
              <w:rPr>
                <w:sz w:val="20"/>
                <w:szCs w:val="20"/>
                <w:color w:val="auto"/>
              </w:rPr>
            </w:pPr>
            <w:r>
              <w:rPr>
                <w:rFonts w:ascii="Arial" w:cs="Arial" w:eastAsia="Arial" w:hAnsi="Arial"/>
                <w:sz w:val="18"/>
                <w:szCs w:val="18"/>
                <w:i w:val="1"/>
                <w:iCs w:val="1"/>
                <w:color w:val="auto"/>
                <w:w w:val="91"/>
              </w:rPr>
              <w:t>(I.R.S. Employer Identification No.)</w:t>
            </w:r>
          </w:p>
        </w:tc>
      </w:tr>
      <w:tr>
        <w:trPr>
          <w:trHeight w:val="388"/>
        </w:trPr>
        <w:tc>
          <w:tcPr>
            <w:tcW w:w="160" w:type="dxa"/>
            <w:vAlign w:val="bottom"/>
          </w:tcPr>
          <w:p>
            <w:pPr>
              <w:spacing w:after="0"/>
              <w:rPr>
                <w:sz w:val="24"/>
                <w:szCs w:val="24"/>
                <w:color w:val="auto"/>
              </w:rPr>
            </w:pPr>
          </w:p>
        </w:tc>
        <w:tc>
          <w:tcPr>
            <w:tcW w:w="42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5300 South 360 West, Suite 250, Salt Lake City, Utah</w:t>
            </w:r>
          </w:p>
        </w:tc>
        <w:tc>
          <w:tcPr>
            <w:tcW w:w="38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84123</w:t>
            </w:r>
          </w:p>
        </w:tc>
        <w:tc>
          <w:tcPr>
            <w:tcW w:w="84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00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r>
      <w:tr>
        <w:trPr>
          <w:trHeight w:val="232"/>
        </w:trPr>
        <w:tc>
          <w:tcPr>
            <w:tcW w:w="160" w:type="dxa"/>
            <w:vAlign w:val="bottom"/>
          </w:tcPr>
          <w:p>
            <w:pPr>
              <w:spacing w:after="0"/>
              <w:rPr>
                <w:sz w:val="20"/>
                <w:szCs w:val="20"/>
                <w:color w:val="auto"/>
              </w:rPr>
            </w:pPr>
          </w:p>
        </w:tc>
        <w:tc>
          <w:tcPr>
            <w:tcW w:w="400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00" w:type="dxa"/>
            <w:vAlign w:val="bottom"/>
            <w:gridSpan w:val="4"/>
          </w:tcPr>
          <w:p>
            <w:pPr>
              <w:jc w:val="center"/>
              <w:ind w:right="840"/>
              <w:spacing w:after="0"/>
              <w:rPr>
                <w:sz w:val="20"/>
                <w:szCs w:val="20"/>
                <w:color w:val="auto"/>
              </w:rPr>
            </w:pPr>
            <w:r>
              <w:rPr>
                <w:rFonts w:ascii="Arial" w:cs="Arial" w:eastAsia="Arial" w:hAnsi="Arial"/>
                <w:sz w:val="18"/>
                <w:szCs w:val="18"/>
                <w:i w:val="1"/>
                <w:iCs w:val="1"/>
                <w:color w:val="auto"/>
                <w:w w:val="91"/>
              </w:rPr>
              <w:t>(Zip Code)</w:t>
            </w:r>
          </w:p>
        </w:tc>
      </w:tr>
      <w:tr>
        <w:trPr>
          <w:trHeight w:val="388"/>
        </w:trPr>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(801) 264-1060</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77" w:lineRule="exact"/>
        <w:rPr>
          <w:sz w:val="24"/>
          <w:szCs w:val="24"/>
          <w:color w:val="auto"/>
        </w:rPr>
      </w:pPr>
    </w:p>
    <w:p>
      <w:pPr>
        <w:jc w:val="both"/>
        <w:spacing w:after="0" w:line="279"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23" w:lineRule="exact"/>
        <w:rPr>
          <w:sz w:val="24"/>
          <w:szCs w:val="24"/>
          <w:color w:val="auto"/>
        </w:rPr>
      </w:pPr>
    </w:p>
    <w:p>
      <w:pPr>
        <w:jc w:val="both"/>
        <w:spacing w:after="0" w:line="279" w:lineRule="auto"/>
        <w:rPr>
          <w:sz w:val="20"/>
          <w:szCs w:val="20"/>
          <w:color w:val="auto"/>
        </w:rPr>
      </w:pPr>
      <w:r>
        <w:rPr>
          <w:rFonts w:ascii="Arial" w:cs="Arial" w:eastAsia="Arial" w:hAnsi="Arial"/>
          <w:sz w:val="21"/>
          <w:szCs w:val="2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223" w:lineRule="exact"/>
        <w:rPr>
          <w:sz w:val="24"/>
          <w:szCs w:val="24"/>
          <w:color w:val="auto"/>
        </w:rPr>
      </w:pPr>
    </w:p>
    <w:p>
      <w:pPr>
        <w:jc w:val="both"/>
        <w:spacing w:after="0" w:line="279"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9" w:lineRule="exact"/>
        <w:rPr>
          <w:sz w:val="24"/>
          <w:szCs w:val="24"/>
          <w:color w:val="auto"/>
        </w:rPr>
      </w:pPr>
    </w:p>
    <w:tbl>
      <w:tblPr>
        <w:tblLayout w:type="fixed"/>
        <w:tblInd w:w="1160" w:type="dxa"/>
        <w:tblCellMar>
          <w:top w:w="0" w:type="dxa"/>
          <w:left w:w="0" w:type="dxa"/>
          <w:bottom w:w="0" w:type="dxa"/>
          <w:right w:w="0" w:type="dxa"/>
        </w:tblCellMar>
      </w:tblPr>
      <w:tr>
        <w:trPr>
          <w:trHeight w:val="213"/>
        </w:trPr>
        <w:tc>
          <w:tcPr>
            <w:tcW w:w="1680" w:type="dxa"/>
            <w:vAlign w:val="bottom"/>
          </w:tcPr>
          <w:p>
            <w:pPr>
              <w:spacing w:after="0"/>
              <w:rPr>
                <w:sz w:val="20"/>
                <w:szCs w:val="20"/>
                <w:color w:val="auto"/>
              </w:rPr>
            </w:pPr>
            <w:r>
              <w:rPr>
                <w:rFonts w:ascii="Arial" w:cs="Arial" w:eastAsia="Arial" w:hAnsi="Arial"/>
                <w:sz w:val="18"/>
                <w:szCs w:val="18"/>
                <w:color w:val="auto"/>
                <w:w w:val="88"/>
              </w:rPr>
              <w:t>Large accelerated filer [</w:t>
            </w:r>
          </w:p>
        </w:tc>
        <w:tc>
          <w:tcPr>
            <w:tcW w:w="2760" w:type="dxa"/>
            <w:vAlign w:val="bottom"/>
          </w:tcPr>
          <w:p>
            <w:pPr>
              <w:jc w:val="right"/>
              <w:ind w:right="2511"/>
              <w:spacing w:after="0"/>
              <w:rPr>
                <w:sz w:val="20"/>
                <w:szCs w:val="20"/>
                <w:color w:val="auto"/>
              </w:rPr>
            </w:pPr>
            <w:r>
              <w:rPr>
                <w:rFonts w:ascii="Arial" w:cs="Arial" w:eastAsia="Arial" w:hAnsi="Arial"/>
                <w:sz w:val="18"/>
                <w:szCs w:val="18"/>
                <w:color w:val="auto"/>
              </w:rPr>
              <w:t>]</w:t>
            </w:r>
          </w:p>
        </w:tc>
        <w:tc>
          <w:tcPr>
            <w:tcW w:w="2340" w:type="dxa"/>
            <w:vAlign w:val="bottom"/>
          </w:tcPr>
          <w:p>
            <w:pPr>
              <w:ind w:left="100"/>
              <w:spacing w:after="0"/>
              <w:rPr>
                <w:sz w:val="20"/>
                <w:szCs w:val="20"/>
                <w:color w:val="auto"/>
              </w:rPr>
            </w:pPr>
            <w:r>
              <w:rPr>
                <w:rFonts w:ascii="Arial" w:cs="Arial" w:eastAsia="Arial" w:hAnsi="Arial"/>
                <w:sz w:val="18"/>
                <w:szCs w:val="18"/>
                <w:color w:val="auto"/>
              </w:rPr>
              <w:t>Accelerated filer [ ]</w:t>
            </w:r>
          </w:p>
        </w:tc>
        <w:tc>
          <w:tcPr>
            <w:tcW w:w="0" w:type="dxa"/>
            <w:vAlign w:val="bottom"/>
          </w:tcPr>
          <w:p>
            <w:pPr>
              <w:spacing w:after="0"/>
              <w:rPr>
                <w:sz w:val="1"/>
                <w:szCs w:val="1"/>
                <w:color w:val="auto"/>
              </w:rPr>
            </w:pPr>
          </w:p>
        </w:tc>
      </w:tr>
      <w:tr>
        <w:trPr>
          <w:trHeight w:val="213"/>
        </w:trPr>
        <w:tc>
          <w:tcPr>
            <w:tcW w:w="1680" w:type="dxa"/>
            <w:vAlign w:val="bottom"/>
          </w:tcPr>
          <w:p>
            <w:pPr>
              <w:spacing w:after="0"/>
              <w:rPr>
                <w:sz w:val="20"/>
                <w:szCs w:val="20"/>
                <w:color w:val="auto"/>
              </w:rPr>
            </w:pPr>
            <w:r>
              <w:rPr>
                <w:rFonts w:ascii="Arial" w:cs="Arial" w:eastAsia="Arial" w:hAnsi="Arial"/>
                <w:sz w:val="18"/>
                <w:szCs w:val="18"/>
                <w:color w:val="auto"/>
                <w:w w:val="94"/>
              </w:rPr>
              <w:t>Non-accelerated filer [</w:t>
            </w:r>
          </w:p>
        </w:tc>
        <w:tc>
          <w:tcPr>
            <w:tcW w:w="2760" w:type="dxa"/>
            <w:vAlign w:val="bottom"/>
          </w:tcPr>
          <w:p>
            <w:pPr>
              <w:jc w:val="right"/>
              <w:ind w:right="11"/>
              <w:spacing w:after="0"/>
              <w:rPr>
                <w:sz w:val="20"/>
                <w:szCs w:val="20"/>
                <w:color w:val="auto"/>
              </w:rPr>
            </w:pPr>
            <w:r>
              <w:rPr>
                <w:rFonts w:ascii="Arial" w:cs="Arial" w:eastAsia="Arial" w:hAnsi="Arial"/>
                <w:sz w:val="18"/>
                <w:szCs w:val="18"/>
                <w:color w:val="auto"/>
                <w:w w:val="91"/>
              </w:rPr>
              <w:t>] (Do not check if a smaller reporting</w:t>
            </w:r>
          </w:p>
        </w:tc>
        <w:tc>
          <w:tcPr>
            <w:tcW w:w="2340" w:type="dxa"/>
            <w:vAlign w:val="bottom"/>
          </w:tcPr>
          <w:p>
            <w:pPr>
              <w:ind w:left="100"/>
              <w:spacing w:after="0"/>
              <w:rPr>
                <w:sz w:val="20"/>
                <w:szCs w:val="20"/>
                <w:color w:val="auto"/>
              </w:rPr>
            </w:pPr>
            <w:r>
              <w:rPr>
                <w:rFonts w:ascii="Arial" w:cs="Arial" w:eastAsia="Arial" w:hAnsi="Arial"/>
                <w:sz w:val="18"/>
                <w:szCs w:val="18"/>
                <w:color w:val="auto"/>
                <w:w w:val="91"/>
              </w:rPr>
              <w:t>Smaller reporting company [X]</w:t>
            </w:r>
          </w:p>
        </w:tc>
        <w:tc>
          <w:tcPr>
            <w:tcW w:w="0" w:type="dxa"/>
            <w:vAlign w:val="bottom"/>
          </w:tcPr>
          <w:p>
            <w:pPr>
              <w:spacing w:after="0"/>
              <w:rPr>
                <w:sz w:val="1"/>
                <w:szCs w:val="1"/>
                <w:color w:val="auto"/>
              </w:rPr>
            </w:pPr>
          </w:p>
        </w:tc>
      </w:tr>
      <w:tr>
        <w:trPr>
          <w:trHeight w:val="224"/>
        </w:trPr>
        <w:tc>
          <w:tcPr>
            <w:tcW w:w="1680" w:type="dxa"/>
            <w:vAlign w:val="bottom"/>
          </w:tcPr>
          <w:p>
            <w:pPr>
              <w:spacing w:after="0"/>
              <w:rPr>
                <w:sz w:val="20"/>
                <w:szCs w:val="20"/>
                <w:color w:val="auto"/>
              </w:rPr>
            </w:pPr>
            <w:r>
              <w:rPr>
                <w:rFonts w:ascii="Arial" w:cs="Arial" w:eastAsia="Arial" w:hAnsi="Arial"/>
                <w:sz w:val="18"/>
                <w:szCs w:val="18"/>
                <w:color w:val="auto"/>
              </w:rPr>
              <w:t>company)</w:t>
            </w:r>
          </w:p>
        </w:tc>
        <w:tc>
          <w:tcPr>
            <w:tcW w:w="2760" w:type="dxa"/>
            <w:vAlign w:val="bottom"/>
          </w:tcPr>
          <w:p>
            <w:pPr>
              <w:spacing w:after="0"/>
              <w:rPr>
                <w:sz w:val="19"/>
                <w:szCs w:val="19"/>
                <w:color w:val="auto"/>
              </w:rPr>
            </w:pPr>
          </w:p>
        </w:tc>
        <w:tc>
          <w:tcPr>
            <w:tcW w:w="2340" w:type="dxa"/>
            <w:vAlign w:val="bottom"/>
            <w:vMerge w:val="restart"/>
          </w:tcPr>
          <w:p>
            <w:pPr>
              <w:ind w:left="100"/>
              <w:spacing w:after="0"/>
              <w:rPr>
                <w:sz w:val="20"/>
                <w:szCs w:val="20"/>
                <w:color w:val="auto"/>
              </w:rPr>
            </w:pPr>
            <w:r>
              <w:rPr>
                <w:rFonts w:ascii="Arial" w:cs="Arial" w:eastAsia="Arial" w:hAnsi="Arial"/>
                <w:sz w:val="18"/>
                <w:szCs w:val="18"/>
                <w:color w:val="auto"/>
                <w:w w:val="94"/>
              </w:rPr>
              <w:t>Emerging growth company [ ]</w:t>
            </w: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0" w:lineRule="exact"/>
        <w:rPr>
          <w:sz w:val="24"/>
          <w:szCs w:val="24"/>
          <w:color w:val="auto"/>
        </w:rPr>
      </w:pPr>
    </w:p>
    <w:p>
      <w:pPr>
        <w:spacing w:after="0" w:line="321" w:lineRule="auto"/>
        <w:rPr>
          <w:sz w:val="20"/>
          <w:szCs w:val="20"/>
          <w:color w:val="auto"/>
        </w:rPr>
      </w:pPr>
      <w:r>
        <w:rPr>
          <w:rFonts w:ascii="Arial" w:cs="Arial" w:eastAsia="Arial" w:hAnsi="Arial"/>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4" w:lineRule="exact"/>
        <w:rPr>
          <w:sz w:val="24"/>
          <w:szCs w:val="24"/>
          <w:color w:val="auto"/>
        </w:rPr>
      </w:pPr>
    </w:p>
    <w:p>
      <w:pPr>
        <w:spacing w:after="0"/>
        <w:rPr>
          <w:sz w:val="20"/>
          <w:szCs w:val="20"/>
          <w:color w:val="auto"/>
        </w:rPr>
      </w:pPr>
      <w:r>
        <w:rPr>
          <w:rFonts w:ascii="Arial" w:cs="Arial" w:eastAsia="Arial" w:hAnsi="Arial"/>
          <w:sz w:val="20"/>
          <w:szCs w:val="20"/>
          <w:color w:val="auto"/>
        </w:rPr>
        <w:t>Indicate by check mark whether the registrant is a shell company (as defined in Rule 12b-2 of the Exchange Act). Yes [ ] No[X]</w:t>
      </w:r>
    </w:p>
    <w:p>
      <w:pPr>
        <w:spacing w:after="0" w:line="303" w:lineRule="exact"/>
        <w:rPr>
          <w:sz w:val="24"/>
          <w:szCs w:val="24"/>
          <w:color w:val="auto"/>
        </w:rPr>
      </w:pPr>
    </w:p>
    <w:p>
      <w:pPr>
        <w:spacing w:after="0"/>
        <w:rPr>
          <w:sz w:val="20"/>
          <w:szCs w:val="20"/>
          <w:color w:val="auto"/>
        </w:rPr>
      </w:pPr>
      <w:r>
        <w:rPr>
          <w:rFonts w:ascii="Arial" w:cs="Arial" w:eastAsia="Arial" w:hAnsi="Arial"/>
          <w:sz w:val="20"/>
          <w:szCs w:val="20"/>
          <w:color w:val="auto"/>
        </w:rPr>
        <w:t>Indicate the number of shares outstanding of each of the issuer’s classes of common stock, as of the latest practicable date.</w:t>
      </w:r>
    </w:p>
    <w:p>
      <w:pPr>
        <w:spacing w:after="0" w:line="303" w:lineRule="exact"/>
        <w:rPr>
          <w:sz w:val="24"/>
          <w:szCs w:val="24"/>
          <w:color w:val="auto"/>
        </w:rPr>
      </w:pPr>
    </w:p>
    <w:p>
      <w:pPr>
        <w:spacing w:after="0" w:line="294" w:lineRule="auto"/>
        <w:rPr>
          <w:sz w:val="20"/>
          <w:szCs w:val="20"/>
          <w:color w:val="auto"/>
        </w:rPr>
      </w:pPr>
      <w:r>
        <w:rPr>
          <w:rFonts w:ascii="Arial" w:cs="Arial" w:eastAsia="Arial" w:hAnsi="Arial"/>
          <w:sz w:val="21"/>
          <w:szCs w:val="21"/>
          <w:color w:val="auto"/>
        </w:rPr>
        <w:t>As of August 13, 2019, the registrant had 15,327,298 shares of Class A Common Stock, $2.00 par value, outstanding and 2,254,168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485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78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SECURITY NATIONAL FINANCIAL CORPORATION AND SUBSIDIARIES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QUARTER ENDED JUNE 30, 2019</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Page No.</w:t>
            </w:r>
          </w:p>
        </w:tc>
      </w:tr>
      <w:tr>
        <w:trPr>
          <w:trHeight w:val="212"/>
        </w:trPr>
        <w:tc>
          <w:tcPr>
            <w:tcW w:w="860" w:type="dxa"/>
            <w:vAlign w:val="bottom"/>
          </w:tcPr>
          <w:p>
            <w:pPr>
              <w:spacing w:after="0"/>
              <w:rPr>
                <w:sz w:val="18"/>
                <w:szCs w:val="18"/>
                <w:color w:val="auto"/>
              </w:rPr>
            </w:pPr>
          </w:p>
        </w:tc>
        <w:tc>
          <w:tcPr>
            <w:tcW w:w="9460" w:type="dxa"/>
            <w:vAlign w:val="bottom"/>
          </w:tcPr>
          <w:p>
            <w:pPr>
              <w:jc w:val="center"/>
              <w:ind w:left="132"/>
              <w:spacing w:after="0"/>
              <w:rPr>
                <w:sz w:val="20"/>
                <w:szCs w:val="20"/>
                <w:color w:val="auto"/>
              </w:rPr>
            </w:pPr>
            <w:r>
              <w:rPr>
                <w:rFonts w:ascii="Arial" w:cs="Arial" w:eastAsia="Arial" w:hAnsi="Arial"/>
                <w:sz w:val="18"/>
                <w:szCs w:val="18"/>
                <w:b w:val="1"/>
                <w:bCs w:val="1"/>
                <w:color w:val="auto"/>
                <w:w w:val="95"/>
              </w:rPr>
              <w:t>Part I - Financial Information</w:t>
            </w:r>
          </w:p>
        </w:tc>
        <w:tc>
          <w:tcPr>
            <w:tcW w:w="1100" w:type="dxa"/>
            <w:vAlign w:val="bottom"/>
          </w:tcPr>
          <w:p>
            <w:pPr>
              <w:spacing w:after="0"/>
              <w:rPr>
                <w:sz w:val="18"/>
                <w:szCs w:val="18"/>
                <w:color w:val="auto"/>
              </w:rPr>
            </w:pPr>
          </w:p>
        </w:tc>
      </w:tr>
      <w:tr>
        <w:trPr>
          <w:trHeight w:val="214"/>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 Statements</w:t>
            </w:r>
          </w:p>
        </w:tc>
        <w:tc>
          <w:tcPr>
            <w:tcW w:w="110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Condensed Consolidated Balance Sheets as of June 30, 2019 and December 31, 2018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Condensed Consolidated Statements of Earnings for the three and six months ended June 30, 2019 and 2018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1"/>
        </w:trPr>
        <w:tc>
          <w:tcPr>
            <w:tcW w:w="860" w:type="dxa"/>
            <w:vAlign w:val="bottom"/>
            <w:shd w:val="clear" w:color="auto" w:fill="CCEEFF"/>
          </w:tcPr>
          <w:p>
            <w:pPr>
              <w:spacing w:after="0"/>
              <w:rPr>
                <w:sz w:val="17"/>
                <w:szCs w:val="17"/>
                <w:color w:val="auto"/>
              </w:rPr>
            </w:pPr>
          </w:p>
        </w:tc>
        <w:tc>
          <w:tcPr>
            <w:tcW w:w="94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Condensed Consolidated Statements of Comprehensive Income for the three and six months ended June 30, 2019 and 2018</w:t>
            </w: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6</w:t>
            </w:r>
          </w:p>
        </w:tc>
      </w:tr>
      <w:tr>
        <w:trPr>
          <w:trHeight w:val="225"/>
        </w:trPr>
        <w:tc>
          <w:tcPr>
            <w:tcW w:w="860" w:type="dxa"/>
            <w:vAlign w:val="bottom"/>
            <w:shd w:val="clear" w:color="auto" w:fill="CCEEFF"/>
          </w:tcPr>
          <w:p>
            <w:pPr>
              <w:spacing w:after="0"/>
              <w:rPr>
                <w:sz w:val="19"/>
                <w:szCs w:val="19"/>
                <w:color w:val="auto"/>
              </w:rPr>
            </w:pP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(unaudited)</w:t>
            </w:r>
          </w:p>
        </w:tc>
        <w:tc>
          <w:tcPr>
            <w:tcW w:w="1100" w:type="dxa"/>
            <w:vAlign w:val="bottom"/>
            <w:shd w:val="clear" w:color="auto" w:fill="CCEEFF"/>
          </w:tcPr>
          <w:p>
            <w:pPr>
              <w:spacing w:after="0"/>
              <w:rPr>
                <w:sz w:val="19"/>
                <w:szCs w:val="19"/>
                <w:color w:val="auto"/>
              </w:rPr>
            </w:pP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Condensed Consolidated Statements of Stockholders' Equity as of June 30, 2019 and June 30, 2018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Condensed Consolidated Statements of Cash Flows for the six months Ended June 30, 2019 and 2018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8-9</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to Condensed Consolidated Financial Statements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Quantitative and Qualitative Disclosures about Market Risk</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Controls and Procedures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9460" w:type="dxa"/>
            <w:vAlign w:val="bottom"/>
            <w:shd w:val="clear" w:color="auto" w:fill="CCEEFF"/>
          </w:tcPr>
          <w:p>
            <w:pPr>
              <w:jc w:val="center"/>
              <w:ind w:left="132"/>
              <w:spacing w:after="0"/>
              <w:rPr>
                <w:sz w:val="20"/>
                <w:szCs w:val="20"/>
                <w:color w:val="auto"/>
              </w:rPr>
            </w:pPr>
            <w:r>
              <w:rPr>
                <w:rFonts w:ascii="Arial" w:cs="Arial" w:eastAsia="Arial" w:hAnsi="Arial"/>
                <w:sz w:val="18"/>
                <w:szCs w:val="18"/>
                <w:b w:val="1"/>
                <w:bCs w:val="1"/>
                <w:color w:val="auto"/>
                <w:w w:val="95"/>
              </w:rPr>
              <w:t>Part II - Other Information</w:t>
            </w:r>
          </w:p>
        </w:tc>
        <w:tc>
          <w:tcPr>
            <w:tcW w:w="1100" w:type="dxa"/>
            <w:vAlign w:val="bottom"/>
            <w:shd w:val="clear" w:color="auto" w:fill="CCEEFF"/>
          </w:tcPr>
          <w:p>
            <w:pPr>
              <w:spacing w:after="0"/>
              <w:rPr>
                <w:sz w:val="18"/>
                <w:szCs w:val="18"/>
                <w:color w:val="auto"/>
              </w:rPr>
            </w:pP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Legal Proceedings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Risk Factors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Unregistered Sales of Equity Securities and Use of Proceeds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Defaults Upon Senior Securities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Mine Safety Disclosures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Information</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Exhibits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Signature Page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r>
      <w:tr>
        <w:trPr>
          <w:trHeight w:val="213"/>
        </w:trPr>
        <w:tc>
          <w:tcPr>
            <w:tcW w:w="86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3"/>
        </w:trPr>
        <w:tc>
          <w:tcPr>
            <w:tcW w:w="860" w:type="dxa"/>
            <w:vAlign w:val="bottom"/>
            <w:shd w:val="clear" w:color="auto" w:fill="CCEEFF"/>
          </w:tcPr>
          <w:p>
            <w:pPr>
              <w:spacing w:after="0"/>
              <w:rPr>
                <w:sz w:val="18"/>
                <w:szCs w:val="18"/>
                <w:color w:val="auto"/>
              </w:rPr>
            </w:pPr>
          </w:p>
        </w:tc>
        <w:tc>
          <w:tcPr>
            <w:tcW w:w="9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Certifications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r>
      <w:tr>
        <w:trPr>
          <w:trHeight w:val="601"/>
        </w:trPr>
        <w:tc>
          <w:tcPr>
            <w:tcW w:w="860" w:type="dxa"/>
            <w:vAlign w:val="bottom"/>
          </w:tcPr>
          <w:p>
            <w:pPr>
              <w:spacing w:after="0"/>
              <w:rPr>
                <w:sz w:val="24"/>
                <w:szCs w:val="24"/>
                <w:color w:val="auto"/>
              </w:rPr>
            </w:pPr>
          </w:p>
        </w:tc>
        <w:tc>
          <w:tcPr>
            <w:tcW w:w="9460" w:type="dxa"/>
            <w:vAlign w:val="bottom"/>
          </w:tcPr>
          <w:p>
            <w:pPr>
              <w:jc w:val="center"/>
              <w:ind w:left="152"/>
              <w:spacing w:after="0"/>
              <w:rPr>
                <w:sz w:val="20"/>
                <w:szCs w:val="20"/>
                <w:color w:val="auto"/>
              </w:rPr>
            </w:pPr>
            <w:r>
              <w:rPr>
                <w:rFonts w:ascii="Arial" w:cs="Arial" w:eastAsia="Arial" w:hAnsi="Arial"/>
                <w:sz w:val="14"/>
                <w:szCs w:val="14"/>
                <w:color w:val="auto"/>
                <w:w w:val="76"/>
              </w:rPr>
              <w:t>2</w:t>
            </w:r>
          </w:p>
        </w:tc>
        <w:tc>
          <w:tcPr>
            <w:tcW w:w="1100" w:type="dxa"/>
            <w:vAlign w:val="bottom"/>
          </w:tcPr>
          <w:p>
            <w:pPr>
              <w:spacing w:after="0"/>
              <w:rPr>
                <w:sz w:val="24"/>
                <w:szCs w:val="24"/>
                <w:color w:val="auto"/>
              </w:rPr>
            </w:pPr>
          </w:p>
        </w:tc>
      </w:tr>
      <w:tr>
        <w:trPr>
          <w:trHeight w:val="45"/>
        </w:trPr>
        <w:tc>
          <w:tcPr>
            <w:tcW w:w="860" w:type="dxa"/>
            <w:vAlign w:val="bottom"/>
            <w:tcBorders>
              <w:bottom w:val="single" w:sz="8" w:color="auto"/>
            </w:tcBorders>
          </w:tcPr>
          <w:p>
            <w:pPr>
              <w:spacing w:after="0"/>
              <w:rPr>
                <w:sz w:val="3"/>
                <w:szCs w:val="3"/>
                <w:color w:val="auto"/>
              </w:rPr>
            </w:pPr>
          </w:p>
        </w:tc>
        <w:tc>
          <w:tcPr>
            <w:tcW w:w="94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CONDENSED CONSOLIDATED BALANCE SHEETS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4"/>
          <w:szCs w:val="14"/>
          <w:b w:val="1"/>
          <w:bCs w:val="1"/>
          <w:color w:val="auto"/>
        </w:rPr>
        <w:t>-</w:t>
      </w:r>
      <w:r>
        <w:rPr>
          <w:rFonts w:ascii="Arial" w:cs="Arial" w:eastAsia="Arial" w:hAnsi="Arial"/>
          <w:sz w:val="18"/>
          <w:szCs w:val="18"/>
          <w:b w:val="1"/>
          <w:bCs w:val="1"/>
          <w:color w:val="auto"/>
        </w:rPr>
        <w:t xml:space="preserve"> Financial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June 30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8"/>
                <w:szCs w:val="18"/>
                <w:color w:val="auto"/>
              </w:rPr>
            </w:pPr>
          </w:p>
        </w:tc>
        <w:tc>
          <w:tcPr>
            <w:tcW w:w="1040" w:type="dxa"/>
            <w:vAlign w:val="bottom"/>
          </w:tcPr>
          <w:p>
            <w:pPr>
              <w:jc w:val="center"/>
              <w:ind w:right="11"/>
              <w:spacing w:after="0"/>
              <w:rPr>
                <w:sz w:val="20"/>
                <w:szCs w:val="20"/>
                <w:color w:val="auto"/>
              </w:rPr>
            </w:pPr>
            <w:r>
              <w:rPr>
                <w:rFonts w:ascii="Arial" w:cs="Arial" w:eastAsia="Arial" w:hAnsi="Arial"/>
                <w:sz w:val="18"/>
                <w:szCs w:val="18"/>
                <w:color w:val="auto"/>
                <w:w w:val="84"/>
              </w:rPr>
              <w:t>2019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2"/>
        </w:trPr>
        <w:tc>
          <w:tcPr>
            <w:tcW w:w="88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040" w:type="dxa"/>
            <w:vAlign w:val="bottom"/>
          </w:tcPr>
          <w:p>
            <w:pPr>
              <w:jc w:val="right"/>
              <w:ind w:right="31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820" w:type="dxa"/>
            <w:vAlign w:val="bottom"/>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maturity securities, held to maturity, at amortized cost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222,824,099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232,078,723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0"/>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7,601,561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5,558,611</w:t>
            </w: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Mortgage loans held for investment (net of allowances for loan losses of $1,292,914 and $1,347,972 for 2019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188,322,005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186,465,069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20" w:type="dxa"/>
            <w:vAlign w:val="bottom"/>
          </w:tcPr>
          <w:p>
            <w:pPr>
              <w:ind w:left="200"/>
              <w:spacing w:after="0"/>
              <w:rPr>
                <w:sz w:val="20"/>
                <w:szCs w:val="20"/>
                <w:color w:val="auto"/>
              </w:rPr>
            </w:pPr>
            <w:r>
              <w:rPr>
                <w:rFonts w:ascii="Arial" w:cs="Arial" w:eastAsia="Arial" w:hAnsi="Arial"/>
                <w:sz w:val="18"/>
                <w:szCs w:val="18"/>
                <w:color w:val="auto"/>
                <w:w w:val="91"/>
              </w:rPr>
              <w:t>Real estate held for investment (net of accumulated depreciation of $17,568,917 and $16,739,578 for 2019 and 2018)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119,469,347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121,558,222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Other investments and policy loans (net of allowances for doubtful accounts of $1,399,272 and $1,092,528 for 2019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and 2018)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47,610,741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46,617,655</w:t>
            </w:r>
          </w:p>
        </w:tc>
        <w:tc>
          <w:tcPr>
            <w:tcW w:w="0" w:type="dxa"/>
            <w:vAlign w:val="bottom"/>
          </w:tcPr>
          <w:p>
            <w:pPr>
              <w:spacing w:after="0"/>
              <w:rPr>
                <w:sz w:val="1"/>
                <w:szCs w:val="1"/>
                <w:color w:val="auto"/>
              </w:rPr>
            </w:pPr>
          </w:p>
        </w:tc>
      </w:tr>
      <w:tr>
        <w:trPr>
          <w:trHeight w:val="220"/>
        </w:trPr>
        <w:tc>
          <w:tcPr>
            <w:tcW w:w="8820" w:type="dxa"/>
            <w:vAlign w:val="bottom"/>
          </w:tcPr>
          <w:p>
            <w:pPr>
              <w:ind w:left="200"/>
              <w:spacing w:after="0"/>
              <w:rPr>
                <w:sz w:val="20"/>
                <w:szCs w:val="20"/>
                <w:color w:val="auto"/>
              </w:rPr>
            </w:pPr>
            <w:r>
              <w:rPr>
                <w:rFonts w:ascii="Arial" w:cs="Arial" w:eastAsia="Arial" w:hAnsi="Arial"/>
                <w:sz w:val="18"/>
                <w:szCs w:val="18"/>
                <w:color w:val="auto"/>
              </w:rPr>
              <w:t>Accrued investment income</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3,894,701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589,722,454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595,844,426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127,828,356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142,199,942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 at estimated fair value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187,938,302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136,210,853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spacing w:after="0"/>
              <w:rPr>
                <w:sz w:val="20"/>
                <w:szCs w:val="20"/>
                <w:color w:val="auto"/>
              </w:rPr>
            </w:pPr>
            <w:r>
              <w:rPr>
                <w:rFonts w:ascii="Arial" w:cs="Arial" w:eastAsia="Arial" w:hAnsi="Arial"/>
                <w:sz w:val="18"/>
                <w:szCs w:val="18"/>
                <w:color w:val="auto"/>
              </w:rPr>
              <w:t>Receivables (net of allowances for doubtful accounts of $1,572,391and $1,519,842 for 2019 and 2018)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18,729,777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8,935,343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(including $828,731 and $744,673 for 2019 and 2018 at estimated fair value)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12,329,446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10,981,562</w:t>
            </w:r>
          </w:p>
        </w:tc>
        <w:tc>
          <w:tcPr>
            <w:tcW w:w="0" w:type="dxa"/>
            <w:vAlign w:val="bottom"/>
          </w:tcPr>
          <w:p>
            <w:pPr>
              <w:spacing w:after="0"/>
              <w:rPr>
                <w:sz w:val="1"/>
                <w:szCs w:val="1"/>
                <w:color w:val="auto"/>
              </w:rPr>
            </w:pPr>
          </w:p>
        </w:tc>
      </w:tr>
      <w:tr>
        <w:trPr>
          <w:trHeight w:val="213"/>
        </w:trPr>
        <w:tc>
          <w:tcPr>
            <w:tcW w:w="8820" w:type="dxa"/>
            <w:vAlign w:val="bottom"/>
          </w:tcPr>
          <w:p>
            <w:pPr>
              <w:spacing w:after="0"/>
              <w:rPr>
                <w:sz w:val="20"/>
                <w:szCs w:val="20"/>
                <w:color w:val="auto"/>
              </w:rPr>
            </w:pPr>
            <w:r>
              <w:rPr>
                <w:rFonts w:ascii="Arial" w:cs="Arial" w:eastAsia="Arial" w:hAnsi="Arial"/>
                <w:sz w:val="18"/>
                <w:szCs w:val="18"/>
                <w:color w:val="auto"/>
                <w:w w:val="92"/>
              </w:rPr>
              <w:t>Cemetery perpetual care trust investments (including $480,537 and $483,353 for 2019 and 2018 at estimated fair value)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4,107,280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4,335,869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reinsurers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10,828,024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10,820,102</w:t>
            </w:r>
          </w:p>
        </w:tc>
        <w:tc>
          <w:tcPr>
            <w:tcW w:w="0" w:type="dxa"/>
            <w:vAlign w:val="bottom"/>
          </w:tcPr>
          <w:p>
            <w:pPr>
              <w:spacing w:after="0"/>
              <w:rPr>
                <w:sz w:val="1"/>
                <w:szCs w:val="1"/>
                <w:color w:val="auto"/>
              </w:rPr>
            </w:pPr>
          </w:p>
        </w:tc>
      </w:tr>
      <w:tr>
        <w:trPr>
          <w:trHeight w:val="213"/>
        </w:trPr>
        <w:tc>
          <w:tcPr>
            <w:tcW w:w="8820" w:type="dxa"/>
            <w:vAlign w:val="bottom"/>
          </w:tcPr>
          <w:p>
            <w:pPr>
              <w:spacing w:after="0"/>
              <w:rPr>
                <w:sz w:val="20"/>
                <w:szCs w:val="20"/>
                <w:color w:val="auto"/>
              </w:rPr>
            </w:pPr>
            <w:r>
              <w:rPr>
                <w:rFonts w:ascii="Arial" w:cs="Arial" w:eastAsia="Arial" w:hAnsi="Arial"/>
                <w:sz w:val="18"/>
                <w:szCs w:val="18"/>
                <w:color w:val="auto"/>
              </w:rPr>
              <w:t>Cemetery land and improvements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9,821,371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9,878,427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and pre-need contract acquisition costs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92,510,997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89,362,096</w:t>
            </w:r>
          </w:p>
        </w:tc>
        <w:tc>
          <w:tcPr>
            <w:tcW w:w="0" w:type="dxa"/>
            <w:vAlign w:val="bottom"/>
          </w:tcPr>
          <w:p>
            <w:pPr>
              <w:spacing w:after="0"/>
              <w:rPr>
                <w:sz w:val="1"/>
                <w:szCs w:val="1"/>
                <w:color w:val="auto"/>
              </w:rPr>
            </w:pPr>
          </w:p>
        </w:tc>
      </w:tr>
      <w:tr>
        <w:trPr>
          <w:trHeight w:val="213"/>
        </w:trPr>
        <w:tc>
          <w:tcPr>
            <w:tcW w:w="8820" w:type="dxa"/>
            <w:vAlign w:val="bottom"/>
          </w:tcPr>
          <w:p>
            <w:pPr>
              <w:spacing w:after="0"/>
              <w:rPr>
                <w:sz w:val="20"/>
                <w:szCs w:val="20"/>
                <w:color w:val="auto"/>
              </w:rPr>
            </w:pPr>
            <w:r>
              <w:rPr>
                <w:rFonts w:ascii="Arial" w:cs="Arial" w:eastAsia="Arial" w:hAnsi="Arial"/>
                <w:sz w:val="18"/>
                <w:szCs w:val="18"/>
                <w:color w:val="auto"/>
              </w:rPr>
              <w:t>Mortgage servicing rights,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17,504,477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20,016,822</w:t>
            </w: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9,211,456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spacing w:after="0"/>
              <w:rPr>
                <w:sz w:val="20"/>
                <w:szCs w:val="20"/>
                <w:color w:val="auto"/>
              </w:rPr>
            </w:pPr>
            <w:r>
              <w:rPr>
                <w:rFonts w:ascii="Arial" w:cs="Arial" w:eastAsia="Arial" w:hAnsi="Arial"/>
                <w:sz w:val="18"/>
                <w:szCs w:val="18"/>
                <w:color w:val="auto"/>
              </w:rPr>
              <w:t>Value of business acquired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5,396,891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5,765,190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3,519,588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8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17,014,329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6,684,143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1,106,462,748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1,050,811,123</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See accompanying notes to condensed consolidated financial statements (unaudited).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CONDENSED CONSOLIDATED BALANCE SHEETS (Continued)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June 30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1"/>
              <w:spacing w:after="0"/>
              <w:rPr>
                <w:sz w:val="20"/>
                <w:szCs w:val="20"/>
                <w:color w:val="auto"/>
              </w:rPr>
            </w:pPr>
            <w:r>
              <w:rPr>
                <w:rFonts w:ascii="Arial" w:cs="Arial" w:eastAsia="Arial" w:hAnsi="Arial"/>
                <w:sz w:val="18"/>
                <w:szCs w:val="18"/>
                <w:color w:val="auto"/>
                <w:w w:val="84"/>
              </w:rPr>
              <w:t>2019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December 31</w:t>
            </w:r>
          </w:p>
        </w:tc>
      </w:tr>
      <w:tr>
        <w:trPr>
          <w:trHeight w:val="232"/>
        </w:trPr>
        <w:tc>
          <w:tcPr>
            <w:tcW w:w="8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040" w:type="dxa"/>
            <w:vAlign w:val="bottom"/>
          </w:tcPr>
          <w:p>
            <w:pPr>
              <w:jc w:val="right"/>
              <w:ind w:right="31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195"/>
        </w:trPr>
        <w:tc>
          <w:tcPr>
            <w:tcW w:w="8660" w:type="dxa"/>
            <w:vAlign w:val="bottom"/>
          </w:tcPr>
          <w:p>
            <w:pPr>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86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Future policy benefits and unpaid claims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626,987,613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620,399,714</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Unearned premium reserve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3,778,815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3,920,473</w:t>
            </w:r>
          </w:p>
        </w:tc>
        <w:tc>
          <w:tcPr>
            <w:tcW w:w="100" w:type="dxa"/>
            <w:vAlign w:val="bottom"/>
          </w:tcPr>
          <w:p>
            <w:pPr>
              <w:spacing w:after="0"/>
              <w:rPr>
                <w:sz w:val="18"/>
                <w:szCs w:val="18"/>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216,352,961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187,521,188</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Deferred pre-need cemetery and mortuary contract revenues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12,730,705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12,508,625</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3,886,614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3,821,979</w:t>
            </w: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4,024,789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2,883,349</w:t>
            </w:r>
          </w:p>
        </w:tc>
        <w:tc>
          <w:tcPr>
            <w:tcW w:w="100" w:type="dxa"/>
            <w:vAlign w:val="bottom"/>
          </w:tcPr>
          <w:p>
            <w:pPr>
              <w:spacing w:after="0"/>
              <w:rPr>
                <w:sz w:val="18"/>
                <w:szCs w:val="18"/>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accrued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44,324,342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31,821,624</w:t>
            </w:r>
          </w:p>
        </w:tc>
      </w:tr>
      <w:tr>
        <w:trPr>
          <w:trHeight w:val="220"/>
        </w:trPr>
        <w:tc>
          <w:tcPr>
            <w:tcW w:w="866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16,808,733</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16,122,998</w:t>
            </w:r>
          </w:p>
        </w:tc>
      </w:tr>
      <w:tr>
        <w:trPr>
          <w:trHeight w:val="22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928,894,572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878,999,950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Preferred Stock - non-voting - $1.00 par value; 5,000,000 shares authorized; none issued or 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Class A: common stock - $2.00 par value; 20,000,000 shares authorized; issued 15,322,830 shares in 2019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15,304,798 shares in 2018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30,645,660</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30,609,596</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w w:val="98"/>
              </w:rPr>
              <w:t>Class B: non-voting common stock - $1.00 par value; 5,000,000 shares authorized; none issued or 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Class C: convertible common stock - $2.00 par value; 3,000,000 shares authorized; issued 2,190,354 shares in 2019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2,193,643 shares in 2018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4,380,708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4,387,286</w:t>
            </w:r>
          </w:p>
        </w:tc>
        <w:tc>
          <w:tcPr>
            <w:tcW w:w="100" w:type="dxa"/>
            <w:vAlign w:val="bottom"/>
            <w:shd w:val="clear" w:color="auto" w:fill="CCEEFF"/>
          </w:tcPr>
          <w:p>
            <w:pPr>
              <w:spacing w:after="0"/>
              <w:rPr>
                <w:sz w:val="19"/>
                <w:szCs w:val="19"/>
                <w:color w:val="auto"/>
              </w:rPr>
            </w:pP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42,357,731</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41,821,778</w:t>
            </w:r>
          </w:p>
        </w:tc>
      </w:tr>
      <w:tr>
        <w:trPr>
          <w:trHeight w:val="213"/>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net of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(2,823)</w:t>
            </w:r>
          </w:p>
        </w:tc>
      </w:tr>
      <w:tr>
        <w:trPr>
          <w:trHeight w:val="213"/>
        </w:trPr>
        <w:tc>
          <w:tcPr>
            <w:tcW w:w="866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100,611,335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95,201,732</w:t>
            </w:r>
          </w:p>
        </w:tc>
      </w:tr>
      <w:tr>
        <w:trPr>
          <w:trHeight w:val="22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- 270,803 Class A shares in 2019 and 302,541 Class A shares in 2018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(425,971)</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(206,396)</w:t>
            </w:r>
          </w:p>
        </w:tc>
      </w:tr>
      <w:tr>
        <w:trPr>
          <w:trHeight w:val="213"/>
        </w:trPr>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177,568,176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171,811,173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866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33"/>
        </w:trPr>
        <w:tc>
          <w:tcPr>
            <w:tcW w:w="8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1,106,462,748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1,050,811,123</w:t>
            </w:r>
          </w:p>
        </w:tc>
      </w:tr>
      <w:tr>
        <w:trPr>
          <w:trHeight w:val="20"/>
        </w:trPr>
        <w:tc>
          <w:tcPr>
            <w:tcW w:w="8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See accompanying notes to condensed consolidated financial statements (unaudited).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1"/>
          <w:szCs w:val="21"/>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CONDENSED CONSOLIDATED STATEMENTS OF EARNINGS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32"/>
        </w:trPr>
        <w:tc>
          <w:tcPr>
            <w:tcW w:w="6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2"/>
        </w:trPr>
        <w:tc>
          <w:tcPr>
            <w:tcW w:w="60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 and other considerations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19,645,218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19,190,831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38,672,220</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38,001,189</w:t>
            </w:r>
          </w:p>
        </w:tc>
      </w:tr>
      <w:tr>
        <w:trPr>
          <w:trHeight w:val="213"/>
        </w:trPr>
        <w:tc>
          <w:tcPr>
            <w:tcW w:w="6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10,540,835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9,741,965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20,582,503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19,816,396</w:t>
            </w:r>
          </w:p>
        </w:tc>
      </w:tr>
      <w:tr>
        <w:trPr>
          <w:trHeight w:val="21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4,000,730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3,551,109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7,679,358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6,783,838</w:t>
            </w:r>
          </w:p>
        </w:tc>
        <w:tc>
          <w:tcPr>
            <w:tcW w:w="100" w:type="dxa"/>
            <w:vAlign w:val="bottom"/>
            <w:shd w:val="clear" w:color="auto" w:fill="CCEEFF"/>
          </w:tcPr>
          <w:p>
            <w:pPr>
              <w:spacing w:after="0"/>
              <w:rPr>
                <w:sz w:val="18"/>
                <w:szCs w:val="18"/>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8"/>
                <w:szCs w:val="18"/>
                <w:color w:val="auto"/>
              </w:rPr>
              <w:t>Gains (losses) on investments and other assets</w:t>
            </w: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(1,025,893)</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2,328,229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780,768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24,349,168</w:t>
            </w:r>
          </w:p>
        </w:tc>
      </w:tr>
      <w:tr>
        <w:trPr>
          <w:trHeight w:val="21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32,946,567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31,709,080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57,425,438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57,169,240</w:t>
            </w: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2,337,725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2,343,912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4,798,730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4,821,404</w:t>
            </w:r>
          </w:p>
        </w:tc>
        <w:tc>
          <w:tcPr>
            <w:tcW w:w="100" w:type="dxa"/>
            <w:vAlign w:val="bottom"/>
          </w:tcPr>
          <w:p>
            <w:pPr>
              <w:spacing w:after="0"/>
              <w:rPr>
                <w:sz w:val="19"/>
                <w:szCs w:val="19"/>
                <w:color w:val="auto"/>
              </w:rPr>
            </w:pPr>
          </w:p>
        </w:tc>
      </w:tr>
      <w:tr>
        <w:trPr>
          <w:trHeight w:val="220"/>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68,445,182</w:t>
            </w: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68,865,126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129,939,017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150,941,235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and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8"/>
                <w:szCs w:val="18"/>
                <w:color w:val="auto"/>
              </w:rPr>
              <w:t>Death benefits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9,248,796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9,355,157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19,326,699</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18,963,255</w:t>
            </w:r>
          </w:p>
        </w:tc>
      </w:tr>
      <w:tr>
        <w:trPr>
          <w:trHeight w:val="21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Surrenders and other policy benefits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695,906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1,629,909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1,506,034</w:t>
            </w:r>
          </w:p>
        </w:tc>
        <w:tc>
          <w:tcPr>
            <w:tcW w:w="100" w:type="dxa"/>
            <w:vAlign w:val="bottom"/>
            <w:shd w:val="clear" w:color="auto" w:fill="CCEEFF"/>
          </w:tcPr>
          <w:p>
            <w:pPr>
              <w:spacing w:after="0"/>
              <w:rPr>
                <w:sz w:val="18"/>
                <w:szCs w:val="18"/>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8"/>
                <w:szCs w:val="18"/>
                <w:color w:val="auto"/>
              </w:rPr>
              <w:t>Increase in future policy benefits</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5,676,111</w:t>
            </w: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6,149,027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11,427,241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11,733,963</w:t>
            </w:r>
          </w:p>
        </w:tc>
      </w:tr>
      <w:tr>
        <w:trPr>
          <w:trHeight w:val="201"/>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policy and pre-need acquisition costs and value of</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business acquired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3,073,478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2,110,782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6,201,752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5,220,715</w:t>
            </w:r>
          </w:p>
        </w:tc>
        <w:tc>
          <w:tcPr>
            <w:tcW w:w="100" w:type="dxa"/>
            <w:vAlign w:val="bottom"/>
            <w:shd w:val="clear" w:color="auto" w:fill="CCEEFF"/>
          </w:tcPr>
          <w:p>
            <w:pPr>
              <w:spacing w:after="0"/>
              <w:rPr>
                <w:sz w:val="19"/>
                <w:szCs w:val="19"/>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13,853,889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14,459,722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23,528,981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25,742,123</w:t>
            </w:r>
          </w:p>
        </w:tc>
      </w:tr>
      <w:tr>
        <w:trPr>
          <w:trHeight w:val="213"/>
        </w:trPr>
        <w:tc>
          <w:tcPr>
            <w:tcW w:w="6060" w:type="dxa"/>
            <w:vAlign w:val="bottom"/>
          </w:tcPr>
          <w:p>
            <w:pPr>
              <w:ind w:left="200"/>
              <w:spacing w:after="0"/>
              <w:rPr>
                <w:sz w:val="20"/>
                <w:szCs w:val="20"/>
                <w:color w:val="auto"/>
              </w:rPr>
            </w:pPr>
            <w:r>
              <w:rPr>
                <w:rFonts w:ascii="Arial" w:cs="Arial" w:eastAsia="Arial" w:hAnsi="Arial"/>
                <w:sz w:val="18"/>
                <w:szCs w:val="18"/>
                <w:color w:val="auto"/>
              </w:rPr>
              <w:t>Personnel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15,699,260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16,905,714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30,730,596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33,472,402</w:t>
            </w:r>
          </w:p>
        </w:tc>
      </w:tr>
      <w:tr>
        <w:trPr>
          <w:trHeight w:val="213"/>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1,171,903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1,194,086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2,205,078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2,223,677</w:t>
            </w:r>
          </w:p>
        </w:tc>
        <w:tc>
          <w:tcPr>
            <w:tcW w:w="100" w:type="dxa"/>
            <w:vAlign w:val="bottom"/>
            <w:shd w:val="clear" w:color="auto" w:fill="CCEEFF"/>
          </w:tcPr>
          <w:p>
            <w:pPr>
              <w:spacing w:after="0"/>
              <w:rPr>
                <w:sz w:val="18"/>
                <w:szCs w:val="18"/>
                <w:color w:val="auto"/>
              </w:rPr>
            </w:pPr>
          </w:p>
        </w:tc>
      </w:tr>
      <w:tr>
        <w:trPr>
          <w:trHeight w:val="213"/>
        </w:trPr>
        <w:tc>
          <w:tcPr>
            <w:tcW w:w="6060" w:type="dxa"/>
            <w:vAlign w:val="bottom"/>
          </w:tcPr>
          <w:p>
            <w:pPr>
              <w:ind w:left="200"/>
              <w:spacing w:after="0"/>
              <w:rPr>
                <w:sz w:val="20"/>
                <w:szCs w:val="20"/>
                <w:color w:val="auto"/>
              </w:rPr>
            </w:pPr>
            <w:r>
              <w:rPr>
                <w:rFonts w:ascii="Arial" w:cs="Arial" w:eastAsia="Arial" w:hAnsi="Arial"/>
                <w:sz w:val="18"/>
                <w:szCs w:val="18"/>
                <w:color w:val="auto"/>
              </w:rPr>
              <w:t>Rent and rent related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1,724,179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1,929,133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3,628,467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3,892,483</w:t>
            </w:r>
          </w:p>
        </w:tc>
        <w:tc>
          <w:tcPr>
            <w:tcW w:w="100" w:type="dxa"/>
            <w:vAlign w:val="bottom"/>
          </w:tcPr>
          <w:p>
            <w:pPr>
              <w:spacing w:after="0"/>
              <w:rPr>
                <w:sz w:val="18"/>
                <w:szCs w:val="18"/>
                <w:color w:val="auto"/>
              </w:rPr>
            </w:pPr>
          </w:p>
        </w:tc>
      </w:tr>
      <w:tr>
        <w:trPr>
          <w:trHeight w:val="213"/>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on property and equipment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422,926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491,626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872,606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968,657</w:t>
            </w:r>
          </w:p>
        </w:tc>
      </w:tr>
      <w:tr>
        <w:trPr>
          <w:trHeight w:val="213"/>
        </w:trPr>
        <w:tc>
          <w:tcPr>
            <w:tcW w:w="6060" w:type="dxa"/>
            <w:vAlign w:val="bottom"/>
          </w:tcPr>
          <w:p>
            <w:pPr>
              <w:ind w:left="200"/>
              <w:spacing w:after="0"/>
              <w:rPr>
                <w:sz w:val="20"/>
                <w:szCs w:val="20"/>
                <w:color w:val="auto"/>
              </w:rPr>
            </w:pPr>
            <w:r>
              <w:rPr>
                <w:rFonts w:ascii="Arial" w:cs="Arial" w:eastAsia="Arial" w:hAnsi="Arial"/>
                <w:sz w:val="18"/>
                <w:szCs w:val="18"/>
                <w:color w:val="auto"/>
              </w:rPr>
              <w:t>Costs related to funding mortgage loans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1,559,289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2,045,659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2,914,214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3,414,940</w:t>
            </w:r>
          </w:p>
        </w:tc>
        <w:tc>
          <w:tcPr>
            <w:tcW w:w="100" w:type="dxa"/>
            <w:vAlign w:val="bottom"/>
          </w:tcPr>
          <w:p>
            <w:pPr>
              <w:spacing w:after="0"/>
              <w:rPr>
                <w:sz w:val="18"/>
                <w:szCs w:val="18"/>
                <w:color w:val="auto"/>
              </w:rPr>
            </w:pPr>
          </w:p>
        </w:tc>
      </w:tr>
      <w:tr>
        <w:trPr>
          <w:trHeight w:val="213"/>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8,154,367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7,135,844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15,799,494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13,946,168</w:t>
            </w:r>
          </w:p>
        </w:tc>
      </w:tr>
      <w:tr>
        <w:trPr>
          <w:trHeight w:val="213"/>
        </w:trPr>
        <w:tc>
          <w:tcPr>
            <w:tcW w:w="60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1,782,557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1,679,841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3,274,444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3,441,518</w:t>
            </w:r>
          </w:p>
        </w:tc>
        <w:tc>
          <w:tcPr>
            <w:tcW w:w="100" w:type="dxa"/>
            <w:vAlign w:val="bottom"/>
          </w:tcPr>
          <w:p>
            <w:pPr>
              <w:spacing w:after="0"/>
              <w:rPr>
                <w:sz w:val="18"/>
                <w:szCs w:val="18"/>
                <w:color w:val="auto"/>
              </w:rPr>
            </w:pPr>
          </w:p>
        </w:tc>
      </w:tr>
      <w:tr>
        <w:trPr>
          <w:trHeight w:val="21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and services sold-mortuaries and cemeteries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690,606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550,398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1,343,534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1,065,888</w:t>
            </w:r>
          </w:p>
        </w:tc>
        <w:tc>
          <w:tcPr>
            <w:tcW w:w="100" w:type="dxa"/>
            <w:vAlign w:val="bottom"/>
            <w:shd w:val="clear" w:color="auto" w:fill="CCEEFF"/>
          </w:tcPr>
          <w:p>
            <w:pPr>
              <w:spacing w:after="0"/>
              <w:rPr>
                <w:sz w:val="18"/>
                <w:szCs w:val="18"/>
                <w:color w:val="auto"/>
              </w:rPr>
            </w:pPr>
          </w:p>
        </w:tc>
      </w:tr>
      <w:tr>
        <w:trPr>
          <w:trHeight w:val="27"/>
        </w:trPr>
        <w:tc>
          <w:tcPr>
            <w:tcW w:w="6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Total benefits and expenses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63,821,339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64,702,895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122,883,015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125,591,823</w:t>
            </w:r>
          </w:p>
        </w:tc>
        <w:tc>
          <w:tcPr>
            <w:tcW w:w="100" w:type="dxa"/>
            <w:vAlign w:val="bottom"/>
          </w:tcPr>
          <w:p>
            <w:pPr>
              <w:spacing w:after="0"/>
              <w:rPr>
                <w:sz w:val="19"/>
                <w:szCs w:val="19"/>
                <w:color w:val="auto"/>
              </w:rPr>
            </w:pPr>
          </w:p>
        </w:tc>
      </w:tr>
      <w:tr>
        <w:trPr>
          <w:trHeight w:val="213"/>
        </w:trPr>
        <w:tc>
          <w:tcPr>
            <w:tcW w:w="6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4,623,843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4,162,231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7,056,002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25,349,412</w:t>
            </w:r>
          </w:p>
        </w:tc>
      </w:tr>
      <w:tr>
        <w:trPr>
          <w:trHeight w:val="22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(1,143,789)</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(924,014)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(1,645,630)</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(5,185,272)</w:t>
            </w:r>
          </w:p>
        </w:tc>
      </w:tr>
      <w:tr>
        <w:trPr>
          <w:trHeight w:val="213"/>
        </w:trPr>
        <w:tc>
          <w:tcPr>
            <w:tcW w:w="6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3"/>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3,480,054</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3,238,217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5,410,372</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20,164,140</w:t>
            </w:r>
          </w:p>
        </w:tc>
      </w:tr>
      <w:tr>
        <w:trPr>
          <w:trHeight w:val="206"/>
        </w:trPr>
        <w:tc>
          <w:tcPr>
            <w:tcW w:w="6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per Class A Equivalent common share (1)</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06"/>
        </w:trPr>
        <w:tc>
          <w:tcPr>
            <w:tcW w:w="6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Net earnings per Class A Equivalent common share-assuming dilution (1)</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06"/>
        </w:trPr>
        <w:tc>
          <w:tcPr>
            <w:tcW w:w="6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Class A equivalent common share outstanding (1)</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17,255,902</w:t>
            </w:r>
          </w:p>
        </w:tc>
        <w:tc>
          <w:tcPr>
            <w:tcW w:w="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17,074,815</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17,247,778</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17,031,804</w:t>
            </w:r>
          </w:p>
        </w:tc>
      </w:tr>
      <w:tr>
        <w:trPr>
          <w:trHeight w:val="206"/>
        </w:trPr>
        <w:tc>
          <w:tcPr>
            <w:tcW w:w="60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Class A equivalent common shares outstanding-assuming</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dilution (1)</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17,473,804</w:t>
            </w:r>
          </w:p>
        </w:tc>
        <w:tc>
          <w:tcPr>
            <w:tcW w:w="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17,320,589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17,470,726</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17,249,536</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(1) Net earnings per share amounts have been adjusted retroactively for the effect of annual stock dividends.</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color w:val="auto"/>
        </w:rPr>
        <w:t>See accompanying notes to condensed consolidated financial statements (unaudited).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CONDENSED CONSOLIDATED STATEMENTS OF COMPREHENSIVE INCOME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color w:val="auto"/>
              </w:rPr>
              <w:t>Six Months Ended</w:t>
            </w:r>
          </w:p>
        </w:tc>
      </w:tr>
      <w:tr>
        <w:trPr>
          <w:trHeight w:val="232"/>
        </w:trPr>
        <w:tc>
          <w:tcPr>
            <w:tcW w:w="6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6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3"/>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3,480,054</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3,238,217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5,410,372</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20,164,140</w:t>
            </w:r>
          </w:p>
        </w:tc>
      </w:tr>
      <w:tr>
        <w:trPr>
          <w:trHeight w:val="213"/>
        </w:trPr>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3"/>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(1,929)</w:t>
            </w: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0"/>
        </w:trPr>
        <w:tc>
          <w:tcPr>
            <w:tcW w:w="6060" w:type="dxa"/>
            <w:vAlign w:val="bottom"/>
          </w:tcPr>
          <w:p>
            <w:pPr>
              <w:ind w:left="200"/>
              <w:spacing w:after="0"/>
              <w:rPr>
                <w:sz w:val="20"/>
                <w:szCs w:val="20"/>
                <w:color w:val="auto"/>
              </w:rPr>
            </w:pPr>
            <w:r>
              <w:rPr>
                <w:rFonts w:ascii="Arial" w:cs="Arial" w:eastAsia="Arial" w:hAnsi="Arial"/>
                <w:sz w:val="18"/>
                <w:szCs w:val="18"/>
                <w:color w:val="auto"/>
              </w:rPr>
              <w:t>Other comprehensive income, before income tax</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(1,929)</w:t>
            </w:r>
          </w:p>
        </w:tc>
      </w:tr>
      <w:tr>
        <w:trPr>
          <w:trHeight w:val="22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Other comprehensive income, net of income tax</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(1,448)</w:t>
            </w:r>
          </w:p>
        </w:tc>
      </w:tr>
      <w:tr>
        <w:trPr>
          <w:trHeight w:val="23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3,480,770</w:t>
            </w:r>
          </w:p>
        </w:tc>
        <w:tc>
          <w:tcPr>
            <w:tcW w:w="24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3,236,769</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5,411,908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20,162,692</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See accompanying notes to condensed consolidated financial statements (unaudited).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1"/>
          <w:szCs w:val="21"/>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CONDENSED CONSOLIDATED STATEMENTS OF STOCKHOLDERS’ EQUITY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9"/>
          </w:tcPr>
          <w:p>
            <w:pPr>
              <w:jc w:val="right"/>
              <w:ind w:right="940"/>
              <w:spacing w:after="0"/>
              <w:rPr>
                <w:sz w:val="20"/>
                <w:szCs w:val="20"/>
                <w:color w:val="auto"/>
              </w:rPr>
            </w:pPr>
            <w:r>
              <w:rPr>
                <w:rFonts w:ascii="Arial" w:cs="Arial" w:eastAsia="Arial" w:hAnsi="Arial"/>
                <w:sz w:val="18"/>
                <w:szCs w:val="18"/>
                <w:color w:val="auto"/>
              </w:rPr>
              <w:t>Six Months Ended June 30, 2019</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Class 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Class 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Paid-in</w:t>
            </w:r>
          </w:p>
        </w:tc>
        <w:tc>
          <w:tcPr>
            <w:tcW w:w="8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Comprehensive</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Retained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Treasury</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196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Common Stock</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1"/>
              </w:rPr>
              <w:t>Income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8"/>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8"/>
              </w:rPr>
              <w:t>Stock</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3"/>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2019</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30,609,596</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4,387,286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41,821,778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95,201,732</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(206,396)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171,811,173</w:t>
            </w:r>
          </w:p>
        </w:tc>
      </w:tr>
      <w:tr>
        <w:trPr>
          <w:trHeight w:val="213"/>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1,930,318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1,930,318</w:t>
            </w:r>
          </w:p>
        </w:tc>
        <w:tc>
          <w:tcPr>
            <w:tcW w:w="100" w:type="dxa"/>
            <w:vAlign w:val="bottom"/>
            <w:shd w:val="clear" w:color="auto" w:fill="CCEEFF"/>
          </w:tcPr>
          <w:p>
            <w:pPr>
              <w:spacing w:after="0"/>
              <w:rPr>
                <w:sz w:val="18"/>
                <w:szCs w:val="18"/>
                <w:color w:val="auto"/>
              </w:rPr>
            </w:pPr>
          </w:p>
        </w:tc>
      </w:tr>
      <w:tr>
        <w:trPr>
          <w:trHeight w:val="201"/>
        </w:trPr>
        <w:tc>
          <w:tcPr>
            <w:tcW w:w="196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960" w:type="dxa"/>
            <w:vAlign w:val="bottom"/>
          </w:tcPr>
          <w:p>
            <w:pPr>
              <w:spacing w:after="0"/>
              <w:rPr>
                <w:sz w:val="20"/>
                <w:szCs w:val="20"/>
                <w:color w:val="auto"/>
              </w:rPr>
            </w:pPr>
            <w:r>
              <w:rPr>
                <w:rFonts w:ascii="Arial" w:cs="Arial" w:eastAsia="Arial" w:hAnsi="Arial"/>
                <w:sz w:val="18"/>
                <w:szCs w:val="18"/>
                <w:color w:val="auto"/>
              </w:rPr>
              <w:t>gain</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r>
      <w:tr>
        <w:trPr>
          <w:trHeight w:val="201"/>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64,704</w:t>
            </w: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w w:val="97"/>
              </w:rPr>
              <w:t>Exercise of stock options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8,444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17,380</w:t>
            </w: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295,153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42,343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337,496</w:t>
            </w:r>
          </w:p>
        </w:tc>
      </w:tr>
      <w:tr>
        <w:trPr>
          <w:trHeight w:val="201"/>
        </w:trPr>
        <w:tc>
          <w:tcPr>
            <w:tcW w:w="1960" w:type="dxa"/>
            <w:vAlign w:val="bottom"/>
          </w:tcPr>
          <w:p>
            <w:pPr>
              <w:spacing w:after="0" w:line="201" w:lineRule="exact"/>
              <w:rPr>
                <w:sz w:val="20"/>
                <w:szCs w:val="20"/>
                <w:color w:val="auto"/>
              </w:rPr>
            </w:pPr>
            <w:r>
              <w:rPr>
                <w:rFonts w:ascii="Arial" w:cs="Arial" w:eastAsia="Arial" w:hAnsi="Arial"/>
                <w:sz w:val="18"/>
                <w:szCs w:val="18"/>
                <w:color w:val="auto"/>
              </w:rPr>
              <w:t>Purchase of treasury</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960" w:type="dxa"/>
            <w:vAlign w:val="bottom"/>
          </w:tcPr>
          <w:p>
            <w:pPr>
              <w:spacing w:after="0"/>
              <w:rPr>
                <w:sz w:val="20"/>
                <w:szCs w:val="20"/>
                <w:color w:val="auto"/>
              </w:rPr>
            </w:pPr>
            <w:r>
              <w:rPr>
                <w:rFonts w:ascii="Arial" w:cs="Arial" w:eastAsia="Arial" w:hAnsi="Arial"/>
                <w:sz w:val="18"/>
                <w:szCs w:val="18"/>
                <w:color w:val="auto"/>
              </w:rPr>
              <w:t>stock</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(112,404)</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(112,404)</w:t>
            </w:r>
          </w:p>
        </w:tc>
      </w:tr>
      <w:tr>
        <w:trPr>
          <w:trHeight w:val="214"/>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01"/>
        </w:trPr>
        <w:tc>
          <w:tcPr>
            <w:tcW w:w="1960" w:type="dxa"/>
            <w:vAlign w:val="bottom"/>
          </w:tcPr>
          <w:p>
            <w:pPr>
              <w:spacing w:after="0" w:line="201" w:lineRule="exact"/>
              <w:rPr>
                <w:sz w:val="20"/>
                <w:szCs w:val="20"/>
                <w:color w:val="auto"/>
              </w:rPr>
            </w:pPr>
            <w:r>
              <w:rPr>
                <w:rFonts w:ascii="Arial" w:cs="Arial" w:eastAsia="Arial" w:hAnsi="Arial"/>
                <w:sz w:val="18"/>
                <w:szCs w:val="18"/>
                <w:color w:val="auto"/>
              </w:rPr>
              <w:t>Conversion Class C to</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2"/>
        </w:trPr>
        <w:tc>
          <w:tcPr>
            <w:tcW w:w="1960" w:type="dxa"/>
            <w:vAlign w:val="bottom"/>
          </w:tcPr>
          <w:p>
            <w:pPr>
              <w:spacing w:after="0"/>
              <w:rPr>
                <w:sz w:val="20"/>
                <w:szCs w:val="20"/>
                <w:color w:val="auto"/>
              </w:rPr>
            </w:pPr>
            <w:r>
              <w:rPr>
                <w:rFonts w:ascii="Arial" w:cs="Arial" w:eastAsia="Arial" w:hAnsi="Arial"/>
                <w:sz w:val="18"/>
                <w:szCs w:val="18"/>
                <w:color w:val="auto"/>
              </w:rPr>
              <w:t>Class A</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30,625,374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4,380,722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42,190,568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97,131,281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(276,457)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174,049,485</w:t>
            </w:r>
          </w:p>
        </w:tc>
        <w:tc>
          <w:tcPr>
            <w:tcW w:w="100" w:type="dxa"/>
            <w:vAlign w:val="bottom"/>
            <w:shd w:val="clear" w:color="auto" w:fill="CCEEFF"/>
          </w:tcPr>
          <w:p>
            <w:pPr>
              <w:spacing w:after="0"/>
              <w:rPr>
                <w:sz w:val="18"/>
                <w:szCs w:val="18"/>
                <w:color w:val="auto"/>
              </w:rPr>
            </w:pPr>
          </w:p>
        </w:tc>
      </w:tr>
      <w:tr>
        <w:trPr>
          <w:trHeight w:val="213"/>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3,480,054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3,480,054</w:t>
            </w:r>
          </w:p>
        </w:tc>
        <w:tc>
          <w:tcPr>
            <w:tcW w:w="100" w:type="dxa"/>
            <w:vAlign w:val="bottom"/>
            <w:shd w:val="clear" w:color="auto" w:fill="CCEEFF"/>
          </w:tcPr>
          <w:p>
            <w:pPr>
              <w:spacing w:after="0"/>
              <w:rPr>
                <w:sz w:val="18"/>
                <w:szCs w:val="18"/>
                <w:color w:val="auto"/>
              </w:rPr>
            </w:pPr>
          </w:p>
        </w:tc>
      </w:tr>
      <w:tr>
        <w:trPr>
          <w:trHeight w:val="201"/>
        </w:trPr>
        <w:tc>
          <w:tcPr>
            <w:tcW w:w="196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960" w:type="dxa"/>
            <w:vAlign w:val="bottom"/>
          </w:tcPr>
          <w:p>
            <w:pPr>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r>
      <w:tr>
        <w:trPr>
          <w:trHeight w:val="201"/>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65,037</w:t>
            </w: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w w:val="97"/>
              </w:rPr>
              <w:t>Exercise of stock options</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20,274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9,519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29,793</w:t>
            </w: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25,190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117,795</w:t>
            </w:r>
          </w:p>
        </w:tc>
      </w:tr>
      <w:tr>
        <w:trPr>
          <w:trHeight w:val="201"/>
        </w:trPr>
        <w:tc>
          <w:tcPr>
            <w:tcW w:w="1960" w:type="dxa"/>
            <w:vAlign w:val="bottom"/>
          </w:tcPr>
          <w:p>
            <w:pPr>
              <w:spacing w:after="0" w:line="201" w:lineRule="exact"/>
              <w:rPr>
                <w:sz w:val="20"/>
                <w:szCs w:val="20"/>
                <w:color w:val="auto"/>
              </w:rPr>
            </w:pPr>
            <w:r>
              <w:rPr>
                <w:rFonts w:ascii="Arial" w:cs="Arial" w:eastAsia="Arial" w:hAnsi="Arial"/>
                <w:sz w:val="18"/>
                <w:szCs w:val="18"/>
                <w:color w:val="auto"/>
              </w:rPr>
              <w:t>Purchase of treasury</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960" w:type="dxa"/>
            <w:vAlign w:val="bottom"/>
          </w:tcPr>
          <w:p>
            <w:pPr>
              <w:spacing w:after="0"/>
              <w:rPr>
                <w:sz w:val="20"/>
                <w:szCs w:val="20"/>
                <w:color w:val="auto"/>
              </w:rPr>
            </w:pPr>
            <w:r>
              <w:rPr>
                <w:rFonts w:ascii="Arial" w:cs="Arial" w:eastAsia="Arial" w:hAnsi="Arial"/>
                <w:sz w:val="18"/>
                <w:szCs w:val="18"/>
                <w:color w:val="auto"/>
              </w:rPr>
              <w:t>stock</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(174,704)</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(174,704)</w:t>
            </w:r>
          </w:p>
        </w:tc>
      </w:tr>
      <w:tr>
        <w:trPr>
          <w:trHeight w:val="201"/>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Class C to</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Class A</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8"/>
                <w:szCs w:val="18"/>
                <w:b w:val="1"/>
                <w:bCs w:val="1"/>
                <w:color w:val="auto"/>
              </w:rPr>
              <w:t>June 30, 2019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30,645,660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4,380,708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42,357,731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(1,287)</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100,611,335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(425,971)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177,568,176</w:t>
            </w:r>
          </w:p>
        </w:tc>
        <w:tc>
          <w:tcPr>
            <w:tcW w:w="10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46"/>
        </w:trPr>
        <w:tc>
          <w:tcPr>
            <w:tcW w:w="1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9"/>
          </w:tcPr>
          <w:p>
            <w:pPr>
              <w:jc w:val="right"/>
              <w:ind w:right="940"/>
              <w:spacing w:after="0"/>
              <w:rPr>
                <w:sz w:val="20"/>
                <w:szCs w:val="20"/>
                <w:color w:val="auto"/>
              </w:rPr>
            </w:pPr>
            <w:r>
              <w:rPr>
                <w:rFonts w:ascii="Arial" w:cs="Arial" w:eastAsia="Arial" w:hAnsi="Arial"/>
                <w:sz w:val="18"/>
                <w:szCs w:val="18"/>
                <w:color w:val="auto"/>
              </w:rPr>
              <w:t>Six Months Ended June 30, 2018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Class 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Class C</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Paid-in</w:t>
            </w:r>
          </w:p>
        </w:tc>
        <w:tc>
          <w:tcPr>
            <w:tcW w:w="8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Comprehensive</w:t>
            </w: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Retained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Treasury</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196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Common Stock</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1"/>
              </w:rPr>
              <w:t>Income</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8"/>
              </w:rPr>
              <w:t>Earnings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8"/>
              </w:rPr>
              <w:t>Stock</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3"/>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2018</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29,071,154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4,178,748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38,125,042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603,170</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77,520,951</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(931,075)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148,567,990</w:t>
            </w:r>
          </w:p>
        </w:tc>
        <w:tc>
          <w:tcPr>
            <w:tcW w:w="100" w:type="dxa"/>
            <w:vAlign w:val="bottom"/>
            <w:shd w:val="clear" w:color="auto" w:fill="CCEEFF"/>
          </w:tcPr>
          <w:p>
            <w:pPr>
              <w:spacing w:after="0"/>
              <w:rPr>
                <w:sz w:val="18"/>
                <w:szCs w:val="18"/>
                <w:color w:val="auto"/>
              </w:rPr>
            </w:pPr>
          </w:p>
        </w:tc>
      </w:tr>
      <w:tr>
        <w:trPr>
          <w:trHeight w:val="213"/>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16,925,923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16,925,923</w:t>
            </w:r>
          </w:p>
        </w:tc>
      </w:tr>
      <w:tr>
        <w:trPr>
          <w:trHeight w:val="201"/>
        </w:trPr>
        <w:tc>
          <w:tcPr>
            <w:tcW w:w="1960" w:type="dxa"/>
            <w:vAlign w:val="bottom"/>
          </w:tcPr>
          <w:p>
            <w:pPr>
              <w:spacing w:after="0" w:line="201" w:lineRule="exact"/>
              <w:rPr>
                <w:sz w:val="20"/>
                <w:szCs w:val="20"/>
                <w:color w:val="auto"/>
              </w:rPr>
            </w:pPr>
            <w:r>
              <w:rPr>
                <w:rFonts w:ascii="Arial" w:cs="Arial" w:eastAsia="Arial" w:hAnsi="Arial"/>
                <w:sz w:val="18"/>
                <w:szCs w:val="18"/>
                <w:color w:val="auto"/>
              </w:rPr>
              <w:t>Cumulative effect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rPr>
              <w:t>adjustment upon</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rPr>
              <w:t>adoption of new</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rPr>
              <w:t>accounting standard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1960" w:type="dxa"/>
            <w:vAlign w:val="bottom"/>
          </w:tcPr>
          <w:p>
            <w:pPr>
              <w:spacing w:after="0"/>
              <w:rPr>
                <w:sz w:val="20"/>
                <w:szCs w:val="20"/>
                <w:color w:val="auto"/>
              </w:rPr>
            </w:pPr>
            <w:r>
              <w:rPr>
                <w:rFonts w:ascii="Arial" w:cs="Arial" w:eastAsia="Arial" w:hAnsi="Arial"/>
                <w:sz w:val="18"/>
                <w:szCs w:val="18"/>
                <w:color w:val="auto"/>
              </w:rPr>
              <w:t>(ASU 2016-01)</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(603,170)</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603,170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58,087</w:t>
            </w: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rPr>
              <w:t>Sale of treasury stock</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88,964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222,410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311,374</w:t>
            </w: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7"/>
              </w:rPr>
              <w:t>Exercise of stock options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41,853</w:t>
            </w:r>
          </w:p>
        </w:tc>
      </w:tr>
      <w:tr>
        <w:trPr>
          <w:trHeight w:val="220"/>
        </w:trPr>
        <w:tc>
          <w:tcPr>
            <w:tcW w:w="1960" w:type="dxa"/>
            <w:vAlign w:val="bottom"/>
          </w:tcPr>
          <w:p>
            <w:pPr>
              <w:spacing w:after="0"/>
              <w:rPr>
                <w:sz w:val="20"/>
                <w:szCs w:val="20"/>
                <w:color w:val="auto"/>
              </w:rPr>
            </w:pPr>
            <w:r>
              <w:rPr>
                <w:rFonts w:ascii="Arial" w:cs="Arial" w:eastAsia="Arial" w:hAnsi="Arial"/>
                <w:sz w:val="18"/>
                <w:szCs w:val="18"/>
                <w:color w:val="auto"/>
              </w:rPr>
              <w:t>Stock dividends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5,362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(8,878)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2018</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29,138,642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4,178,744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38,255,340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95,041,166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(708,665)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165,905,227</w:t>
            </w:r>
          </w:p>
        </w:tc>
        <w:tc>
          <w:tcPr>
            <w:tcW w:w="100" w:type="dxa"/>
            <w:vAlign w:val="bottom"/>
            <w:shd w:val="clear" w:color="auto" w:fill="CCEEFF"/>
          </w:tcPr>
          <w:p>
            <w:pPr>
              <w:spacing w:after="0"/>
              <w:rPr>
                <w:sz w:val="18"/>
                <w:szCs w:val="18"/>
                <w:color w:val="auto"/>
              </w:rPr>
            </w:pPr>
          </w:p>
        </w:tc>
      </w:tr>
      <w:tr>
        <w:trPr>
          <w:trHeight w:val="213"/>
        </w:trPr>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3,238,217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3,238,217</w:t>
            </w:r>
          </w:p>
        </w:tc>
        <w:tc>
          <w:tcPr>
            <w:tcW w:w="100" w:type="dxa"/>
            <w:vAlign w:val="bottom"/>
            <w:shd w:val="clear" w:color="auto" w:fill="CCEEFF"/>
          </w:tcPr>
          <w:p>
            <w:pPr>
              <w:spacing w:after="0"/>
              <w:rPr>
                <w:sz w:val="18"/>
                <w:szCs w:val="18"/>
                <w:color w:val="auto"/>
              </w:rPr>
            </w:pPr>
          </w:p>
        </w:tc>
      </w:tr>
      <w:tr>
        <w:trPr>
          <w:trHeight w:val="201"/>
        </w:trPr>
        <w:tc>
          <w:tcPr>
            <w:tcW w:w="196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1960" w:type="dxa"/>
            <w:vAlign w:val="bottom"/>
          </w:tcPr>
          <w:p>
            <w:pPr>
              <w:spacing w:after="0"/>
              <w:rPr>
                <w:sz w:val="20"/>
                <w:szCs w:val="20"/>
                <w:color w:val="auto"/>
              </w:rPr>
            </w:pPr>
            <w:r>
              <w:rPr>
                <w:rFonts w:ascii="Arial" w:cs="Arial" w:eastAsia="Arial" w:hAnsi="Arial"/>
                <w:sz w:val="18"/>
                <w:szCs w:val="18"/>
                <w:color w:val="auto"/>
              </w:rPr>
              <w:t>loss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(1,448)</w:t>
            </w: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(1,448</w:t>
            </w:r>
            <w:r>
              <w:rPr>
                <w:rFonts w:ascii="Arial" w:cs="Arial" w:eastAsia="Arial" w:hAnsi="Arial"/>
                <w:sz w:val="14"/>
                <w:szCs w:val="14"/>
                <w:color w:val="auto"/>
              </w:rPr>
              <w:t>)</w:t>
            </w:r>
          </w:p>
        </w:tc>
      </w:tr>
      <w:tr>
        <w:trPr>
          <w:trHeight w:val="201"/>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58,053</w:t>
            </w:r>
          </w:p>
        </w:tc>
      </w:tr>
      <w:tr>
        <w:trPr>
          <w:trHeight w:val="213"/>
        </w:trPr>
        <w:tc>
          <w:tcPr>
            <w:tcW w:w="1960" w:type="dxa"/>
            <w:vAlign w:val="bottom"/>
          </w:tcPr>
          <w:p>
            <w:pPr>
              <w:spacing w:after="0"/>
              <w:rPr>
                <w:sz w:val="20"/>
                <w:szCs w:val="20"/>
                <w:color w:val="auto"/>
              </w:rPr>
            </w:pPr>
            <w:r>
              <w:rPr>
                <w:rFonts w:ascii="Arial" w:cs="Arial" w:eastAsia="Arial" w:hAnsi="Arial"/>
                <w:sz w:val="18"/>
                <w:szCs w:val="18"/>
                <w:color w:val="auto"/>
              </w:rPr>
              <w:t>Sale of treasury stock</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163,335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222,420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385,755</w:t>
            </w:r>
          </w:p>
        </w:tc>
      </w:tr>
      <w:tr>
        <w:trPr>
          <w:trHeight w:val="201"/>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Class C to</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Class A</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9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3"/>
        </w:trPr>
        <w:tc>
          <w:tcPr>
            <w:tcW w:w="1960" w:type="dxa"/>
            <w:vAlign w:val="bottom"/>
          </w:tcPr>
          <w:p>
            <w:pPr>
              <w:spacing w:after="0"/>
              <w:rPr>
                <w:sz w:val="20"/>
                <w:szCs w:val="20"/>
                <w:color w:val="auto"/>
              </w:rPr>
            </w:pPr>
            <w:r>
              <w:rPr>
                <w:rFonts w:ascii="Arial" w:cs="Arial" w:eastAsia="Arial" w:hAnsi="Arial"/>
                <w:sz w:val="18"/>
                <w:szCs w:val="18"/>
                <w:b w:val="1"/>
                <w:bCs w:val="1"/>
                <w:color w:val="auto"/>
              </w:rPr>
              <w:t>June 30, 2018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29,139,018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4,178,368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38,476,728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(1,448)</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98,279,383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(486,245)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169,585,804</w:t>
            </w:r>
          </w:p>
        </w:tc>
        <w:tc>
          <w:tcPr>
            <w:tcW w:w="10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0" w:gutter="0" w:footer="0" w:header="0"/>
        </w:sectPr>
      </w:pP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condensed consolidated financial statements (unaudited).</w:t>
      </w:r>
    </w:p>
    <w:p>
      <w:pPr>
        <w:sectPr>
          <w:pgSz w:w="11900" w:h="16838" w:orient="portrait"/>
          <w:cols w:equalWidth="0" w:num="1">
            <w:col w:w="11420"/>
          </w:cols>
          <w:pgMar w:left="240" w:top="131"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65405</wp:posOffset>
            </wp:positionV>
            <wp:extent cx="72485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21"/>
          <w:szCs w:val="21"/>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CONDENSED CONSOLIDATED STATEMENTS OF CASH FLOWS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color w:val="auto"/>
              </w:rPr>
              <w:t>Six Months Ended</w:t>
            </w:r>
          </w:p>
        </w:tc>
      </w:tr>
      <w:tr>
        <w:trPr>
          <w:trHeight w:val="232"/>
        </w:trPr>
        <w:tc>
          <w:tcPr>
            <w:tcW w:w="7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7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2"/>
        </w:trPr>
        <w:tc>
          <w:tcPr>
            <w:tcW w:w="7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(40,725,988)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(27,786,532)</w:t>
            </w:r>
          </w:p>
        </w:tc>
      </w:tr>
      <w:tr>
        <w:trPr>
          <w:trHeight w:val="213"/>
        </w:trPr>
        <w:tc>
          <w:tcPr>
            <w:tcW w:w="7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Purchases of fixed maturity securities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(4,570,527)</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(11,414,568)</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Calls and maturities of fixed maturity securities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13,688,850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10,740,357</w:t>
            </w: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Purchases of equity securities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(2,046,346)</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(2,124,482)</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Sales of equity securities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763,548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1,852,049</w:t>
            </w:r>
          </w:p>
        </w:tc>
        <w:tc>
          <w:tcPr>
            <w:tcW w:w="100" w:type="dxa"/>
            <w:vAlign w:val="bottom"/>
            <w:shd w:val="clear" w:color="auto" w:fill="CCEEFF"/>
          </w:tcPr>
          <w:p>
            <w:pPr>
              <w:spacing w:after="0"/>
              <w:rPr>
                <w:sz w:val="18"/>
                <w:szCs w:val="18"/>
                <w:color w:val="auto"/>
              </w:rPr>
            </w:pP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Net changes in restricted assets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(1,380,216)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165,631</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perpetual care trusts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1,670,976</w:t>
            </w:r>
          </w:p>
        </w:tc>
        <w:tc>
          <w:tcPr>
            <w:tcW w:w="100" w:type="dxa"/>
            <w:vAlign w:val="bottom"/>
            <w:shd w:val="clear" w:color="auto" w:fill="CCEEFF"/>
          </w:tcPr>
          <w:p>
            <w:pPr>
              <w:spacing w:after="0"/>
              <w:rPr>
                <w:sz w:val="18"/>
                <w:szCs w:val="18"/>
                <w:color w:val="auto"/>
              </w:rPr>
            </w:pP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Mortgage loans, other investments and policy loans made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(273,167,834)</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(251,952,076)</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 for mortgage loans, other investments and policy loans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269,379,815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266,703,802</w:t>
            </w:r>
          </w:p>
        </w:tc>
        <w:tc>
          <w:tcPr>
            <w:tcW w:w="100" w:type="dxa"/>
            <w:vAlign w:val="bottom"/>
            <w:shd w:val="clear" w:color="auto" w:fill="CCEEFF"/>
          </w:tcPr>
          <w:p>
            <w:pPr>
              <w:spacing w:after="0"/>
              <w:rPr>
                <w:sz w:val="18"/>
                <w:szCs w:val="18"/>
                <w:color w:val="auto"/>
              </w:rPr>
            </w:pP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(367,466)</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(662,579)</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Sale of property and equipment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2,011,700</w:t>
            </w: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Purchase of real estate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(4,316,130)</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(21,152,074)</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Sale of real estate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4,945,323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59,629,788</w:t>
            </w:r>
          </w:p>
        </w:tc>
      </w:tr>
      <w:tr>
        <w:trPr>
          <w:trHeight w:val="220"/>
        </w:trPr>
        <w:tc>
          <w:tcPr>
            <w:tcW w:w="7680" w:type="dxa"/>
            <w:vAlign w:val="bottom"/>
          </w:tcPr>
          <w:p>
            <w:pPr>
              <w:spacing w:after="0"/>
              <w:rPr>
                <w:sz w:val="20"/>
                <w:szCs w:val="20"/>
                <w:color w:val="auto"/>
              </w:rPr>
            </w:pPr>
            <w:r>
              <w:rPr>
                <w:rFonts w:ascii="Arial" w:cs="Arial" w:eastAsia="Arial" w:hAnsi="Arial"/>
                <w:sz w:val="18"/>
                <w:szCs w:val="18"/>
                <w:color w:val="auto"/>
              </w:rPr>
              <w:t>Cash paid for purchase of subsidiaries, net of cash acquired</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(3,261,788)</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(3,405,783)</w:t>
            </w:r>
          </w:p>
        </w:tc>
      </w:tr>
      <w:tr>
        <w:trPr>
          <w:trHeight w:val="220"/>
        </w:trPr>
        <w:tc>
          <w:tcPr>
            <w:tcW w:w="7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investing activities</w:t>
            </w: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475,858</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52,062,741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Investment contract receipts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6,275,671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5,727,714</w:t>
            </w:r>
          </w:p>
        </w:tc>
        <w:tc>
          <w:tcPr>
            <w:tcW w:w="100" w:type="dxa"/>
            <w:vAlign w:val="bottom"/>
          </w:tcPr>
          <w:p>
            <w:pPr>
              <w:spacing w:after="0"/>
              <w:rPr>
                <w:sz w:val="18"/>
                <w:szCs w:val="18"/>
                <w:color w:val="auto"/>
              </w:rPr>
            </w:pP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Investment contract withdrawals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(8,729,845)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(7,755,515)</w:t>
            </w: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41,853</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(287,108)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Repayment of bank and other loans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(93,583,859)</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(47,614,318)</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 on bank loans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92,967,146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76,049,325</w:t>
            </w: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Net change in warehouse line borrowings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29,203,601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21,633,787</w:t>
            </w:r>
          </w:p>
        </w:tc>
      </w:tr>
      <w:tr>
        <w:trPr>
          <w:trHeight w:val="220"/>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line of credit borrowings</w:t>
            </w:r>
          </w:p>
        </w:tc>
        <w:tc>
          <w:tcPr>
            <w:tcW w:w="1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0"/>
        </w:trPr>
        <w:tc>
          <w:tcPr>
            <w:tcW w:w="7680" w:type="dxa"/>
            <w:vAlign w:val="bottom"/>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25,892,779</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49,332,846</w:t>
            </w:r>
          </w:p>
        </w:tc>
        <w:tc>
          <w:tcPr>
            <w:tcW w:w="100" w:type="dxa"/>
            <w:vAlign w:val="bottom"/>
          </w:tcPr>
          <w:p>
            <w:pPr>
              <w:spacing w:after="0"/>
              <w:rPr>
                <w:sz w:val="19"/>
                <w:szCs w:val="19"/>
                <w:color w:val="auto"/>
              </w:rPr>
            </w:pPr>
          </w:p>
        </w:tc>
      </w:tr>
      <w:tr>
        <w:trPr>
          <w:trHeight w:val="213"/>
        </w:trPr>
        <w:tc>
          <w:tcPr>
            <w:tcW w:w="7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0"/>
        </w:trPr>
        <w:tc>
          <w:tcPr>
            <w:tcW w:w="7680" w:type="dxa"/>
            <w:vAlign w:val="bottom"/>
          </w:tcPr>
          <w:p>
            <w:pPr>
              <w:spacing w:after="0"/>
              <w:rPr>
                <w:sz w:val="20"/>
                <w:szCs w:val="20"/>
                <w:color w:val="auto"/>
              </w:rPr>
            </w:pPr>
            <w:r>
              <w:rPr>
                <w:rFonts w:ascii="Arial" w:cs="Arial" w:eastAsia="Arial" w:hAnsi="Arial"/>
                <w:sz w:val="18"/>
                <w:szCs w:val="18"/>
                <w:b w:val="1"/>
                <w:bCs w:val="1"/>
                <w:color w:val="auto"/>
              </w:rPr>
              <w:t>Net change in cash, cash equivalents, restricted cash and restricted cash equivalents</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(14,357,351)</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73,609,055</w:t>
            </w:r>
          </w:p>
        </w:tc>
      </w:tr>
      <w:tr>
        <w:trPr>
          <w:trHeight w:val="213"/>
        </w:trPr>
        <w:tc>
          <w:tcPr>
            <w:tcW w:w="7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0"/>
        </w:trPr>
        <w:tc>
          <w:tcPr>
            <w:tcW w:w="7680" w:type="dxa"/>
            <w:vAlign w:val="bottom"/>
          </w:tcPr>
          <w:p>
            <w:pPr>
              <w:spacing w:after="0"/>
              <w:rPr>
                <w:sz w:val="20"/>
                <w:szCs w:val="20"/>
                <w:color w:val="auto"/>
              </w:rPr>
            </w:pPr>
            <w:r>
              <w:rPr>
                <w:rFonts w:ascii="Arial" w:cs="Arial" w:eastAsia="Arial" w:hAnsi="Arial"/>
                <w:sz w:val="18"/>
                <w:szCs w:val="18"/>
                <w:color w:val="auto"/>
              </w:rPr>
              <w:t>Cash, cash equivalents, restricted cash and restricted cash equivalents at beginning of period</w:t>
            </w:r>
          </w:p>
        </w:tc>
        <w:tc>
          <w:tcPr>
            <w:tcW w:w="1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150,936,673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54,501,923</w:t>
            </w:r>
          </w:p>
        </w:tc>
        <w:tc>
          <w:tcPr>
            <w:tcW w:w="100" w:type="dxa"/>
            <w:vAlign w:val="bottom"/>
          </w:tcPr>
          <w:p>
            <w:pPr>
              <w:spacing w:after="0"/>
              <w:rPr>
                <w:sz w:val="19"/>
                <w:szCs w:val="19"/>
                <w:color w:val="auto"/>
              </w:rPr>
            </w:pPr>
          </w:p>
        </w:tc>
      </w:tr>
      <w:tr>
        <w:trPr>
          <w:trHeight w:val="213"/>
        </w:trPr>
        <w:tc>
          <w:tcPr>
            <w:tcW w:w="7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3"/>
        </w:trPr>
        <w:tc>
          <w:tcPr>
            <w:tcW w:w="7680" w:type="dxa"/>
            <w:vAlign w:val="bottom"/>
          </w:tcPr>
          <w:p>
            <w:pPr>
              <w:spacing w:after="0"/>
              <w:rPr>
                <w:sz w:val="20"/>
                <w:szCs w:val="20"/>
                <w:color w:val="auto"/>
              </w:rPr>
            </w:pPr>
            <w:r>
              <w:rPr>
                <w:rFonts w:ascii="Arial" w:cs="Arial" w:eastAsia="Arial" w:hAnsi="Arial"/>
                <w:sz w:val="18"/>
                <w:szCs w:val="18"/>
                <w:b w:val="1"/>
                <w:bCs w:val="1"/>
                <w:color w:val="auto"/>
              </w:rPr>
              <w:t>Cash, cash equivalents, restricted cash and restricted cash equivalents at end of period</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136,579,322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128,110,978</w:t>
            </w:r>
          </w:p>
        </w:tc>
      </w:tr>
      <w:tr>
        <w:trPr>
          <w:trHeight w:val="20"/>
        </w:trPr>
        <w:tc>
          <w:tcPr>
            <w:tcW w:w="7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7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768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Interest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3,219,201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3,401,874</w:t>
            </w:r>
          </w:p>
        </w:tc>
        <w:tc>
          <w:tcPr>
            <w:tcW w:w="100" w:type="dxa"/>
            <w:vAlign w:val="bottom"/>
          </w:tcPr>
          <w:p>
            <w:pPr>
              <w:spacing w:after="0"/>
              <w:rPr>
                <w:sz w:val="18"/>
                <w:szCs w:val="18"/>
                <w:color w:val="auto"/>
              </w:rPr>
            </w:pP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(net of refunds)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960,408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147,327</w:t>
            </w:r>
          </w:p>
        </w:tc>
      </w:tr>
      <w:tr>
        <w:trPr>
          <w:trHeight w:val="213"/>
        </w:trPr>
        <w:tc>
          <w:tcPr>
            <w:tcW w:w="7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Operating, Investing and Financing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11,860,956</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finance lease liabilities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Receivable for maturities of fixed maturity securities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Accrued real estate construction costs and retainage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681,167</w:t>
            </w: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Mortgage loans held for investment foreclosed into real estate held for investment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755,000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565,341</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Benefit plans funded with treasury stock</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697,129</w:t>
            </w:r>
          </w:p>
        </w:tc>
      </w:tr>
      <w:tr>
        <w:trPr>
          <w:trHeight w:val="213"/>
        </w:trPr>
        <w:tc>
          <w:tcPr>
            <w:tcW w:w="7680" w:type="dxa"/>
            <w:vAlign w:val="bottom"/>
          </w:tcPr>
          <w:p>
            <w:pPr>
              <w:spacing w:after="0"/>
              <w:rPr>
                <w:sz w:val="20"/>
                <w:szCs w:val="20"/>
                <w:color w:val="auto"/>
              </w:rPr>
            </w:pPr>
            <w:r>
              <w:rPr>
                <w:rFonts w:ascii="Arial" w:cs="Arial" w:eastAsia="Arial" w:hAnsi="Arial"/>
                <w:sz w:val="18"/>
                <w:szCs w:val="18"/>
                <w:color w:val="auto"/>
              </w:rPr>
              <w:t>Mortgage loans held for investment foreclosed into receivables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155,347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Transfer of loans held for sale to mortgage loans held for investment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139,464</w:t>
            </w:r>
          </w:p>
        </w:tc>
      </w:tr>
    </w:tbl>
    <w:p>
      <w:pPr>
        <w:spacing w:after="0" w:line="201"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color w:val="auto"/>
        </w:rPr>
        <w:t>See Note 15 regarding non cash transactions included in the acquisitions of Probst Family Funeral and Cremations and Heber Valley Funeral Home and Beta Capital Corp.</w:t>
      </w:r>
    </w:p>
    <w:p>
      <w:pPr>
        <w:sectPr>
          <w:pgSz w:w="11900" w:h="16838" w:orient="portrait"/>
          <w:cols w:equalWidth="0" w:num="1">
            <w:col w:w="11420"/>
          </w:cols>
          <w:pgMar w:left="240" w:top="131"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2485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1"/>
          <w:szCs w:val="21"/>
          <w:color w:val="auto"/>
        </w:rPr>
        <w:t>SECURITY NATIONAL FINANCIAL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CONDENSED CONSOLIDATED STATEMENTS OF CASH FLOWS (Continued)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(Unaudited)</w:t>
      </w:r>
    </w:p>
    <w:p>
      <w:pPr>
        <w:spacing w:after="0" w:line="286" w:lineRule="exact"/>
        <w:rPr>
          <w:sz w:val="20"/>
          <w:szCs w:val="20"/>
          <w:color w:val="auto"/>
        </w:rPr>
      </w:pPr>
    </w:p>
    <w:p>
      <w:pPr>
        <w:spacing w:after="0" w:line="294" w:lineRule="auto"/>
        <w:rPr>
          <w:sz w:val="20"/>
          <w:szCs w:val="20"/>
          <w:color w:val="auto"/>
        </w:rPr>
      </w:pPr>
      <w:r>
        <w:rPr>
          <w:rFonts w:ascii="Arial" w:cs="Arial" w:eastAsia="Arial" w:hAnsi="Arial"/>
          <w:sz w:val="21"/>
          <w:szCs w:val="21"/>
          <w:color w:val="auto"/>
        </w:rPr>
        <w:t>Reconciliation of cash, cash equivalents, restricted cash and restricted cash equivalents as shown in the condensed consolidated statements of cash flows is presented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ind w:left="400"/>
              <w:spacing w:after="0"/>
              <w:rPr>
                <w:sz w:val="20"/>
                <w:szCs w:val="20"/>
                <w:color w:val="auto"/>
              </w:rPr>
            </w:pPr>
            <w:r>
              <w:rPr>
                <w:rFonts w:ascii="Arial" w:cs="Arial" w:eastAsia="Arial" w:hAnsi="Arial"/>
                <w:sz w:val="18"/>
                <w:szCs w:val="18"/>
                <w:color w:val="auto"/>
              </w:rPr>
              <w:t>Six Months Ended</w:t>
            </w:r>
          </w:p>
        </w:tc>
      </w:tr>
      <w:tr>
        <w:trPr>
          <w:trHeight w:val="232"/>
        </w:trPr>
        <w:tc>
          <w:tcPr>
            <w:tcW w:w="7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0"/>
        </w:trPr>
        <w:tc>
          <w:tcPr>
            <w:tcW w:w="70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3"/>
        </w:trPr>
        <w:tc>
          <w:tcPr>
            <w:tcW w:w="70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127,828,356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118,705,581</w:t>
            </w:r>
          </w:p>
        </w:tc>
      </w:tr>
      <w:tr>
        <w:trPr>
          <w:trHeight w:val="213"/>
        </w:trPr>
        <w:tc>
          <w:tcPr>
            <w:tcW w:w="7060" w:type="dxa"/>
            <w:vAlign w:val="bottom"/>
          </w:tcPr>
          <w:p>
            <w:pPr>
              <w:spacing w:after="0"/>
              <w:rPr>
                <w:sz w:val="20"/>
                <w:szCs w:val="20"/>
                <w:color w:val="auto"/>
              </w:rPr>
            </w:pPr>
            <w:r>
              <w:rPr>
                <w:rFonts w:ascii="Arial" w:cs="Arial" w:eastAsia="Arial" w:hAnsi="Arial"/>
                <w:sz w:val="18"/>
                <w:szCs w:val="18"/>
                <w:color w:val="auto"/>
              </w:rPr>
              <w:t>Restricted assets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7,076,341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7,886,262</w:t>
            </w:r>
          </w:p>
        </w:tc>
        <w:tc>
          <w:tcPr>
            <w:tcW w:w="100" w:type="dxa"/>
            <w:vAlign w:val="bottom"/>
          </w:tcPr>
          <w:p>
            <w:pPr>
              <w:spacing w:after="0"/>
              <w:rPr>
                <w:sz w:val="18"/>
                <w:szCs w:val="18"/>
                <w:color w:val="auto"/>
              </w:rPr>
            </w:pPr>
          </w:p>
        </w:tc>
      </w:tr>
      <w:tr>
        <w:trPr>
          <w:trHeight w:val="220"/>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Cemetery perpetual care trust investments</w:t>
            </w:r>
          </w:p>
        </w:tc>
        <w:tc>
          <w:tcPr>
            <w:tcW w:w="1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1,674,625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1,519,135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3"/>
        </w:trPr>
        <w:tc>
          <w:tcPr>
            <w:tcW w:w="7060" w:type="dxa"/>
            <w:vAlign w:val="bottom"/>
          </w:tcPr>
          <w:p>
            <w:pPr>
              <w:spacing w:after="0"/>
              <w:rPr>
                <w:sz w:val="18"/>
                <w:szCs w:val="18"/>
                <w:color w:val="auto"/>
              </w:rPr>
            </w:pPr>
          </w:p>
        </w:tc>
        <w:tc>
          <w:tcPr>
            <w:tcW w:w="19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3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restricted cash and restricted cash equivalents</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136,579,322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128,110,978</w:t>
            </w:r>
          </w:p>
        </w:tc>
      </w:tr>
      <w:tr>
        <w:trPr>
          <w:trHeight w:val="20"/>
        </w:trPr>
        <w:tc>
          <w:tcPr>
            <w:tcW w:w="706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See accompanying notes to condensed consolidated financial statements (unaudited).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Notes to Condensed Consolidated Financial Statements</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June 30, 2019 (Unaudited)</w:t>
      </w:r>
    </w:p>
    <w:p>
      <w:pPr>
        <w:spacing w:after="0" w:line="286" w:lineRule="exact"/>
        <w:rPr>
          <w:sz w:val="20"/>
          <w:szCs w:val="20"/>
          <w:color w:val="auto"/>
        </w:rPr>
      </w:pPr>
    </w:p>
    <w:p>
      <w:pPr>
        <w:ind w:left="660" w:hanging="653"/>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auto"/>
        </w:rPr>
        <w:t>Basis of Presentation</w:t>
      </w:r>
    </w:p>
    <w:p>
      <w:pPr>
        <w:spacing w:after="0" w:line="291" w:lineRule="exact"/>
        <w:rPr>
          <w:sz w:val="20"/>
          <w:szCs w:val="20"/>
          <w:color w:val="auto"/>
        </w:rPr>
      </w:pPr>
    </w:p>
    <w:p>
      <w:pPr>
        <w:jc w:val="both"/>
        <w:spacing w:after="0" w:line="267" w:lineRule="exact"/>
        <w:rPr>
          <w:sz w:val="20"/>
          <w:szCs w:val="20"/>
          <w:color w:val="auto"/>
        </w:rPr>
      </w:pPr>
      <w:r>
        <w:rPr>
          <w:rFonts w:ascii="Arial" w:cs="Arial" w:eastAsia="Arial" w:hAnsi="Arial"/>
          <w:sz w:val="21"/>
          <w:szCs w:val="21"/>
          <w:color w:val="auto"/>
        </w:rPr>
        <w:t>The accompanying unaudited condensed consolidated financial statements have been prepared in accordance with accounting principles generally accepted in the United States of America for interim financial information and with the instructions to Form 10</w:t>
      </w:r>
      <w:r>
        <w:rPr>
          <w:rFonts w:ascii="MS PGothic" w:cs="MS PGothic" w:eastAsia="MS PGothic" w:hAnsi="MS PGothic"/>
          <w:sz w:val="21"/>
          <w:szCs w:val="21"/>
          <w:color w:val="auto"/>
        </w:rPr>
        <w:t>‑</w:t>
      </w:r>
      <w:r>
        <w:rPr>
          <w:rFonts w:ascii="Arial" w:cs="Arial" w:eastAsia="Arial" w:hAnsi="Arial"/>
          <w:sz w:val="21"/>
          <w:szCs w:val="21"/>
          <w:color w:val="auto"/>
        </w:rPr>
        <w:t>Q and Articles 8 and 10 of Regulation S</w:t>
      </w:r>
      <w:r>
        <w:rPr>
          <w:rFonts w:ascii="MS PGothic" w:cs="MS PGothic" w:eastAsia="MS PGothic" w:hAnsi="MS PGothic"/>
          <w:sz w:val="21"/>
          <w:szCs w:val="21"/>
          <w:color w:val="auto"/>
        </w:rPr>
        <w:t>‑</w:t>
      </w:r>
      <w:r>
        <w:rPr>
          <w:rFonts w:ascii="Arial" w:cs="Arial" w:eastAsia="Arial" w:hAnsi="Arial"/>
          <w:sz w:val="21"/>
          <w:szCs w:val="21"/>
          <w:color w:val="auto"/>
        </w:rPr>
        <w:t>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2018, included in the Company’s Annual Report on Form 10-K (File Number 000-09341). In the opinion of management, all adjustments (consisting of normal recurring accruals) considered necessary for a fair presentation have been included. Operating results for the six months ended June 30, 2019 are not necessarily indicative of the results that may be expected for the year ending December 31, 2019.</w:t>
      </w:r>
    </w:p>
    <w:p>
      <w:pPr>
        <w:spacing w:after="0" w:line="264"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237" w:lineRule="exact"/>
        <w:rPr>
          <w:sz w:val="20"/>
          <w:szCs w:val="20"/>
          <w:color w:val="auto"/>
        </w:rPr>
      </w:pPr>
    </w:p>
    <w:p>
      <w:pPr>
        <w:ind w:left="660" w:hanging="653"/>
        <w:spacing w:after="0"/>
        <w:tabs>
          <w:tab w:leader="none" w:pos="660" w:val="left"/>
        </w:tabs>
        <w:numPr>
          <w:ilvl w:val="0"/>
          <w:numId w:val="3"/>
        </w:numPr>
        <w:rPr>
          <w:rFonts w:ascii="Arial" w:cs="Arial" w:eastAsia="Arial" w:hAnsi="Arial"/>
          <w:sz w:val="21"/>
          <w:szCs w:val="21"/>
          <w:color w:val="auto"/>
        </w:rPr>
      </w:pPr>
      <w:r>
        <w:rPr>
          <w:rFonts w:ascii="Arial" w:cs="Arial" w:eastAsia="Arial" w:hAnsi="Arial"/>
          <w:sz w:val="21"/>
          <w:szCs w:val="21"/>
          <w:u w:val="single" w:color="auto"/>
          <w:color w:val="auto"/>
        </w:rPr>
        <w:t>Recent Accounting Pronouncements</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Accounting Standards Adopted in 2019</w:t>
      </w:r>
    </w:p>
    <w:p>
      <w:pPr>
        <w:spacing w:after="0" w:line="297" w:lineRule="exact"/>
        <w:rPr>
          <w:sz w:val="20"/>
          <w:szCs w:val="20"/>
          <w:color w:val="auto"/>
        </w:rPr>
      </w:pPr>
    </w:p>
    <w:p>
      <w:pPr>
        <w:jc w:val="both"/>
        <w:spacing w:after="0" w:line="284" w:lineRule="auto"/>
        <w:rPr>
          <w:sz w:val="20"/>
          <w:szCs w:val="20"/>
          <w:color w:val="auto"/>
        </w:rPr>
      </w:pPr>
      <w:r>
        <w:rPr>
          <w:rFonts w:ascii="Arial" w:cs="Arial" w:eastAsia="Arial" w:hAnsi="Arial"/>
          <w:sz w:val="20"/>
          <w:szCs w:val="20"/>
          <w:u w:val="single" w:color="auto"/>
          <w:color w:val="auto"/>
        </w:rPr>
        <w:t>ASU No. 2016-02: “Leases (Topic 842)”</w:t>
      </w:r>
      <w:r>
        <w:rPr>
          <w:rFonts w:ascii="Arial" w:cs="Arial" w:eastAsia="Arial" w:hAnsi="Arial"/>
          <w:sz w:val="20"/>
          <w:szCs w:val="20"/>
          <w:color w:val="auto"/>
        </w:rPr>
        <w:t xml:space="preserve"> - Issued in February 2016, ASU 2016-02 supersedes the requirements in Accounting Standards Codification (“ASC”) Topic 840, “Leases”, and was issued to increase transparency and comparability among organizations. The new standard sets forth the principles for the recognition, measurement, presentation, and disclosure of leases for both lessees and lessors. ASU 2016-02 requires lessees to classify leases as either finance or operating leases and to record on the balance sheet right-of-use assets and lease liabilities, equal to the present value of the remaining lease payments. The lease classification will determine whether the lease expense is recognized based on an effective interest rate method or a straight-line basis over the term of the leases. The FASB further clarified ASU 2016-02 and provided targeted improvements by issuing ASU 2018-01, ASU 2018-10, ASU 2018-11 and ASU 2018-20.</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Company adopted this standard on January 1, 2019 using the modified retrospective transition method with no cumulative-effect adjustment to the opening balance of retained earnings. Under this transition method, the application date was the beginning of the reporting period, January 1, 2019, in which the Company first applied the standard. Under this transition option, the Company will apply the legacy guidance in ASC 840, “Leases”, including its disclosure requirements, in the comparative periods presented in the year of adoption. The Company has made an accounting policy election not to apply the recognition requirements to short-term leases, which are leases that, at the commencement date, have a lease term of 12 months or less and do not include an option to purchase the underlying assets that the lessee is reasonably certain to exercise. The new authoritative guidance allows for certain practical expedients to be utilized to assist with the implementation of the new standard. The Company has elected the transition package of practical expedients which allows the Company to not reassess whether any expired or existing contracts are or contain leases, to not reassess the lease classification for any expired or existing leases and to not reassess initial direct costs for any existing leases.</w:t>
      </w:r>
    </w:p>
    <w:p>
      <w:pPr>
        <w:sectPr>
          <w:pgSz w:w="11900" w:h="16838" w:orient="portrait"/>
          <w:cols w:equalWidth="0" w:num="1">
            <w:col w:w="11420"/>
          </w:cols>
          <w:pgMar w:left="240" w:top="118"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Notes to Condensed Consolidated Financial Statements</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June 30, 2019 (Unaudited)</w:t>
      </w:r>
    </w:p>
    <w:p>
      <w:pPr>
        <w:spacing w:after="0" w:line="286" w:lineRule="exact"/>
        <w:rPr>
          <w:sz w:val="20"/>
          <w:szCs w:val="20"/>
          <w:color w:val="auto"/>
        </w:rPr>
      </w:pPr>
    </w:p>
    <w:p>
      <w:pPr>
        <w:ind w:left="660" w:hanging="653"/>
        <w:spacing w:after="0"/>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u w:val="single" w:color="auto"/>
          <w:color w:val="auto"/>
        </w:rPr>
        <w:t>Recent Accounting Pronouncements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The Company implemented a third-party lease accounting system to assist with the measurement of the lease liabilities and the related right-of-use assets. The Company compiled an inventory of its leases, determined the appropriate discount rates and has determined the impact of this standard which is not material to the Company’s results of operations, but has an effect on the balance sheet presentation for leased assets and obligations. The Company recognized a right-of-use asset and related lease liability for approximately $12,076,000 on January 1, 2019. This standard did not impact the Company’s accounting for leases where the Company is the lessor.</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Accounting Standards Issued But Not Yet Adopted</w:t>
      </w:r>
    </w:p>
    <w:p>
      <w:pPr>
        <w:spacing w:after="0" w:line="297" w:lineRule="exact"/>
        <w:rPr>
          <w:sz w:val="20"/>
          <w:szCs w:val="20"/>
          <w:color w:val="auto"/>
        </w:rPr>
      </w:pPr>
    </w:p>
    <w:p>
      <w:pPr>
        <w:jc w:val="both"/>
        <w:spacing w:after="0" w:line="268" w:lineRule="auto"/>
        <w:rPr>
          <w:sz w:val="20"/>
          <w:szCs w:val="20"/>
          <w:color w:val="auto"/>
        </w:rPr>
      </w:pPr>
      <w:r>
        <w:rPr>
          <w:rFonts w:ascii="Arial" w:cs="Arial" w:eastAsia="Arial" w:hAnsi="Arial"/>
          <w:sz w:val="21"/>
          <w:szCs w:val="21"/>
          <w:u w:val="single" w:color="auto"/>
          <w:color w:val="auto"/>
        </w:rPr>
        <w:t>ASU No. 2016-13: “Financial Instruments – Credit Losses (Topic 326)”</w:t>
      </w:r>
      <w:r>
        <w:rPr>
          <w:rFonts w:ascii="Arial" w:cs="Arial" w:eastAsia="Arial" w:hAnsi="Arial"/>
          <w:sz w:val="21"/>
          <w:szCs w:val="21"/>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general accepted accounting principles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The new authoritative guidance will be effective for the Company on January 1, 2020. The Company is in the process of evaluating the potential impact of this standard, especially as it relates to held to maturity debt securities and mortgage loans held for investment.</w:t>
      </w:r>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21"/>
          <w:szCs w:val="21"/>
          <w:u w:val="single" w:color="auto"/>
          <w:color w:val="auto"/>
        </w:rPr>
        <w:t>ASU No. 2018-13: “Fair Value Measurement (Topic 820): Disclosure Framework-Changes to the Disclosure Requirements for Fair Value Measurement”</w:t>
      </w:r>
      <w:r>
        <w:rPr>
          <w:rFonts w:ascii="Arial" w:cs="Arial" w:eastAsia="Arial" w:hAnsi="Arial"/>
          <w:sz w:val="21"/>
          <w:szCs w:val="21"/>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This new authoritative guidance will be effective for the Company on January 1, 2020. The Company is in the process of evaluating the potential impact of this standard, which is not expected to materially impact the Company’s financial statements.</w:t>
      </w:r>
    </w:p>
    <w:p>
      <w:pPr>
        <w:spacing w:after="0" w:line="232" w:lineRule="exact"/>
        <w:rPr>
          <w:sz w:val="20"/>
          <w:szCs w:val="20"/>
          <w:color w:val="auto"/>
        </w:rPr>
      </w:pPr>
    </w:p>
    <w:p>
      <w:pPr>
        <w:jc w:val="both"/>
        <w:spacing w:after="0" w:line="285" w:lineRule="auto"/>
        <w:rPr>
          <w:sz w:val="20"/>
          <w:szCs w:val="20"/>
          <w:color w:val="auto"/>
        </w:rPr>
      </w:pPr>
      <w:r>
        <w:rPr>
          <w:rFonts w:ascii="Arial" w:cs="Arial" w:eastAsia="Arial" w:hAnsi="Arial"/>
          <w:sz w:val="20"/>
          <w:szCs w:val="20"/>
          <w:u w:val="single" w:color="auto"/>
          <w:color w:val="auto"/>
        </w:rPr>
        <w:t>ASU No. 2018-12: “Financial Services – Insurance (Topic 944): Targeted Improvements to the Accounting for Long-Duration Contracts”</w:t>
      </w:r>
      <w:r>
        <w:rPr>
          <w:rFonts w:ascii="Arial" w:cs="Arial" w:eastAsia="Arial" w:hAnsi="Arial"/>
          <w:sz w:val="20"/>
          <w:szCs w:val="20"/>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This new authoritative guidance will be effective for the Company on January 1, 2021. The Company is in the process of evaluating the potential impact of this standard.</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Company has reviewed other recent accounting pronouncements and has determined that they will not significantly impact the Company’s results of operations or financial position.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ind w:left="2240"/>
        <w:spacing w:after="0"/>
        <w:rPr>
          <w:sz w:val="20"/>
          <w:szCs w:val="20"/>
          <w:color w:val="auto"/>
        </w:rPr>
      </w:pPr>
      <w:r>
        <w:rPr>
          <w:rFonts w:ascii="Arial" w:cs="Arial" w:eastAsia="Arial" w:hAnsi="Arial"/>
          <w:sz w:val="21"/>
          <w:szCs w:val="21"/>
          <w:color w:val="auto"/>
        </w:rPr>
        <w:t>SECURITY NATIONAL FINANCIAL CORPORATION AND SUBSIDIARIES</w:t>
      </w:r>
    </w:p>
    <w:p>
      <w:pPr>
        <w:spacing w:after="0" w:line="30"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Notes to Condensed Consolidated Financial Statements</w:t>
      </w:r>
    </w:p>
    <w:p>
      <w:pPr>
        <w:spacing w:after="0" w:line="12"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June 30, 2019 (Unaudited)</w:t>
      </w:r>
    </w:p>
    <w:p>
      <w:pPr>
        <w:spacing w:after="0" w:line="200" w:lineRule="exact"/>
        <w:rPr>
          <w:sz w:val="20"/>
          <w:szCs w:val="20"/>
          <w:color w:val="auto"/>
        </w:rPr>
      </w:pPr>
    </w:p>
    <w:p>
      <w:pPr>
        <w:spacing w:after="0" w:line="352" w:lineRule="exact"/>
        <w:rPr>
          <w:sz w:val="20"/>
          <w:szCs w:val="20"/>
          <w:color w:val="auto"/>
        </w:rPr>
      </w:pPr>
    </w:p>
    <w:p>
      <w:pPr>
        <w:ind w:left="660" w:hanging="653"/>
        <w:spacing w:after="0"/>
        <w:tabs>
          <w:tab w:leader="none" w:pos="660" w:val="left"/>
        </w:tabs>
        <w:numPr>
          <w:ilvl w:val="0"/>
          <w:numId w:val="5"/>
        </w:numPr>
        <w:rPr>
          <w:rFonts w:ascii="Arial" w:cs="Arial" w:eastAsia="Arial" w:hAnsi="Arial"/>
          <w:sz w:val="21"/>
          <w:szCs w:val="21"/>
          <w:color w:val="auto"/>
        </w:rPr>
      </w:pPr>
      <w:r>
        <w:rPr>
          <w:rFonts w:ascii="Arial" w:cs="Arial" w:eastAsia="Arial" w:hAnsi="Arial"/>
          <w:sz w:val="21"/>
          <w:szCs w:val="21"/>
          <w:u w:val="single" w:color="auto"/>
          <w:color w:val="auto"/>
        </w:rPr>
        <w:t>Investments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The Company’s investments as of June 30, 2019 are summarized as follows:</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3"/>
              </w:rPr>
              <w:t>Gross</w:t>
            </w: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Estimated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Unrealized</w:t>
            </w:r>
          </w:p>
        </w:tc>
        <w:tc>
          <w:tcPr>
            <w:tcW w:w="8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Gains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8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73"/>
        </w:trPr>
        <w:tc>
          <w:tcPr>
            <w:tcW w:w="4780" w:type="dxa"/>
            <w:vAlign w:val="bottom"/>
            <w:gridSpan w:val="3"/>
          </w:tcPr>
          <w:p>
            <w:pPr>
              <w:spacing w:after="0" w:line="173" w:lineRule="exact"/>
              <w:rPr>
                <w:sz w:val="20"/>
                <w:szCs w:val="20"/>
                <w:color w:val="auto"/>
              </w:rPr>
            </w:pPr>
            <w:r>
              <w:rPr>
                <w:rFonts w:ascii="Arial" w:cs="Arial" w:eastAsia="Arial" w:hAnsi="Arial"/>
                <w:sz w:val="18"/>
                <w:szCs w:val="18"/>
                <w:color w:val="auto"/>
              </w:rPr>
              <w:t>June 30, 2019</w:t>
            </w: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3"/>
          </w:tcPr>
          <w:p>
            <w:pPr>
              <w:spacing w:after="0"/>
              <w:rPr>
                <w:sz w:val="20"/>
                <w:szCs w:val="20"/>
                <w:color w:val="auto"/>
              </w:rPr>
            </w:pPr>
            <w:r>
              <w:rPr>
                <w:rFonts w:ascii="Arial" w:cs="Arial" w:eastAsia="Arial" w:hAnsi="Arial"/>
                <w:sz w:val="18"/>
                <w:szCs w:val="18"/>
                <w:color w:val="auto"/>
                <w:w w:val="97"/>
              </w:rPr>
              <w:t>Fixed maturity securities held to maturity carried at amortized</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gridSpan w:val="3"/>
          </w:tcPr>
          <w:p>
            <w:pPr>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Bonds: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U.S. Treasury securities and obligations of U.S. Government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42,197,238</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592,789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(82,086)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42,707,941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6,103,022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79,100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(10,582)</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6,171,540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securities including public utilities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157,441,604</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14,001,117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(846,167)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170,596,554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Mortgage-backed securities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16,979,038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628,906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(55,141)</w:t>
            </w: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17,552,803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Redeemable preferred stock</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115,309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 fixed maturity securities held to maturity</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222,824,099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15,314,024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(993,976)</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237,144,147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Equity securities at estimated fair value: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Industrial, miscellaneous and all other</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7,558,408</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891,797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(848,644)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7,601,561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 equity securities at estimated fair value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7,558,408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891,797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(848,644)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7,601,561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84,093,609</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Residential construction</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74,712,638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32,009,118</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Less: Unamortized deferred loan fees, net</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(1,200,446)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Less: Allowance for loan losses</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(1,292,914)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mortgage loans held for investment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188,322,005</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92"/>
              </w:rPr>
              <w:t>Real estate held for investment net of accumulated depreciation: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26,386,608</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Commercial</w:t>
            </w: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93,082,739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119,469,347</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9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Policy loans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6,265,560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Insurance assignments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35,789,203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Federal Home Loan Bank stock (1)</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2,606,500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 investments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4,348,750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Less: Allowance for doubtful accounts</w:t>
            </w: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(1,399,272)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 other investments and policy loans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47,610,741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Accrued investment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3,894,701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589,722,454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 Includes $806,500 of Membership stock and $1,800,000 of Activity stock due to short-term borrowings.</w:t>
      </w:r>
    </w:p>
    <w:p>
      <w:pPr>
        <w:sectPr>
          <w:pgSz w:w="11900" w:h="16838" w:orient="portrait"/>
          <w:cols w:equalWidth="0" w:num="1">
            <w:col w:w="10280"/>
          </w:cols>
          <w:pgMar w:left="240" w:top="118" w:right="137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type w:val="continuous"/>
        </w:sectPr>
      </w:pPr>
    </w:p>
    <w:bookmarkStart w:id="13" w:name="page14"/>
    <w:bookmarkEnd w:id="13"/>
    <w:p>
      <w:pPr>
        <w:jc w:val="center"/>
        <w:ind w:left="1380" w:right="1100"/>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9" w:lineRule="exact"/>
        <w:rPr>
          <w:sz w:val="20"/>
          <w:szCs w:val="20"/>
          <w:color w:val="auto"/>
        </w:rPr>
      </w:pPr>
    </w:p>
    <w:p>
      <w:pPr>
        <w:ind w:left="660" w:hanging="653"/>
        <w:spacing w:after="0"/>
        <w:tabs>
          <w:tab w:leader="none" w:pos="660" w:val="left"/>
        </w:tabs>
        <w:numPr>
          <w:ilvl w:val="0"/>
          <w:numId w:val="6"/>
        </w:numPr>
        <w:rPr>
          <w:rFonts w:ascii="Arial" w:cs="Arial" w:eastAsia="Arial" w:hAnsi="Arial"/>
          <w:sz w:val="21"/>
          <w:szCs w:val="21"/>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(Continued)</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The Company’s investments as of December 31, 2018 are summarized as follows:</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3"/>
              </w:rPr>
              <w:t>Gross</w:t>
            </w: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Estimated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Unrealized</w:t>
            </w:r>
          </w:p>
        </w:tc>
        <w:tc>
          <w:tcPr>
            <w:tcW w:w="8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Gains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8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73"/>
        </w:trPr>
        <w:tc>
          <w:tcPr>
            <w:tcW w:w="4780" w:type="dxa"/>
            <w:vAlign w:val="bottom"/>
            <w:gridSpan w:val="3"/>
          </w:tcPr>
          <w:p>
            <w:pPr>
              <w:spacing w:after="0" w:line="173" w:lineRule="exact"/>
              <w:rPr>
                <w:sz w:val="20"/>
                <w:szCs w:val="20"/>
                <w:color w:val="auto"/>
              </w:rPr>
            </w:pPr>
            <w:r>
              <w:rPr>
                <w:rFonts w:ascii="Arial" w:cs="Arial" w:eastAsia="Arial" w:hAnsi="Arial"/>
                <w:sz w:val="18"/>
                <w:szCs w:val="18"/>
                <w:color w:val="auto"/>
              </w:rPr>
              <w:t>December 31, 2018:</w:t>
            </w: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780" w:type="dxa"/>
            <w:vAlign w:val="bottom"/>
            <w:gridSpan w:val="3"/>
          </w:tcPr>
          <w:p>
            <w:pPr>
              <w:spacing w:after="0"/>
              <w:rPr>
                <w:sz w:val="20"/>
                <w:szCs w:val="20"/>
                <w:color w:val="auto"/>
              </w:rPr>
            </w:pPr>
            <w:r>
              <w:rPr>
                <w:rFonts w:ascii="Arial" w:cs="Arial" w:eastAsia="Arial" w:hAnsi="Arial"/>
                <w:sz w:val="18"/>
                <w:szCs w:val="18"/>
                <w:color w:val="auto"/>
                <w:w w:val="97"/>
              </w:rPr>
              <w:t>Fixed maturity securities held to maturity carried at amortized</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780" w:type="dxa"/>
            <w:vAlign w:val="bottom"/>
            <w:gridSpan w:val="3"/>
          </w:tcPr>
          <w:p>
            <w:pPr>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Bonds:</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6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U.S. Treasury securities and obligations of U.S. Government</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52,017,683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264,891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(727,798)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51,554,776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6,959,237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32,274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(111,271)</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6,880,240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securities including public utilities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157,639,860</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7,002,864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(3,704,137)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160,938,587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140"/>
              <w:spacing w:after="0"/>
              <w:rPr>
                <w:sz w:val="20"/>
                <w:szCs w:val="20"/>
                <w:color w:val="auto"/>
              </w:rPr>
            </w:pPr>
            <w:r>
              <w:rPr>
                <w:rFonts w:ascii="Arial" w:cs="Arial" w:eastAsia="Arial" w:hAnsi="Arial"/>
                <w:sz w:val="18"/>
                <w:szCs w:val="18"/>
                <w:color w:val="auto"/>
              </w:rPr>
              <w:t>Mortgage-backed securities</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15,358,746</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227,398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(308,864)</w:t>
            </w: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15,277,280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Redeemable preferred stock</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103,197</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(5,125)</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 fixed maturity securities held to maturity</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232,078,723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7,529,330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(4,857,195)</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234,750,858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Equity securities at estimated fair value: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Industrial, miscellaneous and all other</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6,312,158</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422,528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(1,176,075)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5,558,611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 equity securities at estimated fair value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6,312,158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422,528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(1,176,075)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5,558,611</w:t>
            </w: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89,935,600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Residential construction</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71,366,544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27,785,927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Less: Unamortized deferred loan fees, net</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(1,275,030)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Less: Allowance for loan losses</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(1,347,972)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186,465,069</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4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Real estate held for investment net of accumulated depreciation:</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Residential</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29,507,431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92,050,791</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real estate held for investment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121,558,222</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Policy loans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6,424,325</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Insurance assignments</w:t>
            </w:r>
          </w:p>
        </w:tc>
        <w:tc>
          <w:tcPr>
            <w:tcW w:w="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35,239,396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Federal Home Loan Bank stock (1)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2,548,700</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3,497,762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Less: Allowance for doubtful accounts</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(1,092,528)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investments and policy loans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46,617,655</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420" w:type="dxa"/>
            <w:vAlign w:val="bottom"/>
            <w:tcBorders>
              <w:top w:val="single" w:sz="8" w:color="CCEEFF"/>
            </w:tcBorders>
          </w:tcPr>
          <w:p>
            <w:pPr>
              <w:spacing w:after="0"/>
              <w:rPr>
                <w:sz w:val="17"/>
                <w:szCs w:val="17"/>
                <w:color w:val="auto"/>
              </w:rPr>
            </w:pPr>
          </w:p>
        </w:tc>
        <w:tc>
          <w:tcPr>
            <w:tcW w:w="33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3,566,146</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4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595,844,426</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160" w:right="2360" w:hanging="8"/>
        <w:spacing w:after="0" w:line="267" w:lineRule="auto"/>
        <w:tabs>
          <w:tab w:leader="none" w:pos="1411"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$708,700 of Membership stock and $1,840,000 of Activity stock due to short-term borrowings.</w:t>
      </w:r>
    </w:p>
    <w:p>
      <w:pPr>
        <w:sectPr>
          <w:pgSz w:w="11900" w:h="16838" w:orient="portrait"/>
          <w:cols w:equalWidth="0" w:num="1">
            <w:col w:w="10280"/>
          </w:cols>
          <w:pgMar w:left="240" w:top="118" w:right="1379" w:bottom="1440" w:gutter="0" w:footer="0" w:header="0"/>
        </w:sectPr>
      </w:pPr>
    </w:p>
    <w:p>
      <w:pPr>
        <w:spacing w:after="0" w:line="399"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0280"/>
          </w:cols>
          <w:pgMar w:left="240" w:top="118" w:right="1379" w:bottom="1440" w:gutter="0" w:footer="0" w:header="0"/>
          <w:type w:val="continuous"/>
        </w:sectPr>
      </w:pPr>
    </w:p>
    <w:bookmarkStart w:id="14" w:name="page15"/>
    <w:bookmarkEnd w:id="14"/>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8"/>
        </w:numPr>
        <w:rPr>
          <w:rFonts w:ascii="Arial" w:cs="Arial" w:eastAsia="Arial" w:hAnsi="Arial"/>
          <w:sz w:val="21"/>
          <w:szCs w:val="21"/>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(Continued)</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Fixed Maturity Securities</w:t>
      </w:r>
    </w:p>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following tables summarize unrealized losses on fixed maturity securities held to maturity, which are carried at amortized cost, at June 30, 2019 and December 31, 2018. The unrealized losses were primarily related to interest rate fluctuations. The tables set forth unrealized losses by duration with the fair value of the related fixed maturity securities:</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1"/>
              <w:spacing w:after="0"/>
              <w:rPr>
                <w:sz w:val="20"/>
                <w:szCs w:val="20"/>
                <w:color w:val="auto"/>
              </w:rPr>
            </w:pPr>
            <w:r>
              <w:rPr>
                <w:rFonts w:ascii="Arial" w:cs="Arial" w:eastAsia="Arial" w:hAnsi="Arial"/>
                <w:sz w:val="18"/>
                <w:szCs w:val="18"/>
                <w:color w:val="auto"/>
                <w:w w:val="89"/>
              </w:rPr>
              <w:t>Losses for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Losses for</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1"/>
              <w:spacing w:after="0"/>
              <w:rPr>
                <w:sz w:val="20"/>
                <w:szCs w:val="20"/>
                <w:color w:val="auto"/>
              </w:rPr>
            </w:pPr>
            <w:r>
              <w:rPr>
                <w:rFonts w:ascii="Arial" w:cs="Arial" w:eastAsia="Arial" w:hAnsi="Arial"/>
                <w:sz w:val="18"/>
                <w:szCs w:val="18"/>
                <w:color w:val="auto"/>
                <w:w w:val="84"/>
              </w:rPr>
              <w:t>Less than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More than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Twelve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Twelve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11"/>
              <w:spacing w:after="0"/>
              <w:rPr>
                <w:sz w:val="20"/>
                <w:szCs w:val="20"/>
                <w:color w:val="auto"/>
              </w:rPr>
            </w:pPr>
            <w:r>
              <w:rPr>
                <w:rFonts w:ascii="Arial" w:cs="Arial" w:eastAsia="Arial" w:hAnsi="Arial"/>
                <w:sz w:val="18"/>
                <w:szCs w:val="18"/>
                <w:color w:val="auto"/>
                <w:w w:val="91"/>
              </w:rPr>
              <w:t>Months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Months</w:t>
            </w: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Fair Value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Loss</w:t>
            </w:r>
          </w:p>
        </w:tc>
        <w:tc>
          <w:tcPr>
            <w:tcW w:w="8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73"/>
        </w:trPr>
        <w:tc>
          <w:tcPr>
            <w:tcW w:w="2520" w:type="dxa"/>
            <w:vAlign w:val="bottom"/>
            <w:gridSpan w:val="4"/>
          </w:tcPr>
          <w:p>
            <w:pPr>
              <w:spacing w:after="0" w:line="173" w:lineRule="exact"/>
              <w:rPr>
                <w:sz w:val="20"/>
                <w:szCs w:val="20"/>
                <w:color w:val="auto"/>
              </w:rPr>
            </w:pPr>
            <w:r>
              <w:rPr>
                <w:rFonts w:ascii="Arial" w:cs="Arial" w:eastAsia="Arial" w:hAnsi="Arial"/>
                <w:sz w:val="18"/>
                <w:szCs w:val="18"/>
                <w:color w:val="auto"/>
              </w:rPr>
              <w:t>At June 30, 2019</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 and</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obligations of U.S. Government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82,086</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$ 20,491,005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82,086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20,491,005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3"/>
          </w:tcPr>
          <w:p>
            <w:pPr>
              <w:spacing w:after="0" w:line="201" w:lineRule="exact"/>
              <w:rPr>
                <w:sz w:val="20"/>
                <w:szCs w:val="20"/>
                <w:color w:val="auto"/>
              </w:rPr>
            </w:pPr>
            <w:r>
              <w:rPr>
                <w:rFonts w:ascii="Arial" w:cs="Arial" w:eastAsia="Arial" w:hAnsi="Arial"/>
                <w:sz w:val="18"/>
                <w:szCs w:val="18"/>
                <w:color w:val="auto"/>
                <w:w w:val="94"/>
              </w:rPr>
              <w:t>Obligations of states and political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20" w:type="dxa"/>
            <w:vAlign w:val="bottom"/>
            <w:gridSpan w:val="4"/>
          </w:tcPr>
          <w:p>
            <w:pPr>
              <w:spacing w:after="0"/>
              <w:rPr>
                <w:sz w:val="20"/>
                <w:szCs w:val="20"/>
                <w:color w:val="auto"/>
              </w:rPr>
            </w:pPr>
            <w:r>
              <w:rPr>
                <w:rFonts w:ascii="Arial" w:cs="Arial" w:eastAsia="Arial" w:hAnsi="Arial"/>
                <w:sz w:val="18"/>
                <w:szCs w:val="18"/>
                <w:color w:val="auto"/>
              </w:rPr>
              <w:t>subdivisions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200,992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10,468</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1,288,630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10,582</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1,489,622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4,835,513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658,223</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10,460,880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846,167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15,296,393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3"/>
          </w:tcPr>
          <w:p>
            <w:pPr>
              <w:spacing w:after="0" w:line="201" w:lineRule="exact"/>
              <w:rPr>
                <w:sz w:val="20"/>
                <w:szCs w:val="20"/>
                <w:color w:val="auto"/>
              </w:rPr>
            </w:pPr>
            <w:r>
              <w:rPr>
                <w:rFonts w:ascii="Arial" w:cs="Arial" w:eastAsia="Arial" w:hAnsi="Arial"/>
                <w:sz w:val="18"/>
                <w:szCs w:val="18"/>
                <w:color w:val="auto"/>
                <w:w w:val="92"/>
              </w:rPr>
              <w:t>Mortgage and other asset-backed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520" w:type="dxa"/>
            <w:vAlign w:val="bottom"/>
            <w:gridSpan w:val="4"/>
          </w:tcPr>
          <w:p>
            <w:pPr>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23,369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222,869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31,772</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1,117,283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55,141</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1,340,152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211,427</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5,259,374</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782,549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33,357,798</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993,976</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38,617,172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2500" w:type="dxa"/>
            <w:vAlign w:val="bottom"/>
            <w:gridSpan w:val="3"/>
            <w:shd w:val="clear" w:color="auto" w:fill="CCEEFF"/>
          </w:tcPr>
          <w:p>
            <w:pPr>
              <w:spacing w:after="0" w:line="173" w:lineRule="exact"/>
              <w:rPr>
                <w:sz w:val="20"/>
                <w:szCs w:val="20"/>
                <w:color w:val="auto"/>
              </w:rPr>
            </w:pPr>
            <w:r>
              <w:rPr>
                <w:rFonts w:ascii="Arial" w:cs="Arial" w:eastAsia="Arial" w:hAnsi="Arial"/>
                <w:sz w:val="18"/>
                <w:szCs w:val="18"/>
                <w:color w:val="auto"/>
              </w:rPr>
              <w:t>At December 31, 2018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8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3"/>
          </w:tcPr>
          <w:p>
            <w:pPr>
              <w:spacing w:after="0" w:line="201" w:lineRule="exact"/>
              <w:rPr>
                <w:sz w:val="20"/>
                <w:szCs w:val="20"/>
                <w:color w:val="auto"/>
              </w:rPr>
            </w:pPr>
            <w:r>
              <w:rPr>
                <w:rFonts w:ascii="Arial" w:cs="Arial" w:eastAsia="Arial" w:hAnsi="Arial"/>
                <w:sz w:val="18"/>
                <w:szCs w:val="18"/>
                <w:color w:val="auto"/>
              </w:rPr>
              <w:t>U.S. Treasury securities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20" w:type="dxa"/>
            <w:vAlign w:val="bottom"/>
            <w:gridSpan w:val="4"/>
          </w:tcPr>
          <w:p>
            <w:pPr>
              <w:spacing w:after="0"/>
              <w:rPr>
                <w:sz w:val="20"/>
                <w:szCs w:val="20"/>
                <w:color w:val="auto"/>
              </w:rPr>
            </w:pPr>
            <w:r>
              <w:rPr>
                <w:rFonts w:ascii="Arial" w:cs="Arial" w:eastAsia="Arial" w:hAnsi="Arial"/>
                <w:sz w:val="18"/>
                <w:szCs w:val="18"/>
                <w:color w:val="auto"/>
                <w:w w:val="99"/>
              </w:rPr>
              <w:t>obligations of U.S. Government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520" w:type="dxa"/>
            <w:vAlign w:val="bottom"/>
            <w:gridSpan w:val="4"/>
          </w:tcPr>
          <w:p>
            <w:pPr>
              <w:spacing w:after="0"/>
              <w:rPr>
                <w:sz w:val="20"/>
                <w:szCs w:val="20"/>
                <w:color w:val="auto"/>
              </w:rPr>
            </w:pPr>
            <w:r>
              <w:rPr>
                <w:rFonts w:ascii="Arial" w:cs="Arial" w:eastAsia="Arial" w:hAnsi="Arial"/>
                <w:sz w:val="18"/>
                <w:szCs w:val="18"/>
                <w:color w:val="auto"/>
              </w:rPr>
              <w:t>Agencies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695,863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717,279</w:t>
            </w:r>
          </w:p>
        </w:tc>
        <w:tc>
          <w:tcPr>
            <w:tcW w:w="8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$ 39,930,052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727,798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40,625,915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4"/>
              </w:rPr>
              <w:t>Obligations of states and political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subdivisions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1,791,257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104,628</w:t>
            </w:r>
          </w:p>
        </w:tc>
        <w:tc>
          <w:tcPr>
            <w:tcW w:w="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2,889,517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111,271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4,680,774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Corporate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2,514,549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61,090,431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1,189,588</w:t>
            </w:r>
          </w:p>
        </w:tc>
        <w:tc>
          <w:tcPr>
            <w:tcW w:w="8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11,767,349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3,704,137</w:t>
            </w: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72,857,780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Mortgage and other asset-backed</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1,705,296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228,968</w:t>
            </w:r>
          </w:p>
        </w:tc>
        <w:tc>
          <w:tcPr>
            <w:tcW w:w="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2,690,065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308,864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4,395,361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00" w:type="dxa"/>
            <w:vAlign w:val="bottom"/>
            <w:gridSpan w:val="3"/>
          </w:tcPr>
          <w:p>
            <w:pPr>
              <w:spacing w:after="0"/>
              <w:rPr>
                <w:sz w:val="20"/>
                <w:szCs w:val="20"/>
                <w:color w:val="auto"/>
              </w:rPr>
            </w:pPr>
            <w:r>
              <w:rPr>
                <w:rFonts w:ascii="Arial" w:cs="Arial" w:eastAsia="Arial" w:hAnsi="Arial"/>
                <w:sz w:val="18"/>
                <w:szCs w:val="18"/>
                <w:color w:val="auto"/>
              </w:rPr>
              <w:t>Redeemable preferred stock</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5,125</w:t>
            </w: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2,616,732</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65,372,847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2,240,463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57,276,983</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4,857,195</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122,649,830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There were 75 securities with fair value of 97.5% of amortized cost at June 30, 2019. There were 361 securities with fair value of 96.2% of amortized cost at December 31, 2018. No credit losses have been recognized for the three and six months ended June 30, 2019 and 2018.</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On a quarterly basis, the Company evaluates its fixed maturity securities held to maturity.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 Impairment losses are treated as credit losses as the Company holds fixed maturity securities to maturity unless the underlying conditions have changed in the financial instrument to require an impairment.</w:t>
      </w:r>
    </w:p>
    <w:p>
      <w:pPr>
        <w:spacing w:after="0" w:line="24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ectPr>
          <w:pgSz w:w="11900" w:h="16838" w:orient="portrait"/>
          <w:cols w:equalWidth="0" w:num="1">
            <w:col w:w="11420"/>
          </w:cols>
          <w:pgMar w:left="240" w:top="131" w:right="239" w:bottom="111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110" w:gutter="0" w:footer="0" w:header="0"/>
          <w:type w:val="continuous"/>
        </w:sectPr>
      </w:pPr>
    </w:p>
    <w:bookmarkStart w:id="15" w:name="page16"/>
    <w:bookmarkEnd w:id="15"/>
    <w:p>
      <w:pPr>
        <w:spacing w:after="0" w:line="17" w:lineRule="exact"/>
        <w:rPr>
          <w:sz w:val="20"/>
          <w:szCs w:val="20"/>
          <w:color w:val="auto"/>
        </w:rPr>
      </w:pPr>
    </w:p>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amortized cost and estimated fair value of fixed maturity securities held to maturity, at June 30, 2019, by contractual maturity, are shown below. Expected maturities may differ from contractual maturities because certain borrowers may have the right to call or prepay obligations with or without call or prepayment penalties.</w:t>
      </w:r>
    </w:p>
    <w:p>
      <w:pPr>
        <w:spacing w:after="0" w:line="219"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Estimated</w:t>
            </w:r>
          </w:p>
        </w:tc>
      </w:tr>
      <w:tr>
        <w:trPr>
          <w:trHeight w:val="213"/>
        </w:trPr>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Amortized</w:t>
            </w: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Fair</w:t>
            </w:r>
          </w:p>
        </w:tc>
      </w:tr>
      <w:tr>
        <w:trPr>
          <w:trHeight w:val="232"/>
        </w:trPr>
        <w:tc>
          <w:tcPr>
            <w:tcW w:w="6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Cost</w:t>
            </w:r>
          </w:p>
        </w:tc>
        <w:tc>
          <w:tcPr>
            <w:tcW w:w="8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Value</w:t>
            </w:r>
          </w:p>
        </w:tc>
      </w:tr>
      <w:tr>
        <w:trPr>
          <w:trHeight w:val="212"/>
        </w:trPr>
        <w:tc>
          <w:tcPr>
            <w:tcW w:w="6900" w:type="dxa"/>
            <w:vAlign w:val="bottom"/>
          </w:tcPr>
          <w:p>
            <w:pPr>
              <w:spacing w:after="0"/>
              <w:rPr>
                <w:sz w:val="20"/>
                <w:szCs w:val="20"/>
                <w:color w:val="auto"/>
              </w:rPr>
            </w:pPr>
            <w:r>
              <w:rPr>
                <w:rFonts w:ascii="Arial" w:cs="Arial" w:eastAsia="Arial" w:hAnsi="Arial"/>
                <w:sz w:val="18"/>
                <w:szCs w:val="18"/>
                <w:color w:val="auto"/>
              </w:rPr>
              <w:t>Held to Maturity:</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in 1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6,201,791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6,240,536</w:t>
            </w:r>
          </w:p>
        </w:tc>
        <w:tc>
          <w:tcPr>
            <w:tcW w:w="80" w:type="dxa"/>
            <w:vAlign w:val="bottom"/>
            <w:shd w:val="clear" w:color="auto" w:fill="CCEEFF"/>
          </w:tcPr>
          <w:p>
            <w:pPr>
              <w:spacing w:after="0"/>
              <w:rPr>
                <w:sz w:val="18"/>
                <w:szCs w:val="18"/>
                <w:color w:val="auto"/>
              </w:rPr>
            </w:pPr>
          </w:p>
        </w:tc>
      </w:tr>
      <w:tr>
        <w:trPr>
          <w:trHeight w:val="213"/>
        </w:trPr>
        <w:tc>
          <w:tcPr>
            <w:tcW w:w="6900" w:type="dxa"/>
            <w:vAlign w:val="bottom"/>
          </w:tcPr>
          <w:p>
            <w:pPr>
              <w:ind w:left="160"/>
              <w:spacing w:after="0"/>
              <w:rPr>
                <w:sz w:val="20"/>
                <w:szCs w:val="20"/>
                <w:color w:val="auto"/>
              </w:rPr>
            </w:pPr>
            <w:r>
              <w:rPr>
                <w:rFonts w:ascii="Arial" w:cs="Arial" w:eastAsia="Arial" w:hAnsi="Arial"/>
                <w:sz w:val="18"/>
                <w:szCs w:val="18"/>
                <w:color w:val="auto"/>
              </w:rPr>
              <w:t>Due in 2-5 years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66,350,604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67,872,915</w:t>
            </w:r>
          </w:p>
        </w:tc>
      </w:tr>
      <w:tr>
        <w:trPr>
          <w:trHeight w:val="213"/>
        </w:trPr>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in 5-10 years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66,900,191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70,594,910</w:t>
            </w:r>
          </w:p>
        </w:tc>
      </w:tr>
      <w:tr>
        <w:trPr>
          <w:trHeight w:val="213"/>
        </w:trPr>
        <w:tc>
          <w:tcPr>
            <w:tcW w:w="6900" w:type="dxa"/>
            <w:vAlign w:val="bottom"/>
          </w:tcPr>
          <w:p>
            <w:pPr>
              <w:ind w:left="160"/>
              <w:spacing w:after="0"/>
              <w:rPr>
                <w:sz w:val="20"/>
                <w:szCs w:val="20"/>
                <w:color w:val="auto"/>
              </w:rPr>
            </w:pPr>
            <w:r>
              <w:rPr>
                <w:rFonts w:ascii="Arial" w:cs="Arial" w:eastAsia="Arial" w:hAnsi="Arial"/>
                <w:sz w:val="18"/>
                <w:szCs w:val="18"/>
                <w:color w:val="auto"/>
              </w:rPr>
              <w:t>Due in more than 10 years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66,289,278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74,767,674</w:t>
            </w:r>
          </w:p>
        </w:tc>
      </w:tr>
      <w:tr>
        <w:trPr>
          <w:trHeight w:val="213"/>
        </w:trPr>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16,979,038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17,552,803</w:t>
            </w:r>
          </w:p>
        </w:tc>
      </w:tr>
      <w:tr>
        <w:trPr>
          <w:trHeight w:val="220"/>
        </w:trPr>
        <w:tc>
          <w:tcPr>
            <w:tcW w:w="6900" w:type="dxa"/>
            <w:vAlign w:val="bottom"/>
          </w:tcPr>
          <w:p>
            <w:pPr>
              <w:ind w:left="160"/>
              <w:spacing w:after="0"/>
              <w:rPr>
                <w:sz w:val="20"/>
                <w:szCs w:val="20"/>
                <w:color w:val="auto"/>
              </w:rPr>
            </w:pPr>
            <w:r>
              <w:rPr>
                <w:rFonts w:ascii="Arial" w:cs="Arial" w:eastAsia="Arial" w:hAnsi="Arial"/>
                <w:sz w:val="18"/>
                <w:szCs w:val="18"/>
                <w:color w:val="auto"/>
              </w:rPr>
              <w:t>Redeemable preferred stock</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103,197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115,309</w:t>
            </w:r>
          </w:p>
        </w:tc>
      </w:tr>
      <w:tr>
        <w:trPr>
          <w:trHeight w:val="253"/>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held to maturity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222,824,099</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237,144,147</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Company is a member of the Federal Home Loan Bank of Des Moines (“FHLB”). The Company currently has deposited a total of $60,000,000, par value, of United States Treasury fixed maturity securities with FHLB. These securities generate interest income for the Company and are available to use as collateral on any cash borrowings from the FHLB. As of June 30, 2019, the Company owed $45,000,000 to the FHLB. This amount owed was paid in July 2019.</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Equity Securities</w:t>
      </w:r>
    </w:p>
    <w:p>
      <w:pPr>
        <w:spacing w:after="0" w:line="297"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The fair values for equity securities are based on quoted market prices. The Company recognizes the changes (unrealized gains and losses) in the fair value of these equity securities through earnings as part of gains on investments and other assets on the condensed consolidated statements of earnings instead of other comprehensive income on the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Investment Related Earnings</w:t>
      </w:r>
    </w:p>
    <w:p>
      <w:pPr>
        <w:spacing w:after="0" w:line="297"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Company’s net realized gains and losses from sales, calls, and maturities, unrealized gains and losses on equity securities, and other than temporary impairments are summarized as follows:</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8"/>
                <w:szCs w:val="18"/>
                <w:color w:val="auto"/>
                <w:w w:val="97"/>
              </w:rPr>
              <w:t>Three Months Ended</w:t>
            </w:r>
          </w:p>
        </w:tc>
        <w:tc>
          <w:tcPr>
            <w:tcW w:w="180" w:type="dxa"/>
            <w:vAlign w:val="bottom"/>
          </w:tcPr>
          <w:p>
            <w:pPr>
              <w:spacing w:after="0"/>
              <w:rPr>
                <w:sz w:val="18"/>
                <w:szCs w:val="18"/>
                <w:color w:val="auto"/>
              </w:rPr>
            </w:pPr>
          </w:p>
        </w:tc>
        <w:tc>
          <w:tcPr>
            <w:tcW w:w="2440" w:type="dxa"/>
            <w:vAlign w:val="bottom"/>
            <w:gridSpan w:val="6"/>
          </w:tcPr>
          <w:p>
            <w:pPr>
              <w:jc w:val="right"/>
              <w:ind w:right="8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8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2018</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Arial" w:cs="Arial" w:eastAsia="Arial" w:hAnsi="Arial"/>
                <w:sz w:val="18"/>
                <w:szCs w:val="18"/>
                <w:color w:val="auto"/>
              </w:rPr>
              <w:t>Fixed maturity securities held to maturity:</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realized gains</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163,038</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259,503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248,626</w:t>
            </w: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287,635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Gross realized 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(69,622)</w:t>
            </w:r>
          </w:p>
        </w:tc>
        <w:tc>
          <w:tcPr>
            <w:tcW w:w="2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(260,702)</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(105,015)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(569,633)</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Equity securities: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Gains (losses) on securities sold</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41,088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(39,797)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52,664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(25,146)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Pr>
          <w:p>
            <w:pPr>
              <w:ind w:left="300"/>
              <w:spacing w:after="0" w:line="201" w:lineRule="exact"/>
              <w:rPr>
                <w:sz w:val="20"/>
                <w:szCs w:val="20"/>
                <w:color w:val="auto"/>
              </w:rPr>
            </w:pPr>
            <w:r>
              <w:rPr>
                <w:rFonts w:ascii="Arial" w:cs="Arial" w:eastAsia="Arial" w:hAnsi="Arial"/>
                <w:sz w:val="18"/>
                <w:szCs w:val="18"/>
                <w:color w:val="auto"/>
                <w:w w:val="88"/>
              </w:rPr>
              <w:t>Unrealized gains and (losses) on securities held at the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40" w:type="dxa"/>
            <w:vAlign w:val="bottom"/>
          </w:tcPr>
          <w:p>
            <w:pPr>
              <w:ind w:left="460"/>
              <w:spacing w:after="0"/>
              <w:rPr>
                <w:sz w:val="20"/>
                <w:szCs w:val="20"/>
                <w:color w:val="auto"/>
              </w:rPr>
            </w:pPr>
            <w:r>
              <w:rPr>
                <w:rFonts w:ascii="Arial" w:cs="Arial" w:eastAsia="Arial" w:hAnsi="Arial"/>
                <w:sz w:val="18"/>
                <w:szCs w:val="18"/>
                <w:color w:val="auto"/>
              </w:rPr>
              <w:t>end of the period</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14,016</w:t>
            </w:r>
          </w:p>
        </w:tc>
        <w:tc>
          <w:tcPr>
            <w:tcW w:w="2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158,993</w:t>
            </w: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775,224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(213,048)</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realized gains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688,289</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2,294,404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1,793,223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25,246,127  (1)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40" w:type="dxa"/>
            <w:vAlign w:val="bottom"/>
          </w:tcPr>
          <w:p>
            <w:pPr>
              <w:ind w:left="300"/>
              <w:spacing w:after="0"/>
              <w:rPr>
                <w:sz w:val="20"/>
                <w:szCs w:val="20"/>
                <w:color w:val="auto"/>
              </w:rPr>
            </w:pPr>
            <w:r>
              <w:rPr>
                <w:rFonts w:ascii="Arial" w:cs="Arial" w:eastAsia="Arial" w:hAnsi="Arial"/>
                <w:sz w:val="18"/>
                <w:szCs w:val="18"/>
                <w:color w:val="auto"/>
              </w:rPr>
              <w:t>Gross realized losses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w w:val="93"/>
              </w:rPr>
              <w:t>(1,862,702)</w:t>
            </w:r>
          </w:p>
        </w:tc>
        <w:tc>
          <w:tcPr>
            <w:tcW w:w="2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(84,172)</w:t>
            </w: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(1,983,954)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(376,767)</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(1,025,893</w:t>
            </w: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2,328,229</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780,768</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24,349,168</w:t>
            </w:r>
          </w:p>
        </w:tc>
        <w:tc>
          <w:tcPr>
            <w:tcW w:w="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_______________</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160" w:right="4120" w:hanging="8"/>
        <w:spacing w:after="0" w:line="250" w:lineRule="auto"/>
        <w:tabs>
          <w:tab w:leader="none" w:pos="141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a one-time gain of $22,252,000 from the sale of Dry Creek at East Village Apartments.</w:t>
      </w:r>
    </w:p>
    <w:p>
      <w:pPr>
        <w:spacing w:after="0" w:line="252" w:lineRule="exact"/>
        <w:rPr>
          <w:sz w:val="20"/>
          <w:szCs w:val="20"/>
          <w:color w:val="auto"/>
        </w:rPr>
      </w:pPr>
    </w:p>
    <w:p>
      <w:pPr>
        <w:jc w:val="both"/>
        <w:ind w:right="20"/>
        <w:spacing w:after="0" w:line="294" w:lineRule="auto"/>
        <w:rPr>
          <w:sz w:val="20"/>
          <w:szCs w:val="20"/>
          <w:color w:val="auto"/>
        </w:rPr>
      </w:pPr>
      <w:r>
        <w:rPr>
          <w:rFonts w:ascii="Arial" w:cs="Arial" w:eastAsia="Arial" w:hAnsi="Arial"/>
          <w:sz w:val="21"/>
          <w:szCs w:val="21"/>
          <w:color w:val="auto"/>
        </w:rPr>
        <w:t>The net realized gains and losses on the sale of securities are recorded on the trade date, and the cost of the securities sold is determined using the specific identification method.</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The carrying amount of held to maturity securities sold was $662,972 and $2,432,180 for the six months ended June 30, 2019 and 2018, respectively. The net realized loss related to these sales was $53,097 and $314,643 for the six months ended June 30, 2019 and 2018, respectively. Although the Company has the positive intent and ability to buy and hold a fixed maturity security to maturity, the Company will sell a security prior to maturity if conditions and circumstances have changed within the entity that issued the security to increase the risk of default to an unacceptable level.</w:t>
      </w:r>
    </w:p>
    <w:p>
      <w:pPr>
        <w:sectPr>
          <w:pgSz w:w="11900" w:h="16856" w:orient="portrait"/>
          <w:cols w:equalWidth="0" w:num="1">
            <w:col w:w="11420"/>
          </w:cols>
          <w:pgMar w:left="240" w:top="131" w:right="239" w:bottom="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56" w:orient="portrait"/>
          <w:cols w:equalWidth="0" w:num="1">
            <w:col w:w="11420"/>
          </w:cols>
          <w:pgMar w:left="240" w:top="131" w:right="239" w:bottom="0" w:gutter="0" w:footer="0" w:header="0"/>
          <w:type w:val="continuous"/>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72485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Arial" w:cs="Arial" w:eastAsia="Arial" w:hAnsi="Arial"/>
                <w:sz w:val="21"/>
                <w:szCs w:val="21"/>
                <w:color w:val="auto"/>
              </w:rPr>
              <w:t>3)</w:t>
            </w:r>
          </w:p>
        </w:tc>
        <w:tc>
          <w:tcPr>
            <w:tcW w:w="5340" w:type="dxa"/>
            <w:vAlign w:val="bottom"/>
            <w:gridSpan w:val="3"/>
          </w:tcPr>
          <w:p>
            <w:pPr>
              <w:spacing w:after="0"/>
              <w:rPr>
                <w:sz w:val="20"/>
                <w:szCs w:val="20"/>
                <w:color w:val="auto"/>
              </w:rPr>
            </w:pPr>
            <w:r>
              <w:rPr>
                <w:rFonts w:ascii="Arial" w:cs="Arial" w:eastAsia="Arial" w:hAnsi="Arial"/>
                <w:sz w:val="21"/>
                <w:szCs w:val="21"/>
                <w:color w:val="auto"/>
              </w:rPr>
              <w:t>Investments (Continued)</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6000" w:type="dxa"/>
            <w:vAlign w:val="bottom"/>
            <w:gridSpan w:val="4"/>
          </w:tcPr>
          <w:p>
            <w:pPr>
              <w:spacing w:after="0"/>
              <w:rPr>
                <w:sz w:val="20"/>
                <w:szCs w:val="20"/>
                <w:color w:val="auto"/>
              </w:rPr>
            </w:pPr>
            <w:r>
              <w:rPr>
                <w:rFonts w:ascii="Arial" w:cs="Arial" w:eastAsia="Arial" w:hAnsi="Arial"/>
                <w:sz w:val="21"/>
                <w:szCs w:val="21"/>
                <w:color w:val="auto"/>
              </w:rPr>
              <w:t>Major categories of net investment income are as follows: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6"/>
          </w:tcPr>
          <w:p>
            <w:pPr>
              <w:jc w:val="right"/>
              <w:ind w:right="440"/>
              <w:spacing w:after="0"/>
              <w:rPr>
                <w:sz w:val="20"/>
                <w:szCs w:val="20"/>
                <w:color w:val="auto"/>
              </w:rPr>
            </w:pPr>
            <w:r>
              <w:rPr>
                <w:rFonts w:ascii="Arial" w:cs="Arial" w:eastAsia="Arial" w:hAnsi="Arial"/>
                <w:sz w:val="18"/>
                <w:szCs w:val="18"/>
                <w:color w:val="auto"/>
                <w:w w:val="97"/>
              </w:rPr>
              <w:t>Three Months Ended</w:t>
            </w:r>
          </w:p>
        </w:tc>
        <w:tc>
          <w:tcPr>
            <w:tcW w:w="100" w:type="dxa"/>
            <w:vAlign w:val="bottom"/>
          </w:tcPr>
          <w:p>
            <w:pPr>
              <w:spacing w:after="0"/>
              <w:rPr>
                <w:sz w:val="24"/>
                <w:szCs w:val="24"/>
                <w:color w:val="auto"/>
              </w:rPr>
            </w:pPr>
          </w:p>
        </w:tc>
        <w:tc>
          <w:tcPr>
            <w:tcW w:w="1960" w:type="dxa"/>
            <w:vAlign w:val="bottom"/>
            <w:gridSpan w:val="5"/>
          </w:tcPr>
          <w:p>
            <w:pPr>
              <w:jc w:val="right"/>
              <w:ind w:right="4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2"/>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6"/>
          </w:tcPr>
          <w:p>
            <w:pPr>
              <w:jc w:val="right"/>
              <w:ind w:right="92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20"/>
                <w:szCs w:val="20"/>
                <w:color w:val="auto"/>
              </w:rPr>
            </w:pPr>
          </w:p>
        </w:tc>
        <w:tc>
          <w:tcPr>
            <w:tcW w:w="1960" w:type="dxa"/>
            <w:vAlign w:val="bottom"/>
            <w:gridSpan w:val="5"/>
          </w:tcPr>
          <w:p>
            <w:pPr>
              <w:jc w:val="right"/>
              <w:ind w:right="80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maturity securities held to maturity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2,528,689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2,510,842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5,032,554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5,040,682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74,730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53,620</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152,651</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111,912</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4,525,817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4,872,441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8,629,184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9,776,361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Real estate held for investment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2,096,927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1,623,044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4,007,221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4,299,858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Policy loans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108,630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195,042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211,496</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Insurance assignments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3,906,832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3,511,749</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8,118,952</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7,372,687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75,871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106,678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129,544</w:t>
            </w: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465,959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239,661</w:t>
            </w: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964,876</w:t>
            </w: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377,029</w:t>
            </w: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13,757,989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12,995,858</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27,207,158</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27,319,569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(3,217,154)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(3,253,893)</w:t>
            </w: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(6,624,655)</w:t>
            </w: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(7,503,173)</w:t>
            </w:r>
          </w:p>
        </w:tc>
        <w:tc>
          <w:tcPr>
            <w:tcW w:w="0" w:type="dxa"/>
            <w:vAlign w:val="bottom"/>
          </w:tcPr>
          <w:p>
            <w:pPr>
              <w:spacing w:after="0"/>
              <w:rPr>
                <w:sz w:val="1"/>
                <w:szCs w:val="1"/>
                <w:color w:val="auto"/>
              </w:rPr>
            </w:pPr>
          </w:p>
        </w:tc>
      </w:tr>
      <w:tr>
        <w:trPr>
          <w:trHeight w:val="253"/>
        </w:trPr>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10,540,835</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9,741,965</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20,582,503</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19,816,396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Net investment income includes income earned by the restricted assets cemeteries and mortuaries of $134,229 and $95,256 for the three months ended June 30, 2019 and 2018, respectively, and $220,516 and $206,059 for the six months ended June 30, 2019 and 2018,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Net investment income on real estate consists primarily of rental revenue.</w:t>
      </w:r>
    </w:p>
    <w:p>
      <w:pPr>
        <w:spacing w:after="0" w:line="291"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Investment expenses consist primarily of depreciation, property taxes, operating expenses of real estate and an estimated portion of administrative expenses relating to investment activities.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Securities on deposit with regulatory authorities as required by law amounted to $9,071,615 at June 30, 2019 and $9,220,520 at December 31, 2018. These restricted securities are included in various assets under investments on the accompanying condensed consolidated balance sheets.</w:t>
      </w:r>
    </w:p>
    <w:p>
      <w:pPr>
        <w:spacing w:after="0" w:line="223" w:lineRule="exact"/>
        <w:rPr>
          <w:sz w:val="20"/>
          <w:szCs w:val="20"/>
          <w:color w:val="auto"/>
        </w:rPr>
      </w:pPr>
    </w:p>
    <w:p>
      <w:pPr>
        <w:jc w:val="both"/>
        <w:spacing w:after="0" w:line="321" w:lineRule="auto"/>
        <w:rPr>
          <w:sz w:val="20"/>
          <w:szCs w:val="20"/>
          <w:color w:val="auto"/>
        </w:rPr>
      </w:pPr>
      <w:r>
        <w:rPr>
          <w:rFonts w:ascii="Arial" w:cs="Arial" w:eastAsia="Arial" w:hAnsi="Arial"/>
          <w:sz w:val="20"/>
          <w:szCs w:val="20"/>
          <w:color w:val="auto"/>
        </w:rPr>
        <w:t>There were no investments, aggregated by issuer, in excess of 10% of shareholders’ equity (before net unrealized gains and losses on equity securities) at June 30, 2019, other than investments issued or guaranteed by the United States Government.</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Real Estate Held for Investment</w:t>
      </w:r>
    </w:p>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Company continues to strategically deploy resources into real estate to match the income and yield durations of its primary obligations. The sources for these real estate assets come through its various business units in the form of acquisition, development and mortgage foreclosures.</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Commercial Real Estate Held for Investment</w:t>
      </w:r>
    </w:p>
    <w:p>
      <w:pPr>
        <w:spacing w:after="0" w:line="29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ectPr>
          <w:pgSz w:w="11900" w:h="16838" w:orient="portrait"/>
          <w:cols w:equalWidth="0" w:num="1">
            <w:col w:w="11420"/>
          </w:cols>
          <w:pgMar w:left="240" w:top="131" w:right="239" w:bottom="1440" w:gutter="0" w:footer="0" w:header="0"/>
        </w:sectPr>
      </w:pP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 w:name="page19"/>
    <w:bookmarkEnd w:id="18"/>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Company currently owns and operates 11 commercial properties in 4 states. These properties include industrial warehouses, office buildings, retail centers, a restaurant, and includes the redevelopment and expansion of its corporate campus (“Center53”) in Salt Lake City, Utah. The Company also holds undeveloped land that may be used for future commercial developments. The Company uses bank debt in strategic cases to leverage established yields or to acquire a higher quality or different class of asset.</w:t>
      </w:r>
    </w:p>
    <w:p>
      <w:pPr>
        <w:spacing w:after="0" w:line="196"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The aggregated net ending balance of commercial real estate that serves as collateral for bank borrowings was approximately $87,049,000 and $84,880,000 as of June 30, 2019 and December 31, 2018, respectively. The associated bank loan carrying values totaled approximately $52,940,000 and $52,237,000 as of June 30, 2019 and December 31, 2018, respectively.</w:t>
      </w:r>
    </w:p>
    <w:p>
      <w:pPr>
        <w:spacing w:after="0" w:line="206"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During the three and six months ended June 30, 2019 and 2018, the Company recorded impairment losses on commercial real estate held for investment of $1,867,197 and $-0-, respectively. The impairment loss recognized in the second quarter of 2019 relates to an office building held by the life insurance segment for which the Company received an unsolicited bid in May 2019 from a potential buyer that was significantly below the building’s carrying value. Although management did not consider the offer as representative of fair value, the Company evaluated the unsolicited bid as a potential impairment indicator and performed an additional impairment analysis internally, concluding based on management’s best estimates that the fair value of the building was less than its carrying value. The Company is additionally seeking an independent appraisal by an outside commercial real estate valuation firm that will be completed in the near future, which may suggest additional impairments are necessary. This impairment loss is included in gains (losses) on investment and other assets on the condensed consolidated statements of earnings.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Company’s commercial real estate held for investment for the periods presented:</w:t>
      </w:r>
    </w:p>
    <w:p>
      <w:pPr>
        <w:spacing w:after="0" w:line="200" w:lineRule="exact"/>
        <w:rPr>
          <w:sz w:val="20"/>
          <w:szCs w:val="20"/>
          <w:color w:val="auto"/>
        </w:rPr>
      </w:pPr>
    </w:p>
    <w:p>
      <w:pPr>
        <w:spacing w:after="0" w:line="353" w:lineRule="exact"/>
        <w:rPr>
          <w:sz w:val="20"/>
          <w:szCs w:val="20"/>
          <w:color w:val="auto"/>
        </w:rPr>
      </w:pPr>
    </w:p>
    <w:tbl>
      <w:tblPr>
        <w:tblLayout w:type="fixed"/>
        <w:tblInd w:w="11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7"/>
          </w:tcPr>
          <w:p>
            <w:pPr>
              <w:jc w:val="center"/>
              <w:ind w:right="160"/>
              <w:spacing w:after="0"/>
              <w:rPr>
                <w:sz w:val="20"/>
                <w:szCs w:val="20"/>
                <w:color w:val="auto"/>
              </w:rPr>
            </w:pPr>
            <w:r>
              <w:rPr>
                <w:rFonts w:ascii="Arial" w:cs="Arial" w:eastAsia="Arial" w:hAnsi="Arial"/>
                <w:sz w:val="18"/>
                <w:szCs w:val="18"/>
                <w:color w:val="auto"/>
                <w:w w:val="89"/>
              </w:rPr>
              <w:t>Net Ending Balance</w:t>
            </w:r>
          </w:p>
        </w:tc>
        <w:tc>
          <w:tcPr>
            <w:tcW w:w="360" w:type="dxa"/>
            <w:vAlign w:val="bottom"/>
          </w:tcPr>
          <w:p>
            <w:pPr>
              <w:spacing w:after="0"/>
              <w:rPr>
                <w:sz w:val="20"/>
                <w:szCs w:val="20"/>
                <w:color w:val="auto"/>
              </w:rPr>
            </w:pPr>
          </w:p>
        </w:tc>
        <w:tc>
          <w:tcPr>
            <w:tcW w:w="2020" w:type="dxa"/>
            <w:vAlign w:val="bottom"/>
            <w:gridSpan w:val="4"/>
          </w:tcPr>
          <w:p>
            <w:pPr>
              <w:ind w:left="200"/>
              <w:spacing w:after="0"/>
              <w:rPr>
                <w:sz w:val="20"/>
                <w:szCs w:val="20"/>
                <w:color w:val="auto"/>
              </w:rPr>
            </w:pPr>
            <w:r>
              <w:rPr>
                <w:rFonts w:ascii="Arial" w:cs="Arial" w:eastAsia="Arial" w:hAnsi="Arial"/>
                <w:sz w:val="18"/>
                <w:szCs w:val="18"/>
                <w:color w:val="auto"/>
              </w:rPr>
              <w:t>Total Square Footage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w w:val="84"/>
              </w:rPr>
              <w:t>December</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6"/>
              </w:rPr>
              <w:t>December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June 30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291"/>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30</w:t>
            </w: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w:t>
            </w: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Kansas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5,400,000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6,861,898</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222,679</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222,679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Louisiana</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454,944</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467,694</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Mississippi</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3,289,436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3,329,948</w:t>
            </w:r>
          </w:p>
        </w:tc>
        <w:tc>
          <w:tcPr>
            <w:tcW w:w="3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33,821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33,821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New Mexico</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w:t>
            </w:r>
          </w:p>
        </w:tc>
        <w:tc>
          <w:tcPr>
            <w:tcW w:w="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Texas</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300,000</w:t>
            </w:r>
          </w:p>
        </w:tc>
        <w:tc>
          <w:tcPr>
            <w:tcW w:w="3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300,000</w:t>
            </w: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83,627,359</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81,080,251</w:t>
            </w: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502,129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502,129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4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93,082,739</w:t>
            </w:r>
          </w:p>
        </w:tc>
        <w:tc>
          <w:tcPr>
            <w:tcW w:w="30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92,050,791</w:t>
            </w:r>
          </w:p>
        </w:tc>
        <w:tc>
          <w:tcPr>
            <w:tcW w:w="3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765,692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765,692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_______________</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1400" w:hanging="248"/>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Undeveloped land</w:t>
      </w:r>
    </w:p>
    <w:p>
      <w:pPr>
        <w:spacing w:after="0" w:line="3" w:lineRule="exact"/>
        <w:rPr>
          <w:rFonts w:ascii="Arial" w:cs="Arial" w:eastAsia="Arial" w:hAnsi="Arial"/>
          <w:sz w:val="18"/>
          <w:szCs w:val="18"/>
          <w:color w:val="auto"/>
        </w:rPr>
      </w:pPr>
    </w:p>
    <w:p>
      <w:pPr>
        <w:ind w:left="1400" w:hanging="248"/>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Improved commercial pad</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Residential Real Estate Held for Investment</w:t>
      </w:r>
    </w:p>
    <w:p>
      <w:pPr>
        <w:spacing w:after="0" w:line="29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Company owns a portfolio of residential homes primarily as a result of loan foreclosures. The strategy has been to lease these homes to produce cash flow and allow time for the economic fundamentals to return to the various markets. As an orderly and active market for these homes returns, the Company has the option to dispose or to continue and hold them for cash flow and acceptable returns.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color w:val="auto"/>
        </w:rPr>
        <w:t>As of June 30, 2019, SNRE manages 60 residential properties in 7 states across the United States.</w:t>
      </w:r>
    </w:p>
    <w:p>
      <w:pPr>
        <w:spacing w:after="0" w:line="291"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net ending balance of foreclosed residential real estate included in residential real estate held for investment is $19,597,000 and $23,532,000 as of June 30, 2019 and December 31, 2018, respectively.</w:t>
      </w:r>
    </w:p>
    <w:p>
      <w:pPr>
        <w:sectPr>
          <w:pgSz w:w="11900" w:h="16838" w:orient="portrait"/>
          <w:cols w:equalWidth="0" w:num="1">
            <w:col w:w="11420"/>
          </w:cols>
          <w:pgMar w:left="240" w:top="131" w:right="239" w:bottom="364"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364" w:gutter="0" w:footer="0" w:header="0"/>
          <w:type w:val="continuous"/>
        </w:sectPr>
      </w:pPr>
    </w:p>
    <w:bookmarkStart w:id="19" w:name="page20"/>
    <w:bookmarkEnd w:id="19"/>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13"/>
        </w:numPr>
        <w:rPr>
          <w:rFonts w:ascii="Arial" w:cs="Arial" w:eastAsia="Arial" w:hAnsi="Arial"/>
          <w:sz w:val="21"/>
          <w:szCs w:val="21"/>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During the three months ended June 30, 2019 and 2018, the Company did not record any impairment losses on residential real estate held for investment, respectively, and during the six months ended June 30, 2019 and 2018, the Company recorded impairment losses on residential real estate held for investment of $-0- and $147,925, respectively. These impairment losses are included in gains (losses) on investment and other assets on the condensed consolidated statements of earnings.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Company’s residential real estate held for investment for the periods presented:</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5"/>
          </w:tcPr>
          <w:p>
            <w:pPr>
              <w:ind w:left="180"/>
              <w:spacing w:after="0"/>
              <w:rPr>
                <w:sz w:val="20"/>
                <w:szCs w:val="20"/>
                <w:color w:val="auto"/>
              </w:rPr>
            </w:pPr>
            <w:r>
              <w:rPr>
                <w:rFonts w:ascii="Arial" w:cs="Arial" w:eastAsia="Arial" w:hAnsi="Arial"/>
                <w:sz w:val="18"/>
                <w:szCs w:val="18"/>
                <w:color w:val="auto"/>
              </w:rPr>
              <w:t>Net Ending Balance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w w:val="84"/>
              </w:rPr>
              <w:t>December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80" w:type="dxa"/>
            <w:vAlign w:val="bottom"/>
          </w:tcPr>
          <w:p>
            <w:pPr>
              <w:spacing w:after="0"/>
              <w:rPr>
                <w:sz w:val="18"/>
                <w:szCs w:val="18"/>
                <w:color w:val="auto"/>
              </w:rPr>
            </w:pPr>
          </w:p>
        </w:tc>
        <w:tc>
          <w:tcPr>
            <w:tcW w:w="820" w:type="dxa"/>
            <w:vAlign w:val="bottom"/>
          </w:tcPr>
          <w:p>
            <w:pPr>
              <w:jc w:val="right"/>
              <w:ind w:right="27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1,911,458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2,644,321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Florida</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5,645,131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6,534,277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South Carolina</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105,260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Texas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139,174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18,033,578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19,598,218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Washington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476,181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476,181</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26,386,608</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29,507,431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Real Estate Owned and Occupied by the Company</w:t>
      </w:r>
    </w:p>
    <w:p>
      <w:pPr>
        <w:spacing w:after="0" w:line="291"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primary business units of the Company occupy a portion of the real estate owned by the Company. Currently, the Company occupies nearly 70,000 square feet, or approximately 10% of the overall commercial real estate holdings.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As of June 30, 2019, real estate owned and occupied by the Company is summarized as follows:</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Square</w:t>
            </w:r>
          </w:p>
        </w:tc>
      </w:tr>
      <w:tr>
        <w:trPr>
          <w:trHeight w:val="213"/>
        </w:trPr>
        <w:tc>
          <w:tcPr>
            <w:tcW w:w="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Footage</w:t>
            </w:r>
          </w:p>
        </w:tc>
      </w:tr>
      <w:tr>
        <w:trPr>
          <w:trHeight w:val="213"/>
        </w:trPr>
        <w:tc>
          <w:tcPr>
            <w:tcW w:w="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Occupied</w:t>
            </w:r>
          </w:p>
        </w:tc>
      </w:tr>
      <w:tr>
        <w:trPr>
          <w:trHeight w:val="213"/>
        </w:trPr>
        <w:tc>
          <w:tcPr>
            <w:tcW w:w="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Approximate</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by</w:t>
            </w:r>
          </w:p>
        </w:tc>
      </w:tr>
      <w:tr>
        <w:trPr>
          <w:trHeight w:val="213"/>
        </w:trPr>
        <w:tc>
          <w:tcPr>
            <w:tcW w:w="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Square</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the</w:t>
            </w:r>
          </w:p>
        </w:tc>
      </w:tr>
      <w:tr>
        <w:trPr>
          <w:trHeight w:val="232"/>
        </w:trPr>
        <w:tc>
          <w:tcPr>
            <w:tcW w:w="3300" w:type="dxa"/>
            <w:vAlign w:val="bottom"/>
            <w:gridSpan w:val="2"/>
          </w:tcPr>
          <w:p>
            <w:pPr>
              <w:spacing w:after="0"/>
              <w:rPr>
                <w:sz w:val="20"/>
                <w:szCs w:val="20"/>
                <w:color w:val="auto"/>
              </w:rPr>
            </w:pPr>
            <w:r>
              <w:rPr>
                <w:rFonts w:ascii="Arial" w:cs="Arial" w:eastAsia="Arial" w:hAnsi="Arial"/>
                <w:sz w:val="18"/>
                <w:szCs w:val="18"/>
                <w:color w:val="auto"/>
              </w:rPr>
              <w:t>Location</w:t>
            </w:r>
          </w:p>
        </w:tc>
        <w:tc>
          <w:tcPr>
            <w:tcW w:w="3600" w:type="dxa"/>
            <w:vAlign w:val="bottom"/>
          </w:tcPr>
          <w:p>
            <w:pPr>
              <w:ind w:left="120"/>
              <w:spacing w:after="0"/>
              <w:rPr>
                <w:sz w:val="20"/>
                <w:szCs w:val="20"/>
                <w:color w:val="auto"/>
              </w:rPr>
            </w:pPr>
            <w:r>
              <w:rPr>
                <w:rFonts w:ascii="Arial" w:cs="Arial" w:eastAsia="Arial" w:hAnsi="Arial"/>
                <w:sz w:val="18"/>
                <w:szCs w:val="18"/>
                <w:color w:val="auto"/>
              </w:rPr>
              <w:t>Business Segment</w:t>
            </w:r>
          </w:p>
        </w:tc>
        <w:tc>
          <w:tcPr>
            <w:tcW w:w="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Footage</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Company</w:t>
            </w:r>
          </w:p>
        </w:tc>
      </w:tr>
      <w:tr>
        <w:trPr>
          <w:trHeight w:val="201"/>
        </w:trPr>
        <w:tc>
          <w:tcPr>
            <w:tcW w:w="36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4"/>
              </w:rPr>
              <w:t>5300</w:t>
            </w:r>
          </w:p>
        </w:tc>
        <w:tc>
          <w:tcPr>
            <w:tcW w:w="2940" w:type="dxa"/>
            <w:vAlign w:val="bottom"/>
            <w:tcBorders>
              <w:top w:val="single" w:sz="8" w:color="auto"/>
            </w:tcBorders>
            <w:shd w:val="clear" w:color="auto" w:fill="CCEEFF"/>
          </w:tcPr>
          <w:p>
            <w:pPr>
              <w:ind w:left="40"/>
              <w:spacing w:after="0" w:line="201" w:lineRule="exact"/>
              <w:rPr>
                <w:sz w:val="20"/>
                <w:szCs w:val="20"/>
                <w:color w:val="auto"/>
              </w:rPr>
            </w:pPr>
            <w:r>
              <w:rPr>
                <w:rFonts w:ascii="Arial" w:cs="Arial" w:eastAsia="Arial" w:hAnsi="Arial"/>
                <w:sz w:val="18"/>
                <w:szCs w:val="18"/>
                <w:color w:val="auto"/>
                <w:w w:val="92"/>
              </w:rPr>
              <w:t>South 360 West, Salt Lake City, UT (1)</w:t>
            </w:r>
          </w:p>
        </w:tc>
        <w:tc>
          <w:tcPr>
            <w:tcW w:w="3600" w:type="dxa"/>
            <w:vAlign w:val="bottom"/>
            <w:tcBorders>
              <w:top w:val="single" w:sz="8" w:color="auto"/>
            </w:tcBorders>
            <w:shd w:val="clear" w:color="auto" w:fill="CCEEFF"/>
          </w:tcPr>
          <w:p>
            <w:pPr>
              <w:ind w:left="120"/>
              <w:spacing w:after="0" w:line="201" w:lineRule="exact"/>
              <w:rPr>
                <w:sz w:val="20"/>
                <w:szCs w:val="20"/>
                <w:color w:val="auto"/>
              </w:rPr>
            </w:pPr>
            <w:r>
              <w:rPr>
                <w:rFonts w:ascii="Arial" w:cs="Arial" w:eastAsia="Arial" w:hAnsi="Arial"/>
                <w:sz w:val="18"/>
                <w:szCs w:val="18"/>
                <w:color w:val="auto"/>
              </w:rPr>
              <w:t>Corporate Offices, Life Insurance and</w:t>
            </w:r>
          </w:p>
        </w:tc>
        <w:tc>
          <w:tcPr>
            <w:tcW w:w="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5"/>
        </w:trPr>
        <w:tc>
          <w:tcPr>
            <w:tcW w:w="36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Cemetery/Mortuary Operations</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36,000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3"/>
        </w:trPr>
        <w:tc>
          <w:tcPr>
            <w:tcW w:w="360" w:type="dxa"/>
            <w:vAlign w:val="bottom"/>
          </w:tcPr>
          <w:p>
            <w:pPr>
              <w:spacing w:after="0"/>
              <w:rPr>
                <w:sz w:val="20"/>
                <w:szCs w:val="20"/>
                <w:color w:val="auto"/>
              </w:rPr>
            </w:pPr>
            <w:r>
              <w:rPr>
                <w:rFonts w:ascii="Arial" w:cs="Arial" w:eastAsia="Arial" w:hAnsi="Arial"/>
                <w:sz w:val="18"/>
                <w:szCs w:val="18"/>
                <w:color w:val="auto"/>
                <w:w w:val="84"/>
              </w:rPr>
              <w:t>5201</w:t>
            </w:r>
          </w:p>
        </w:tc>
        <w:tc>
          <w:tcPr>
            <w:tcW w:w="2940" w:type="dxa"/>
            <w:vAlign w:val="bottom"/>
          </w:tcPr>
          <w:p>
            <w:pPr>
              <w:ind w:left="40"/>
              <w:spacing w:after="0"/>
              <w:rPr>
                <w:sz w:val="20"/>
                <w:szCs w:val="20"/>
                <w:color w:val="auto"/>
              </w:rPr>
            </w:pPr>
            <w:r>
              <w:rPr>
                <w:rFonts w:ascii="Arial" w:cs="Arial" w:eastAsia="Arial" w:hAnsi="Arial"/>
                <w:sz w:val="18"/>
                <w:szCs w:val="18"/>
                <w:color w:val="auto"/>
              </w:rPr>
              <w:t>Green Street, Salt Lake City, UT</w:t>
            </w:r>
          </w:p>
        </w:tc>
        <w:tc>
          <w:tcPr>
            <w:tcW w:w="3600" w:type="dxa"/>
            <w:vAlign w:val="bottom"/>
          </w:tcPr>
          <w:p>
            <w:pPr>
              <w:ind w:left="120"/>
              <w:spacing w:after="0"/>
              <w:rPr>
                <w:sz w:val="20"/>
                <w:szCs w:val="20"/>
                <w:color w:val="auto"/>
              </w:rPr>
            </w:pPr>
            <w:r>
              <w:rPr>
                <w:rFonts w:ascii="Arial" w:cs="Arial" w:eastAsia="Arial" w:hAnsi="Arial"/>
                <w:sz w:val="18"/>
                <w:szCs w:val="18"/>
                <w:color w:val="auto"/>
              </w:rPr>
              <w:t>Mortgage Operations</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36,899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3"/>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1044</w:t>
            </w:r>
          </w:p>
        </w:tc>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River Oaks Dr., Flowood, MS</w:t>
            </w:r>
          </w:p>
        </w:tc>
        <w:tc>
          <w:tcPr>
            <w:tcW w:w="3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Life Insurance Operations</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21,521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01"/>
        </w:trPr>
        <w:tc>
          <w:tcPr>
            <w:tcW w:w="3300" w:type="dxa"/>
            <w:vAlign w:val="bottom"/>
            <w:gridSpan w:val="2"/>
          </w:tcPr>
          <w:p>
            <w:pPr>
              <w:spacing w:after="0" w:line="201" w:lineRule="exact"/>
              <w:rPr>
                <w:sz w:val="20"/>
                <w:szCs w:val="20"/>
                <w:color w:val="auto"/>
              </w:rPr>
            </w:pPr>
            <w:r>
              <w:rPr>
                <w:rFonts w:ascii="Arial" w:cs="Arial" w:eastAsia="Arial" w:hAnsi="Arial"/>
                <w:sz w:val="18"/>
                <w:szCs w:val="18"/>
                <w:color w:val="auto"/>
              </w:rPr>
              <w:t>121 West Election Road, Draper, UT</w:t>
            </w:r>
          </w:p>
        </w:tc>
        <w:tc>
          <w:tcPr>
            <w:tcW w:w="3600" w:type="dxa"/>
            <w:vAlign w:val="bottom"/>
          </w:tcPr>
          <w:p>
            <w:pPr>
              <w:ind w:left="120"/>
              <w:spacing w:after="0" w:line="201" w:lineRule="exact"/>
              <w:rPr>
                <w:sz w:val="20"/>
                <w:szCs w:val="20"/>
                <w:color w:val="auto"/>
              </w:rPr>
            </w:pPr>
            <w:r>
              <w:rPr>
                <w:rFonts w:ascii="Arial" w:cs="Arial" w:eastAsia="Arial" w:hAnsi="Arial"/>
                <w:sz w:val="18"/>
                <w:szCs w:val="18"/>
                <w:color w:val="auto"/>
              </w:rPr>
              <w:t>Mortgage Sales</w:t>
            </w:r>
          </w:p>
        </w:tc>
        <w:tc>
          <w:tcPr>
            <w:tcW w:w="116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78,978</w:t>
            </w:r>
          </w:p>
        </w:tc>
        <w:tc>
          <w:tcPr>
            <w:tcW w:w="10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19%</w:t>
            </w:r>
          </w:p>
        </w:tc>
      </w:tr>
      <w:tr>
        <w:trPr>
          <w:trHeight w:val="224"/>
        </w:trPr>
        <w:tc>
          <w:tcPr>
            <w:tcW w:w="3300" w:type="dxa"/>
            <w:vAlign w:val="bottom"/>
            <w:gridSpan w:val="2"/>
          </w:tcPr>
          <w:p>
            <w:pPr>
              <w:spacing w:after="0"/>
              <w:rPr>
                <w:sz w:val="20"/>
                <w:szCs w:val="20"/>
                <w:color w:val="auto"/>
              </w:rPr>
            </w:pPr>
            <w:r>
              <w:rPr>
                <w:rFonts w:ascii="Arial" w:cs="Arial" w:eastAsia="Arial" w:hAnsi="Arial"/>
                <w:sz w:val="18"/>
                <w:szCs w:val="18"/>
                <w:color w:val="auto"/>
              </w:rPr>
              <w:t>_______________</w:t>
            </w:r>
          </w:p>
        </w:tc>
        <w:tc>
          <w:tcPr>
            <w:tcW w:w="3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ind w:left="1160"/>
        <w:spacing w:after="0"/>
        <w:rPr>
          <w:sz w:val="20"/>
          <w:szCs w:val="20"/>
          <w:color w:val="auto"/>
        </w:rPr>
      </w:pPr>
      <w:r>
        <w:rPr>
          <w:rFonts w:ascii="Arial" w:cs="Arial" w:eastAsia="Arial" w:hAnsi="Arial"/>
          <w:sz w:val="18"/>
          <w:szCs w:val="18"/>
          <w:color w:val="auto"/>
        </w:rPr>
        <w:t>(1) This asset is included in property and equipment on the condensed consolidated balance sheets</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Mortgage Loans Held for Investment</w:t>
      </w:r>
    </w:p>
    <w:p>
      <w:pPr>
        <w:spacing w:after="0" w:line="297"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June 30, 2019, the Company had 49%, 14%, 12%, 7%, 6%, 4% and 3% of its mortgage loans from borrowers located in the states of Utah, Florida, Texas, California, Nevada, Arizona, and Tennessee,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398" w:right="239" w:bottom="1114" w:gutter="0" w:footer="0" w:header="0"/>
        </w:sectPr>
      </w:pPr>
    </w:p>
    <w:bookmarkStart w:id="20" w:name="page21"/>
    <w:bookmarkEnd w:id="20"/>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Mortgage loans held for investment are carried at their unpaid principal balances adjusted for net deferred fees, charge-offs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223"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u w:val="single" w:color="auto"/>
          <w:color w:val="auto"/>
        </w:rPr>
        <w:t>Commercial</w:t>
      </w:r>
      <w:r>
        <w:rPr>
          <w:rFonts w:ascii="Arial" w:cs="Arial" w:eastAsia="Arial" w:hAnsi="Arial"/>
          <w:sz w:val="21"/>
          <w:szCs w:val="21"/>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229" w:lineRule="exact"/>
        <w:rPr>
          <w:sz w:val="20"/>
          <w:szCs w:val="20"/>
          <w:color w:val="auto"/>
        </w:rPr>
      </w:pPr>
    </w:p>
    <w:p>
      <w:pPr>
        <w:jc w:val="both"/>
        <w:spacing w:after="0" w:line="294" w:lineRule="auto"/>
        <w:rPr>
          <w:sz w:val="20"/>
          <w:szCs w:val="20"/>
          <w:color w:val="auto"/>
        </w:rPr>
      </w:pPr>
      <w:r>
        <w:rPr>
          <w:rFonts w:ascii="Arial" w:cs="Arial" w:eastAsia="Arial" w:hAnsi="Arial"/>
          <w:sz w:val="21"/>
          <w:szCs w:val="21"/>
          <w:u w:val="single" w:color="auto"/>
          <w:color w:val="auto"/>
        </w:rPr>
        <w:t>Residential</w:t>
      </w:r>
      <w:r>
        <w:rPr>
          <w:rFonts w:ascii="Arial" w:cs="Arial" w:eastAsia="Arial" w:hAnsi="Arial"/>
          <w:sz w:val="21"/>
          <w:szCs w:val="21"/>
          <w:color w:val="auto"/>
        </w:rPr>
        <w:t xml:space="preserve"> – Secured by family dwelling units. These loans are secured by first mortgages on the unit, which are generally the primary residence of the borrower, generally at a loan-to-value ratio (“LTV”) of 80% or less.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21"/>
          <w:szCs w:val="21"/>
          <w:u w:val="single" w:color="auto"/>
          <w:color w:val="auto"/>
        </w:rPr>
        <w:t>Residential construction (including land acquisition and development)</w:t>
      </w:r>
      <w:r>
        <w:rPr>
          <w:rFonts w:ascii="Arial" w:cs="Arial" w:eastAsia="Arial" w:hAnsi="Arial"/>
          <w:sz w:val="21"/>
          <w:szCs w:val="21"/>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ectPr>
          <w:pgSz w:w="11900" w:h="16838" w:orient="portrait"/>
          <w:cols w:equalWidth="0" w:num="1">
            <w:col w:w="11420"/>
          </w:cols>
          <w:pgMar w:left="240" w:top="131"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1" w:name="page22"/>
    <w:bookmarkEnd w:id="21"/>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jc w:val="right"/>
              <w:ind w:right="373"/>
              <w:spacing w:after="0"/>
              <w:rPr>
                <w:sz w:val="20"/>
                <w:szCs w:val="20"/>
                <w:color w:val="auto"/>
              </w:rPr>
            </w:pPr>
            <w:r>
              <w:rPr>
                <w:rFonts w:ascii="Arial" w:cs="Arial" w:eastAsia="Arial" w:hAnsi="Arial"/>
                <w:sz w:val="21"/>
                <w:szCs w:val="21"/>
                <w:color w:val="auto"/>
                <w:w w:val="85"/>
              </w:rPr>
              <w:t>3)</w:t>
            </w:r>
          </w:p>
        </w:tc>
        <w:tc>
          <w:tcPr>
            <w:tcW w:w="4680" w:type="dxa"/>
            <w:vAlign w:val="bottom"/>
            <w:gridSpan w:val="5"/>
          </w:tcPr>
          <w:p>
            <w:pPr>
              <w:spacing w:after="0"/>
              <w:rPr>
                <w:sz w:val="20"/>
                <w:szCs w:val="20"/>
                <w:color w:val="auto"/>
              </w:rPr>
            </w:pPr>
            <w:r>
              <w:rPr>
                <w:rFonts w:ascii="Arial" w:cs="Arial" w:eastAsia="Arial" w:hAnsi="Arial"/>
                <w:sz w:val="21"/>
                <w:szCs w:val="21"/>
                <w:color w:val="auto"/>
              </w:rPr>
              <w:t>Investments (Continued)</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2"/>
        </w:trPr>
        <w:tc>
          <w:tcPr>
            <w:tcW w:w="6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40" w:type="dxa"/>
            <w:vAlign w:val="bottom"/>
            <w:gridSpan w:val="11"/>
          </w:tcPr>
          <w:p>
            <w:pPr>
              <w:ind w:left="280"/>
              <w:spacing w:after="0"/>
              <w:rPr>
                <w:sz w:val="20"/>
                <w:szCs w:val="20"/>
                <w:color w:val="auto"/>
              </w:rPr>
            </w:pPr>
            <w:r>
              <w:rPr>
                <w:rFonts w:ascii="Arial" w:cs="Arial" w:eastAsia="Arial" w:hAnsi="Arial"/>
                <w:sz w:val="18"/>
                <w:szCs w:val="18"/>
                <w:b w:val="1"/>
                <w:bCs w:val="1"/>
                <w:color w:val="auto"/>
              </w:rPr>
              <w:t>Allowance for Credit Losses and Recorded Investment in Mortgage Loans</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Residential</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Commercial</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Residential</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Construction</w:t>
            </w:r>
          </w:p>
        </w:tc>
        <w:tc>
          <w:tcPr>
            <w:tcW w:w="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4680" w:type="dxa"/>
            <w:vAlign w:val="bottom"/>
            <w:gridSpan w:val="5"/>
          </w:tcPr>
          <w:p>
            <w:pPr>
              <w:ind w:left="500"/>
              <w:spacing w:after="0" w:line="173" w:lineRule="exact"/>
              <w:rPr>
                <w:sz w:val="20"/>
                <w:szCs w:val="20"/>
                <w:color w:val="auto"/>
              </w:rPr>
            </w:pPr>
            <w:r>
              <w:rPr>
                <w:rFonts w:ascii="Arial" w:cs="Arial" w:eastAsia="Arial" w:hAnsi="Arial"/>
                <w:sz w:val="18"/>
                <w:szCs w:val="18"/>
                <w:b w:val="1"/>
                <w:bCs w:val="1"/>
                <w:color w:val="auto"/>
              </w:rPr>
              <w:t>June 30, 2019</w:t>
            </w:r>
          </w:p>
        </w:tc>
        <w:tc>
          <w:tcPr>
            <w:tcW w:w="5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0" w:type="dxa"/>
            <w:vAlign w:val="bottom"/>
          </w:tcPr>
          <w:p>
            <w:pPr>
              <w:spacing w:after="0"/>
              <w:rPr>
                <w:sz w:val="20"/>
                <w:szCs w:val="20"/>
                <w:color w:val="auto"/>
              </w:rPr>
            </w:pPr>
          </w:p>
        </w:tc>
        <w:tc>
          <w:tcPr>
            <w:tcW w:w="4680" w:type="dxa"/>
            <w:vAlign w:val="bottom"/>
            <w:gridSpan w:val="5"/>
          </w:tcPr>
          <w:p>
            <w:pPr>
              <w:ind w:left="500"/>
              <w:spacing w:after="0"/>
              <w:rPr>
                <w:sz w:val="20"/>
                <w:szCs w:val="20"/>
                <w:color w:val="auto"/>
              </w:rPr>
            </w:pPr>
            <w:r>
              <w:rPr>
                <w:rFonts w:ascii="Arial" w:cs="Arial" w:eastAsia="Arial" w:hAnsi="Arial"/>
                <w:sz w:val="18"/>
                <w:szCs w:val="18"/>
                <w:color w:val="auto"/>
              </w:rPr>
              <w:t>Allowance for credit losses: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 - January 1, 2019</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1,125,623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1,347,972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80" w:type="dxa"/>
            <w:vAlign w:val="bottom"/>
            <w:gridSpan w:val="4"/>
          </w:tcPr>
          <w:p>
            <w:pPr>
              <w:ind w:left="120"/>
              <w:spacing w:after="0"/>
              <w:rPr>
                <w:sz w:val="20"/>
                <w:szCs w:val="20"/>
                <w:color w:val="auto"/>
              </w:rPr>
            </w:pPr>
            <w:r>
              <w:rPr>
                <w:rFonts w:ascii="Arial" w:cs="Arial" w:eastAsia="Arial" w:hAnsi="Arial"/>
                <w:sz w:val="18"/>
                <w:szCs w:val="18"/>
                <w:color w:val="auto"/>
              </w:rPr>
              <w:t>Charge-offs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(32,692)</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(32,692</w:t>
            </w:r>
            <w:r>
              <w:rPr>
                <w:rFonts w:ascii="Arial" w:cs="Arial" w:eastAsia="Arial" w:hAnsi="Arial"/>
                <w:sz w:val="14"/>
                <w:szCs w:val="14"/>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Provision</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(30,348)</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7,982</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(22,366</w:t>
            </w:r>
            <w:r>
              <w:rPr>
                <w:rFonts w:ascii="Arial" w:cs="Arial" w:eastAsia="Arial" w:hAnsi="Arial"/>
                <w:sz w:val="14"/>
                <w:szCs w:val="14"/>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Ending balance - June 30, 2019</w:t>
            </w: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187,129</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1,062,583</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43,202</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1,292,914</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w w:val="97"/>
              </w:rPr>
              <w:t>Ending balance: individually evaluated for impairment</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8,367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187,129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1,054,216</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43,202</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1,284,547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Mortgage loans: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32,009,118</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84,093,609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74,712,638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190,815,365</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7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4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7"/>
              </w:rPr>
              <w:t>Ending balance: individually evaluated for impairment</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655,499</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4,589,601</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4,321,123</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9,566,223</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31,353,619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79,504,008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70,391,515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181,249,142</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7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180" w:type="dxa"/>
            <w:vAlign w:val="bottom"/>
            <w:gridSpan w:val="4"/>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December 31, 2018</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Allowance for credit losses: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 - January 1, 2018</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1,546,447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1,768,796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80" w:type="dxa"/>
            <w:vAlign w:val="bottom"/>
            <w:gridSpan w:val="4"/>
          </w:tcPr>
          <w:p>
            <w:pPr>
              <w:ind w:left="120"/>
              <w:spacing w:after="0"/>
              <w:rPr>
                <w:sz w:val="20"/>
                <w:szCs w:val="20"/>
                <w:color w:val="auto"/>
              </w:rPr>
            </w:pPr>
            <w:r>
              <w:rPr>
                <w:rFonts w:ascii="Arial" w:cs="Arial" w:eastAsia="Arial" w:hAnsi="Arial"/>
                <w:sz w:val="18"/>
                <w:szCs w:val="18"/>
                <w:color w:val="auto"/>
              </w:rPr>
              <w:t>Charge-offs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(5,725)</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(5,725</w:t>
            </w:r>
            <w:r>
              <w:rPr>
                <w:rFonts w:ascii="Arial" w:cs="Arial" w:eastAsia="Arial" w:hAnsi="Arial"/>
                <w:sz w:val="14"/>
                <w:szCs w:val="14"/>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8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Provision</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(415,099)</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(415,099</w:t>
            </w:r>
            <w:r>
              <w:rPr>
                <w:rFonts w:ascii="Arial" w:cs="Arial" w:eastAsia="Arial" w:hAnsi="Arial"/>
                <w:sz w:val="14"/>
                <w:szCs w:val="14"/>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80" w:type="dxa"/>
            <w:vAlign w:val="bottom"/>
            <w:tcBorders>
              <w:top w:val="single" w:sz="8" w:color="CCEEFF"/>
            </w:tcBorders>
            <w:gridSpan w:val="4"/>
          </w:tcPr>
          <w:p>
            <w:pPr>
              <w:spacing w:after="0"/>
              <w:rPr>
                <w:sz w:val="20"/>
                <w:szCs w:val="20"/>
                <w:color w:val="auto"/>
              </w:rPr>
            </w:pPr>
            <w:r>
              <w:rPr>
                <w:rFonts w:ascii="Arial" w:cs="Arial" w:eastAsia="Arial" w:hAnsi="Arial"/>
                <w:sz w:val="18"/>
                <w:szCs w:val="18"/>
                <w:color w:val="auto"/>
              </w:rPr>
              <w:t>Ending balance - December 31, 2018</w:t>
            </w: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187,129</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1,125,623</w:t>
            </w: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35,220</w:t>
            </w: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1,347,972</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w w:val="97"/>
              </w:rPr>
              <w:t>Ending balance: individually evaluated for impairment</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74,185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74,185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187,129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1,051,438</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35,220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1,273,787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Mortgage loans: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27,785,927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89,935,600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71,366,544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189,088,071</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27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4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7"/>
              </w:rPr>
              <w:t>Ending balance: individually evaluated for impairment</w:t>
            </w:r>
          </w:p>
        </w:tc>
        <w:tc>
          <w:tcPr>
            <w:tcW w:w="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2,939,651</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3,638,824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500" w:type="dxa"/>
            <w:vAlign w:val="bottom"/>
            <w:vMerge w:val="restart"/>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6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27,589,745</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86,995,949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70,863,553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185,449,247</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5"/>
        </w:trPr>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7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jc w:val="right"/>
              <w:ind w:right="34"/>
              <w:spacing w:after="0"/>
              <w:rPr>
                <w:sz w:val="20"/>
                <w:szCs w:val="20"/>
                <w:color w:val="auto"/>
              </w:rPr>
            </w:pPr>
            <w:r>
              <w:rPr>
                <w:rFonts w:ascii="Arial" w:cs="Arial" w:eastAsia="Arial" w:hAnsi="Arial"/>
                <w:sz w:val="14"/>
                <w:szCs w:val="14"/>
                <w:color w:val="auto"/>
              </w:rPr>
              <w:t>20</w:t>
            </w: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6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22" w:name="page23"/>
    <w:bookmarkEnd w:id="22"/>
    <w:p>
      <w:pPr>
        <w:jc w:val="center"/>
        <w:ind w:right="100"/>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(Continued)</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aging of mortgage loans held for investment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40" w:type="dxa"/>
            <w:vAlign w:val="bottom"/>
            <w:tcBorders>
              <w:bottom w:val="single" w:sz="8" w:color="auto"/>
            </w:tcBorders>
            <w:gridSpan w:val="16"/>
          </w:tcPr>
          <w:p>
            <w:pPr>
              <w:spacing w:after="0"/>
              <w:rPr>
                <w:sz w:val="20"/>
                <w:szCs w:val="20"/>
                <w:color w:val="auto"/>
              </w:rPr>
            </w:pPr>
            <w:r>
              <w:rPr>
                <w:rFonts w:ascii="Arial" w:cs="Arial" w:eastAsia="Arial" w:hAnsi="Arial"/>
                <w:sz w:val="18"/>
                <w:szCs w:val="18"/>
                <w:b w:val="1"/>
                <w:bCs w:val="1"/>
                <w:color w:val="auto"/>
                <w:w w:val="88"/>
              </w:rPr>
              <w:t>Age Analysis of Mortgage Loans Held for Investment</w:t>
            </w:r>
          </w:p>
        </w:tc>
        <w:tc>
          <w:tcPr>
            <w:tcW w:w="5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Greater</w:t>
            </w:r>
          </w:p>
        </w:tc>
        <w:tc>
          <w:tcPr>
            <w:tcW w:w="4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In Process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Allowance</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6"/>
              </w:rPr>
              <w:t>60-89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Than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of</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7"/>
              </w:rPr>
              <w:t>Unamortized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13"/>
        </w:trPr>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9"/>
              </w:rPr>
              <w:t>30-59 Days</w:t>
            </w:r>
          </w:p>
        </w:tc>
        <w:tc>
          <w:tcPr>
            <w:tcW w:w="80" w:type="dxa"/>
            <w:vAlign w:val="bottom"/>
          </w:tcPr>
          <w:p>
            <w:pPr>
              <w:spacing w:after="0"/>
              <w:rPr>
                <w:sz w:val="18"/>
                <w:szCs w:val="18"/>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Days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90 Days</w:t>
            </w:r>
          </w:p>
        </w:tc>
        <w:tc>
          <w:tcPr>
            <w:tcW w:w="104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Foreclosure</w:t>
            </w: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Mortgage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Loan</w:t>
            </w: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deferred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Mortgage</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Past Due</w:t>
            </w:r>
          </w:p>
        </w:tc>
        <w:tc>
          <w:tcPr>
            <w:tcW w:w="8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Past Due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Past Due</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Current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Loans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2"/>
              </w:rPr>
              <w:t>loan fees,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Loans</w:t>
            </w:r>
          </w:p>
        </w:tc>
        <w:tc>
          <w:tcPr>
            <w:tcW w:w="0" w:type="dxa"/>
            <w:vAlign w:val="bottom"/>
          </w:tcPr>
          <w:p>
            <w:pPr>
              <w:spacing w:after="0"/>
              <w:rPr>
                <w:sz w:val="1"/>
                <w:szCs w:val="1"/>
                <w:color w:val="auto"/>
              </w:rPr>
            </w:pPr>
          </w:p>
        </w:tc>
      </w:tr>
      <w:tr>
        <w:trPr>
          <w:trHeight w:val="183"/>
        </w:trPr>
        <w:tc>
          <w:tcPr>
            <w:tcW w:w="1040" w:type="dxa"/>
            <w:vAlign w:val="bottom"/>
            <w:tcBorders>
              <w:bottom w:val="single" w:sz="8" w:color="auto"/>
            </w:tcBorders>
          </w:tcPr>
          <w:p>
            <w:pPr>
              <w:spacing w:after="0" w:line="173" w:lineRule="exact"/>
              <w:rPr>
                <w:sz w:val="20"/>
                <w:szCs w:val="20"/>
                <w:color w:val="auto"/>
              </w:rPr>
            </w:pPr>
            <w:r>
              <w:rPr>
                <w:rFonts w:ascii="Arial" w:cs="Arial" w:eastAsia="Arial" w:hAnsi="Arial"/>
                <w:sz w:val="18"/>
                <w:szCs w:val="18"/>
                <w:b w:val="1"/>
                <w:bCs w:val="1"/>
                <w:color w:val="auto"/>
                <w:w w:val="87"/>
              </w:rPr>
              <w:t>June 30, 2019</w:t>
            </w:r>
          </w:p>
        </w:tc>
        <w:tc>
          <w:tcPr>
            <w:tcW w:w="4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40" w:type="dxa"/>
            <w:vAlign w:val="bottom"/>
            <w:shd w:val="clear" w:color="auto" w:fill="CCEEFF"/>
          </w:tcPr>
          <w:p>
            <w:pPr>
              <w:spacing w:after="0"/>
              <w:rPr>
                <w:sz w:val="20"/>
                <w:szCs w:val="20"/>
                <w:color w:val="auto"/>
              </w:rPr>
            </w:pPr>
            <w:r>
              <w:rPr>
                <w:rFonts w:ascii="Arial" w:cs="Arial" w:eastAsia="Arial" w:hAnsi="Arial"/>
                <w:sz w:val="4"/>
                <w:szCs w:val="4"/>
                <w:color w:val="auto"/>
                <w:w w:val="87"/>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655,499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2,388,699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29,620,419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32,009,118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(187,129)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31,817,849</w:t>
            </w:r>
          </w:p>
        </w:tc>
        <w:tc>
          <w:tcPr>
            <w:tcW w:w="0" w:type="dxa"/>
            <w:vAlign w:val="bottom"/>
          </w:tcPr>
          <w:p>
            <w:pPr>
              <w:spacing w:after="0"/>
              <w:rPr>
                <w:sz w:val="1"/>
                <w:szCs w:val="1"/>
                <w:color w:val="auto"/>
              </w:rPr>
            </w:pPr>
          </w:p>
        </w:tc>
      </w:tr>
      <w:tr>
        <w:trPr>
          <w:trHeight w:val="213"/>
        </w:trPr>
        <w:tc>
          <w:tcPr>
            <w:tcW w:w="144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8,042,198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1,915,051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2,662,534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1,927,067</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14,546,850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69,546,759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84,093,609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(1,062,583)</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(736,845)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82,294,181</w:t>
            </w:r>
          </w:p>
        </w:tc>
        <w:tc>
          <w:tcPr>
            <w:tcW w:w="0" w:type="dxa"/>
            <w:vAlign w:val="bottom"/>
          </w:tcPr>
          <w:p>
            <w:pPr>
              <w:spacing w:after="0"/>
              <w:rPr>
                <w:sz w:val="1"/>
                <w:szCs w:val="1"/>
                <w:color w:val="auto"/>
              </w:rPr>
            </w:pPr>
          </w:p>
        </w:tc>
      </w:tr>
      <w:tr>
        <w:trPr>
          <w:trHeight w:val="201"/>
        </w:trPr>
        <w:tc>
          <w:tcPr>
            <w:tcW w:w="1440" w:type="dxa"/>
            <w:vAlign w:val="bottom"/>
            <w:tcBorders>
              <w:right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Residential</w:t>
            </w: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5,295,675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315,908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246,854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4,074,269</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9,932,706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64,779,932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74,712,638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(43,202)</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(459,461)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74,209,975</w:t>
            </w:r>
          </w:p>
        </w:tc>
        <w:tc>
          <w:tcPr>
            <w:tcW w:w="0" w:type="dxa"/>
            <w:vAlign w:val="bottom"/>
          </w:tcPr>
          <w:p>
            <w:pPr>
              <w:spacing w:after="0"/>
              <w:rPr>
                <w:sz w:val="1"/>
                <w:szCs w:val="1"/>
                <w:color w:val="auto"/>
              </w:rPr>
            </w:pPr>
          </w:p>
        </w:tc>
      </w:tr>
      <w:tr>
        <w:trPr>
          <w:trHeight w:val="213"/>
        </w:trPr>
        <w:tc>
          <w:tcPr>
            <w:tcW w:w="10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20"/>
                <w:szCs w:val="20"/>
                <w:color w:val="auto"/>
              </w:rPr>
            </w:pPr>
            <w:r>
              <w:rPr>
                <w:rFonts w:ascii="Arial" w:cs="Arial" w:eastAsia="Arial" w:hAnsi="Arial"/>
                <w:sz w:val="4"/>
                <w:szCs w:val="4"/>
                <w:u w:val="single" w:color="auto"/>
                <w:color w:val="auto"/>
                <w:w w:val="87"/>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13,571,073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3,730,959</w:t>
            </w:r>
          </w:p>
        </w:tc>
        <w:tc>
          <w:tcPr>
            <w:tcW w:w="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2,909,388</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6,656,835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26,868,255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163,947,110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190,815,365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(1,292,914) $</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 xml:space="preserve">(1,200,446) </w:t>
            </w:r>
            <w:r>
              <w:rPr>
                <w:rFonts w:ascii="Arial" w:cs="Arial" w:eastAsia="Arial" w:hAnsi="Arial"/>
                <w:sz w:val="18"/>
                <w:szCs w:val="18"/>
                <w:u w:val="single" w:color="auto"/>
                <w:color w:val="auto"/>
                <w:w w:val="97"/>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188,322,005</w:t>
            </w:r>
          </w:p>
        </w:tc>
        <w:tc>
          <w:tcPr>
            <w:tcW w:w="0" w:type="dxa"/>
            <w:vAlign w:val="bottom"/>
          </w:tcPr>
          <w:p>
            <w:pPr>
              <w:spacing w:after="0"/>
              <w:rPr>
                <w:sz w:val="1"/>
                <w:szCs w:val="1"/>
                <w:color w:val="auto"/>
              </w:rPr>
            </w:pPr>
          </w:p>
        </w:tc>
      </w:tr>
      <w:tr>
        <w:trPr>
          <w:trHeight w:val="206"/>
        </w:trPr>
        <w:tc>
          <w:tcPr>
            <w:tcW w:w="104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480" w:type="dxa"/>
            <w:vAlign w:val="bottom"/>
            <w:gridSpan w:val="3"/>
            <w:shd w:val="clear" w:color="auto" w:fill="CCEEFF"/>
          </w:tcPr>
          <w:p>
            <w:pPr>
              <w:spacing w:after="0" w:line="173" w:lineRule="exact"/>
              <w:rPr>
                <w:sz w:val="20"/>
                <w:szCs w:val="20"/>
                <w:color w:val="auto"/>
              </w:rPr>
            </w:pPr>
            <w:r>
              <w:rPr>
                <w:rFonts w:ascii="Arial" w:cs="Arial" w:eastAsia="Arial" w:hAnsi="Arial"/>
                <w:sz w:val="18"/>
                <w:szCs w:val="18"/>
                <w:b w:val="1"/>
                <w:bCs w:val="1"/>
                <w:color w:val="auto"/>
                <w:w w:val="90"/>
              </w:rPr>
              <w:t>December 31, 2018</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040" w:type="dxa"/>
            <w:vAlign w:val="bottom"/>
            <w:shd w:val="clear" w:color="auto" w:fill="000000"/>
          </w:tcPr>
          <w:p>
            <w:pPr>
              <w:spacing w:after="0"/>
              <w:rPr>
                <w:sz w:val="3"/>
                <w:szCs w:val="3"/>
                <w:color w:val="auto"/>
              </w:rPr>
            </w:pPr>
          </w:p>
        </w:tc>
        <w:tc>
          <w:tcPr>
            <w:tcW w:w="400" w:type="dxa"/>
            <w:vAlign w:val="bottom"/>
            <w:tcBorders>
              <w:right w:val="single" w:sz="8" w:color="auto"/>
            </w:tcBorders>
            <w:shd w:val="clear" w:color="auto" w:fill="000000"/>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144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40" w:type="dxa"/>
            <w:vAlign w:val="bottom"/>
          </w:tcPr>
          <w:p>
            <w:pPr>
              <w:spacing w:after="0"/>
              <w:rPr>
                <w:sz w:val="20"/>
                <w:szCs w:val="20"/>
                <w:color w:val="auto"/>
              </w:rPr>
            </w:pPr>
            <w:r>
              <w:rPr>
                <w:rFonts w:ascii="Arial" w:cs="Arial" w:eastAsia="Arial" w:hAnsi="Arial"/>
                <w:sz w:val="4"/>
                <w:szCs w:val="4"/>
                <w:color w:val="auto"/>
                <w:w w:val="87"/>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4,588,424</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196,182</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4,784,606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23,001,321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27,785,927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(187,129)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32,003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27,630,801</w:t>
            </w:r>
          </w:p>
        </w:tc>
        <w:tc>
          <w:tcPr>
            <w:tcW w:w="0" w:type="dxa"/>
            <w:vAlign w:val="bottom"/>
          </w:tcPr>
          <w:p>
            <w:pPr>
              <w:spacing w:after="0"/>
              <w:rPr>
                <w:sz w:val="1"/>
                <w:szCs w:val="1"/>
                <w:color w:val="auto"/>
              </w:rPr>
            </w:pPr>
          </w:p>
        </w:tc>
      </w:tr>
      <w:tr>
        <w:trPr>
          <w:trHeight w:val="213"/>
        </w:trPr>
        <w:tc>
          <w:tcPr>
            <w:tcW w:w="14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Residential</w:t>
            </w: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9,899,380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2,312,252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1,715,362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1,224,289</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15,151,283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74,784,317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89,935,600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(1,125,623)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(862,411)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87,947,566</w:t>
            </w:r>
          </w:p>
        </w:tc>
        <w:tc>
          <w:tcPr>
            <w:tcW w:w="0" w:type="dxa"/>
            <w:vAlign w:val="bottom"/>
          </w:tcPr>
          <w:p>
            <w:pPr>
              <w:spacing w:after="0"/>
              <w:rPr>
                <w:sz w:val="1"/>
                <w:szCs w:val="1"/>
                <w:color w:val="auto"/>
              </w:rPr>
            </w:pPr>
          </w:p>
        </w:tc>
      </w:tr>
      <w:tr>
        <w:trPr>
          <w:trHeight w:val="201"/>
        </w:trPr>
        <w:tc>
          <w:tcPr>
            <w:tcW w:w="1440" w:type="dxa"/>
            <w:vAlign w:val="bottom"/>
            <w:gridSpan w:val="2"/>
          </w:tcPr>
          <w:p>
            <w:pPr>
              <w:spacing w:after="0" w:line="201" w:lineRule="exact"/>
              <w:rPr>
                <w:sz w:val="20"/>
                <w:szCs w:val="20"/>
                <w:color w:val="auto"/>
              </w:rPr>
            </w:pPr>
            <w:r>
              <w:rPr>
                <w:rFonts w:ascii="Arial" w:cs="Arial" w:eastAsia="Arial" w:hAnsi="Arial"/>
                <w:sz w:val="18"/>
                <w:szCs w:val="18"/>
                <w:color w:val="auto"/>
              </w:rPr>
              <w:t>Residential</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44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502,991</w:t>
            </w:r>
          </w:p>
        </w:tc>
        <w:tc>
          <w:tcPr>
            <w:tcW w:w="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502,991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70,863,553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71,366,544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(35,220)</w:t>
            </w: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(444,622)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70,886,702</w:t>
            </w:r>
          </w:p>
        </w:tc>
        <w:tc>
          <w:tcPr>
            <w:tcW w:w="0" w:type="dxa"/>
            <w:vAlign w:val="bottom"/>
          </w:tcPr>
          <w:p>
            <w:pPr>
              <w:spacing w:after="0"/>
              <w:rPr>
                <w:sz w:val="1"/>
                <w:szCs w:val="1"/>
                <w:color w:val="auto"/>
              </w:rPr>
            </w:pPr>
          </w:p>
        </w:tc>
      </w:tr>
      <w:tr>
        <w:trPr>
          <w:trHeight w:val="213"/>
        </w:trPr>
        <w:tc>
          <w:tcPr>
            <w:tcW w:w="10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0"/>
                <w:szCs w:val="20"/>
                <w:color w:val="auto"/>
              </w:rPr>
            </w:pPr>
            <w:r>
              <w:rPr>
                <w:rFonts w:ascii="Arial" w:cs="Arial" w:eastAsia="Arial" w:hAnsi="Arial"/>
                <w:sz w:val="4"/>
                <w:szCs w:val="4"/>
                <w:u w:val="single" w:color="auto"/>
                <w:color w:val="auto"/>
                <w:w w:val="87"/>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14,487,804</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2,312,252</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1,911,544</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1,727,280</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20,438,880</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168,649,191</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189,088,071</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89"/>
              </w:rPr>
              <w:t>(1,347,972) $</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w w:val="97"/>
              </w:rPr>
              <w:t xml:space="preserve">(1,275,030) </w:t>
            </w:r>
            <w:r>
              <w:rPr>
                <w:rFonts w:ascii="Arial" w:cs="Arial" w:eastAsia="Arial" w:hAnsi="Arial"/>
                <w:sz w:val="18"/>
                <w:szCs w:val="18"/>
                <w:u w:val="single" w:color="auto"/>
                <w:color w:val="auto"/>
                <w:w w:val="97"/>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186,465,069</w:t>
            </w:r>
          </w:p>
        </w:tc>
        <w:tc>
          <w:tcPr>
            <w:tcW w:w="0" w:type="dxa"/>
            <w:vAlign w:val="bottom"/>
          </w:tcPr>
          <w:p>
            <w:pPr>
              <w:spacing w:after="0"/>
              <w:rPr>
                <w:sz w:val="1"/>
                <w:szCs w:val="1"/>
                <w:color w:val="auto"/>
              </w:rPr>
            </w:pPr>
          </w:p>
        </w:tc>
      </w:tr>
      <w:tr>
        <w:trPr>
          <w:trHeight w:val="20"/>
        </w:trPr>
        <w:tc>
          <w:tcPr>
            <w:tcW w:w="1440" w:type="dxa"/>
            <w:vAlign w:val="bottom"/>
            <w:gridSpan w:val="2"/>
            <w:vMerge w:val="restart"/>
          </w:tcPr>
          <w:p>
            <w:pPr>
              <w:spacing w:after="0"/>
              <w:rPr>
                <w:sz w:val="20"/>
                <w:szCs w:val="20"/>
                <w:color w:val="auto"/>
              </w:rPr>
            </w:pPr>
            <w:r>
              <w:rPr>
                <w:rFonts w:ascii="Arial" w:cs="Arial" w:eastAsia="Arial" w:hAnsi="Arial"/>
                <w:sz w:val="18"/>
                <w:szCs w:val="18"/>
                <w:color w:val="auto"/>
                <w:w w:val="93"/>
              </w:rPr>
              <w:t>_______________</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Interest income is not recognized on loans past due greater than 90 days or in foreclosure.</w:t>
      </w: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23" w:name="page24"/>
    <w:bookmarkEnd w:id="23"/>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(Continued)</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Impaired Mortgage Loans Held for Investment</w:t>
      </w:r>
    </w:p>
    <w:p>
      <w:pPr>
        <w:spacing w:after="0" w:line="291"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204"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gridSpan w:val="7"/>
          </w:tcPr>
          <w:p>
            <w:pPr>
              <w:spacing w:after="0"/>
              <w:rPr>
                <w:sz w:val="20"/>
                <w:szCs w:val="20"/>
                <w:color w:val="auto"/>
              </w:rPr>
            </w:pPr>
            <w:r>
              <w:rPr>
                <w:rFonts w:ascii="Arial" w:cs="Arial" w:eastAsia="Arial" w:hAnsi="Arial"/>
                <w:sz w:val="18"/>
                <w:szCs w:val="18"/>
                <w:b w:val="1"/>
                <w:bCs w:val="1"/>
                <w:color w:val="auto"/>
              </w:rPr>
              <w:t>Impaired Loans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Unpaid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24"/>
                <w:szCs w:val="24"/>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6"/>
              </w:rPr>
              <w:t>Recorded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Principal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Related</w:t>
            </w:r>
          </w:p>
        </w:tc>
        <w:tc>
          <w:tcPr>
            <w:tcW w:w="10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Recorded</w:t>
            </w:r>
          </w:p>
        </w:tc>
        <w:tc>
          <w:tcPr>
            <w:tcW w:w="120" w:type="dxa"/>
            <w:vAlign w:val="bottom"/>
          </w:tcPr>
          <w:p>
            <w:pPr>
              <w:spacing w:after="0"/>
              <w:rPr>
                <w:sz w:val="18"/>
                <w:szCs w:val="18"/>
                <w:color w:val="auto"/>
              </w:rPr>
            </w:pPr>
          </w:p>
        </w:tc>
        <w:tc>
          <w:tcPr>
            <w:tcW w:w="780" w:type="dxa"/>
            <w:vAlign w:val="bottom"/>
          </w:tcPr>
          <w:p>
            <w:pPr>
              <w:jc w:val="right"/>
              <w:ind w:right="91"/>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2"/>
              </w:rPr>
              <w:t>Investment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Allowance</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Investment</w:t>
            </w: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87"/>
              </w:rPr>
              <w:t>Recognized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740" w:type="dxa"/>
            <w:vAlign w:val="bottom"/>
            <w:gridSpan w:val="4"/>
          </w:tcPr>
          <w:p>
            <w:pPr>
              <w:spacing w:after="0" w:line="173" w:lineRule="exact"/>
              <w:rPr>
                <w:sz w:val="20"/>
                <w:szCs w:val="20"/>
                <w:color w:val="auto"/>
              </w:rPr>
            </w:pPr>
            <w:r>
              <w:rPr>
                <w:rFonts w:ascii="Arial" w:cs="Arial" w:eastAsia="Arial" w:hAnsi="Arial"/>
                <w:sz w:val="18"/>
                <w:szCs w:val="18"/>
                <w:b w:val="1"/>
                <w:bCs w:val="1"/>
                <w:color w:val="auto"/>
              </w:rPr>
              <w:t>June 30, 2019</w:t>
            </w: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740" w:type="dxa"/>
            <w:vAlign w:val="bottom"/>
            <w:gridSpan w:val="4"/>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655,499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655,499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753,726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4,443,598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4,443,598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3,575,845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4,321,123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4,321,123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2,412,057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146,003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146,003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377,491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655,499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655,499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753,726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4,589,601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4,589,601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8,367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3,953,336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4,321,123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4,321,123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2,412,057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3720" w:type="dxa"/>
            <w:vAlign w:val="bottom"/>
            <w:gridSpan w:val="3"/>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December 31, 2018</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0" w:type="dxa"/>
            <w:vAlign w:val="bottom"/>
            <w:shd w:val="clear" w:color="auto" w:fill="000000"/>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196,182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196,182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1,612,164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1,612,164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2,423,135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502,991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502,991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675,950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Commercial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1,327,487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1,327,487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74,185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1,543,416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7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196,182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196,182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98,023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tcPr>
          <w:p>
            <w:pPr>
              <w:ind w:left="10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2,939,651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2,939,651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74,185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3,966,551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502,991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502,991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675,950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Credit Risk Profile Based on Performance Status</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(Continued)</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The Company’s performing and non-performing mortgage loans held for investment were as follows:</w:t>
      </w:r>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Mortgage Loans Held for Investment Credit Exposure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Credit Risk Profile Based on Payment Activity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Residential</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2400" w:type="dxa"/>
            <w:vAlign w:val="bottom"/>
          </w:tcPr>
          <w:p>
            <w:pPr>
              <w:spacing w:after="0"/>
              <w:rPr>
                <w:sz w:val="20"/>
                <w:szCs w:val="20"/>
                <w:color w:val="auto"/>
              </w:rPr>
            </w:pPr>
          </w:p>
        </w:tc>
        <w:tc>
          <w:tcPr>
            <w:tcW w:w="2120" w:type="dxa"/>
            <w:vAlign w:val="bottom"/>
            <w:gridSpan w:val="4"/>
          </w:tcPr>
          <w:p>
            <w:pPr>
              <w:ind w:left="540"/>
              <w:spacing w:after="0"/>
              <w:rPr>
                <w:sz w:val="20"/>
                <w:szCs w:val="20"/>
                <w:color w:val="auto"/>
              </w:rPr>
            </w:pPr>
            <w:r>
              <w:rPr>
                <w:rFonts w:ascii="Arial" w:cs="Arial" w:eastAsia="Arial" w:hAnsi="Arial"/>
                <w:sz w:val="18"/>
                <w:szCs w:val="18"/>
                <w:b w:val="1"/>
                <w:bCs w:val="1"/>
                <w:color w:val="auto"/>
              </w:rPr>
              <w:t>Commercial</w:t>
            </w:r>
          </w:p>
        </w:tc>
        <w:tc>
          <w:tcPr>
            <w:tcW w:w="100" w:type="dxa"/>
            <w:vAlign w:val="bottom"/>
          </w:tcPr>
          <w:p>
            <w:pPr>
              <w:spacing w:after="0"/>
              <w:rPr>
                <w:sz w:val="20"/>
                <w:szCs w:val="20"/>
                <w:color w:val="auto"/>
              </w:rPr>
            </w:pPr>
          </w:p>
        </w:tc>
        <w:tc>
          <w:tcPr>
            <w:tcW w:w="2240" w:type="dxa"/>
            <w:vAlign w:val="bottom"/>
            <w:gridSpan w:val="5"/>
          </w:tcPr>
          <w:p>
            <w:pPr>
              <w:ind w:left="600"/>
              <w:spacing w:after="0"/>
              <w:rPr>
                <w:sz w:val="20"/>
                <w:szCs w:val="20"/>
                <w:color w:val="auto"/>
              </w:rPr>
            </w:pPr>
            <w:r>
              <w:rPr>
                <w:rFonts w:ascii="Arial" w:cs="Arial" w:eastAsia="Arial" w:hAnsi="Arial"/>
                <w:sz w:val="18"/>
                <w:szCs w:val="18"/>
                <w:b w:val="1"/>
                <w:bCs w:val="1"/>
                <w:color w:val="auto"/>
              </w:rPr>
              <w:t>Residential</w:t>
            </w:r>
          </w:p>
        </w:tc>
        <w:tc>
          <w:tcPr>
            <w:tcW w:w="21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Construction</w:t>
            </w:r>
          </w:p>
        </w:tc>
        <w:tc>
          <w:tcPr>
            <w:tcW w:w="100" w:type="dxa"/>
            <w:vAlign w:val="bottom"/>
          </w:tcPr>
          <w:p>
            <w:pPr>
              <w:spacing w:after="0"/>
              <w:rPr>
                <w:sz w:val="20"/>
                <w:szCs w:val="20"/>
                <w:color w:val="auto"/>
              </w:rPr>
            </w:pPr>
          </w:p>
        </w:tc>
        <w:tc>
          <w:tcPr>
            <w:tcW w:w="2220" w:type="dxa"/>
            <w:vAlign w:val="bottom"/>
            <w:gridSpan w:val="3"/>
          </w:tcPr>
          <w:p>
            <w:pPr>
              <w:jc w:val="right"/>
              <w:ind w:right="83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195"/>
        </w:trPr>
        <w:tc>
          <w:tcPr>
            <w:tcW w:w="240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4"/>
              </w:rPr>
              <w:t>December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4"/>
              </w:rPr>
              <w:t>December</w:t>
            </w:r>
          </w:p>
        </w:tc>
        <w:tc>
          <w:tcPr>
            <w:tcW w:w="2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w w:val="94"/>
              </w:rPr>
              <w:t>December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1"/>
              <w:spacing w:after="0" w:line="195" w:lineRule="exact"/>
              <w:rPr>
                <w:sz w:val="20"/>
                <w:szCs w:val="20"/>
                <w:color w:val="auto"/>
              </w:rPr>
            </w:pPr>
            <w:r>
              <w:rPr>
                <w:rFonts w:ascii="Arial" w:cs="Arial" w:eastAsia="Arial" w:hAnsi="Arial"/>
                <w:sz w:val="18"/>
                <w:szCs w:val="18"/>
                <w:b w:val="1"/>
                <w:bCs w:val="1"/>
                <w:color w:val="auto"/>
                <w:w w:val="98"/>
              </w:rPr>
              <w:t>December</w:t>
            </w:r>
          </w:p>
        </w:tc>
        <w:tc>
          <w:tcPr>
            <w:tcW w:w="100" w:type="dxa"/>
            <w:vAlign w:val="bottom"/>
          </w:tcPr>
          <w:p>
            <w:pPr>
              <w:spacing w:after="0"/>
              <w:rPr>
                <w:sz w:val="16"/>
                <w:szCs w:val="16"/>
                <w:color w:val="auto"/>
              </w:rPr>
            </w:pPr>
          </w:p>
        </w:tc>
      </w:tr>
      <w:tr>
        <w:trPr>
          <w:trHeight w:val="213"/>
        </w:trPr>
        <w:tc>
          <w:tcPr>
            <w:tcW w:w="2400" w:type="dxa"/>
            <w:vAlign w:val="bottom"/>
          </w:tcPr>
          <w:p>
            <w:pPr>
              <w:spacing w:after="0"/>
              <w:rPr>
                <w:sz w:val="18"/>
                <w:szCs w:val="18"/>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b w:val="1"/>
                <w:bCs w:val="1"/>
                <w:color w:val="auto"/>
              </w:rPr>
              <w:t>June 30,</w:t>
            </w:r>
          </w:p>
        </w:tc>
        <w:tc>
          <w:tcPr>
            <w:tcW w:w="1120" w:type="dxa"/>
            <w:vAlign w:val="bottom"/>
            <w:gridSpan w:val="2"/>
          </w:tcPr>
          <w:p>
            <w:pPr>
              <w:jc w:val="center"/>
              <w:ind w:left="131"/>
              <w:spacing w:after="0"/>
              <w:rPr>
                <w:sz w:val="20"/>
                <w:szCs w:val="20"/>
                <w:color w:val="auto"/>
              </w:rPr>
            </w:pPr>
            <w:r>
              <w:rPr>
                <w:rFonts w:ascii="Arial" w:cs="Arial" w:eastAsia="Arial" w:hAnsi="Arial"/>
                <w:sz w:val="18"/>
                <w:szCs w:val="18"/>
                <w:b w:val="1"/>
                <w:bCs w:val="1"/>
                <w:color w:val="auto"/>
                <w:w w:val="87"/>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020" w:type="dxa"/>
            <w:vAlign w:val="bottom"/>
            <w:gridSpan w:val="2"/>
          </w:tcPr>
          <w:p>
            <w:pPr>
              <w:jc w:val="center"/>
              <w:ind w:left="11"/>
              <w:spacing w:after="0"/>
              <w:rPr>
                <w:sz w:val="20"/>
                <w:szCs w:val="20"/>
                <w:color w:val="auto"/>
              </w:rPr>
            </w:pPr>
            <w:r>
              <w:rPr>
                <w:rFonts w:ascii="Arial" w:cs="Arial" w:eastAsia="Arial" w:hAnsi="Arial"/>
                <w:sz w:val="18"/>
                <w:szCs w:val="18"/>
                <w:b w:val="1"/>
                <w:bCs w:val="1"/>
                <w:color w:val="auto"/>
                <w:w w:val="95"/>
              </w:rPr>
              <w:t>31,</w:t>
            </w:r>
          </w:p>
        </w:tc>
        <w:tc>
          <w:tcPr>
            <w:tcW w:w="20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b w:val="1"/>
                <w:bCs w:val="1"/>
                <w:color w:val="auto"/>
              </w:rPr>
              <w:t>June 30,</w:t>
            </w:r>
          </w:p>
        </w:tc>
        <w:tc>
          <w:tcPr>
            <w:tcW w:w="1220" w:type="dxa"/>
            <w:vAlign w:val="bottom"/>
            <w:gridSpan w:val="2"/>
          </w:tcPr>
          <w:p>
            <w:pPr>
              <w:jc w:val="center"/>
              <w:ind w:left="111"/>
              <w:spacing w:after="0"/>
              <w:rPr>
                <w:sz w:val="20"/>
                <w:szCs w:val="20"/>
                <w:color w:val="auto"/>
              </w:rPr>
            </w:pPr>
            <w:r>
              <w:rPr>
                <w:rFonts w:ascii="Arial" w:cs="Arial" w:eastAsia="Arial" w:hAnsi="Arial"/>
                <w:sz w:val="18"/>
                <w:szCs w:val="18"/>
                <w:b w:val="1"/>
                <w:bCs w:val="1"/>
                <w:color w:val="auto"/>
                <w:w w:val="87"/>
              </w:rPr>
              <w:t>31,</w:t>
            </w:r>
          </w:p>
        </w:tc>
        <w:tc>
          <w:tcPr>
            <w:tcW w:w="100" w:type="dxa"/>
            <w:vAlign w:val="bottom"/>
          </w:tcPr>
          <w:p>
            <w:pPr>
              <w:spacing w:after="0"/>
              <w:rPr>
                <w:sz w:val="18"/>
                <w:szCs w:val="18"/>
                <w:color w:val="auto"/>
              </w:rPr>
            </w:pPr>
          </w:p>
        </w:tc>
      </w:tr>
      <w:tr>
        <w:trPr>
          <w:trHeight w:val="238"/>
        </w:trPr>
        <w:tc>
          <w:tcPr>
            <w:tcW w:w="2400" w:type="dxa"/>
            <w:vAlign w:val="bottom"/>
          </w:tcPr>
          <w:p>
            <w:pPr>
              <w:spacing w:after="0"/>
              <w:rPr>
                <w:sz w:val="20"/>
                <w:szCs w:val="20"/>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3"/>
        </w:trPr>
        <w:tc>
          <w:tcPr>
            <w:tcW w:w="2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3"/>
          </w:tcPr>
          <w:p>
            <w:pPr>
              <w:spacing w:after="0"/>
              <w:rPr>
                <w:sz w:val="18"/>
                <w:szCs w:val="18"/>
                <w:color w:val="auto"/>
              </w:rPr>
            </w:pPr>
          </w:p>
        </w:tc>
        <w:tc>
          <w:tcPr>
            <w:tcW w:w="1120" w:type="dxa"/>
            <w:vAlign w:val="bottom"/>
            <w:gridSpan w:val="3"/>
          </w:tcPr>
          <w:p>
            <w:pPr>
              <w:spacing w:after="0"/>
              <w:rPr>
                <w:sz w:val="18"/>
                <w:szCs w:val="18"/>
                <w:color w:val="auto"/>
              </w:rPr>
            </w:pPr>
          </w:p>
        </w:tc>
        <w:tc>
          <w:tcPr>
            <w:tcW w:w="1220" w:type="dxa"/>
            <w:vAlign w:val="bottom"/>
            <w:gridSpan w:val="3"/>
          </w:tcPr>
          <w:p>
            <w:pPr>
              <w:spacing w:after="0"/>
              <w:rPr>
                <w:sz w:val="18"/>
                <w:szCs w:val="18"/>
                <w:color w:val="auto"/>
              </w:rPr>
            </w:pPr>
          </w:p>
        </w:tc>
        <w:tc>
          <w:tcPr>
            <w:tcW w:w="11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$ 31,353,619</w:t>
            </w:r>
          </w:p>
        </w:tc>
        <w:tc>
          <w:tcPr>
            <w:tcW w:w="1220" w:type="dxa"/>
            <w:vAlign w:val="bottom"/>
            <w:gridSpan w:val="3"/>
            <w:shd w:val="clear" w:color="auto" w:fill="CCEEFF"/>
          </w:tcPr>
          <w:p>
            <w:pPr>
              <w:jc w:val="center"/>
              <w:ind w:left="11"/>
              <w:spacing w:after="0"/>
              <w:rPr>
                <w:sz w:val="20"/>
                <w:szCs w:val="20"/>
                <w:color w:val="auto"/>
              </w:rPr>
            </w:pPr>
            <w:r>
              <w:rPr>
                <w:rFonts w:ascii="Arial" w:cs="Arial" w:eastAsia="Arial" w:hAnsi="Arial"/>
                <w:sz w:val="18"/>
                <w:szCs w:val="18"/>
                <w:color w:val="auto"/>
                <w:w w:val="87"/>
              </w:rPr>
              <w:t>$ 27,589,745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$ 79,504,008</w:t>
            </w:r>
          </w:p>
        </w:tc>
        <w:tc>
          <w:tcPr>
            <w:tcW w:w="12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$ 86,995,949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$ 70,391,515</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$ 70,863,553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$ 181,249,142</w:t>
            </w:r>
          </w:p>
        </w:tc>
        <w:tc>
          <w:tcPr>
            <w:tcW w:w="1220" w:type="dxa"/>
            <w:vAlign w:val="bottom"/>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6"/>
              </w:rPr>
              <w:t>$ 185,449,247</w:t>
            </w:r>
          </w:p>
        </w:tc>
        <w:tc>
          <w:tcPr>
            <w:tcW w:w="100" w:type="dxa"/>
            <w:vAlign w:val="bottom"/>
            <w:shd w:val="clear" w:color="auto" w:fill="CCEEFF"/>
          </w:tcPr>
          <w:p>
            <w:pPr>
              <w:spacing w:after="0"/>
              <w:rPr>
                <w:sz w:val="18"/>
                <w:szCs w:val="18"/>
                <w:color w:val="auto"/>
              </w:rPr>
            </w:pPr>
          </w:p>
        </w:tc>
      </w:tr>
      <w:tr>
        <w:trPr>
          <w:trHeight w:val="220"/>
        </w:trPr>
        <w:tc>
          <w:tcPr>
            <w:tcW w:w="2400" w:type="dxa"/>
            <w:vAlign w:val="bottom"/>
          </w:tcPr>
          <w:p>
            <w:pPr>
              <w:spacing w:after="0"/>
              <w:rPr>
                <w:sz w:val="20"/>
                <w:szCs w:val="20"/>
                <w:color w:val="auto"/>
              </w:rPr>
            </w:pPr>
            <w:r>
              <w:rPr>
                <w:rFonts w:ascii="Arial" w:cs="Arial" w:eastAsia="Arial" w:hAnsi="Arial"/>
                <w:sz w:val="18"/>
                <w:szCs w:val="18"/>
                <w:color w:val="auto"/>
              </w:rPr>
              <w:t>Non-performing</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655,499</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4,589,601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2,939,651</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4,321,123</w:t>
            </w:r>
          </w:p>
        </w:tc>
        <w:tc>
          <w:tcPr>
            <w:tcW w:w="2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502,991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9,566,223</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3,638,824</w:t>
            </w:r>
          </w:p>
        </w:tc>
        <w:tc>
          <w:tcPr>
            <w:tcW w:w="100" w:type="dxa"/>
            <w:vAlign w:val="bottom"/>
          </w:tcPr>
          <w:p>
            <w:pPr>
              <w:spacing w:after="0"/>
              <w:rPr>
                <w:sz w:val="19"/>
                <w:szCs w:val="19"/>
                <w:color w:val="auto"/>
              </w:rPr>
            </w:pPr>
          </w:p>
        </w:tc>
      </w:tr>
      <w:tr>
        <w:trPr>
          <w:trHeight w:val="213"/>
        </w:trPr>
        <w:tc>
          <w:tcPr>
            <w:tcW w:w="2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18"/>
                <w:szCs w:val="18"/>
                <w:color w:val="auto"/>
              </w:rPr>
            </w:pPr>
          </w:p>
        </w:tc>
        <w:tc>
          <w:tcPr>
            <w:tcW w:w="1220" w:type="dxa"/>
            <w:vAlign w:val="bottom"/>
            <w:gridSpan w:val="3"/>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40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color w:val="auto"/>
                <w:w w:val="83"/>
              </w:rPr>
              <w:t>$ 32,009,118</w:t>
            </w:r>
          </w:p>
        </w:tc>
        <w:tc>
          <w:tcPr>
            <w:tcW w:w="1220" w:type="dxa"/>
            <w:vAlign w:val="bottom"/>
            <w:gridSpan w:val="3"/>
          </w:tcPr>
          <w:p>
            <w:pPr>
              <w:jc w:val="center"/>
              <w:ind w:left="11"/>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27,785,927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84,093,609</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89,935,600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74,712,638</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71,366,544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3"/>
              </w:rPr>
              <w:t>$ 190,815,365</w:t>
            </w:r>
          </w:p>
        </w:tc>
        <w:tc>
          <w:tcPr>
            <w:tcW w:w="1220" w:type="dxa"/>
            <w:vAlign w:val="bottom"/>
            <w:gridSpan w:val="2"/>
          </w:tcPr>
          <w:p>
            <w:pPr>
              <w:jc w:val="center"/>
              <w:ind w:left="131"/>
              <w:spacing w:after="0"/>
              <w:rPr>
                <w:sz w:val="20"/>
                <w:szCs w:val="20"/>
                <w:color w:val="auto"/>
              </w:rPr>
            </w:pPr>
            <w:r>
              <w:rPr>
                <w:rFonts w:ascii="Arial" w:cs="Arial" w:eastAsia="Arial" w:hAnsi="Arial"/>
                <w:sz w:val="18"/>
                <w:szCs w:val="18"/>
                <w:color w:val="auto"/>
                <w:w w:val="86"/>
              </w:rPr>
              <w:t>$ 189,088,071</w:t>
            </w:r>
          </w:p>
        </w:tc>
        <w:tc>
          <w:tcPr>
            <w:tcW w:w="10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Non-Accrual Mortgage Loans Held for Investment</w:t>
      </w:r>
    </w:p>
    <w:p>
      <w:pPr>
        <w:spacing w:after="0" w:line="291"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$159,000 and $151,000 as of June 30, 2019 and December 31, 2018,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mortgage loans held for investment on a non-accrual status for the periods presented.</w:t>
      </w:r>
    </w:p>
    <w:p>
      <w:pPr>
        <w:spacing w:after="0" w:line="266"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8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w w:val="88"/>
              </w:rPr>
              <w:t>Mortgage Loans on Non-Accrual Status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As of</w:t>
            </w: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December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June 30</w:t>
            </w:r>
          </w:p>
        </w:tc>
        <w:tc>
          <w:tcPr>
            <w:tcW w:w="80" w:type="dxa"/>
            <w:vAlign w:val="bottom"/>
          </w:tcPr>
          <w:p>
            <w:pPr>
              <w:spacing w:after="0"/>
              <w:rPr>
                <w:sz w:val="18"/>
                <w:szCs w:val="18"/>
                <w:color w:val="auto"/>
              </w:rPr>
            </w:pPr>
          </w:p>
        </w:tc>
        <w:tc>
          <w:tcPr>
            <w:tcW w:w="820" w:type="dxa"/>
            <w:vAlign w:val="bottom"/>
          </w:tcPr>
          <w:p>
            <w:pPr>
              <w:jc w:val="right"/>
              <w:ind w:right="27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84"/>
              </w:rPr>
              <w:t>2019</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4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196,182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Residential</w:t>
            </w:r>
          </w:p>
        </w:tc>
        <w:tc>
          <w:tcPr>
            <w:tcW w:w="3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4,589,601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2,939,651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30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4,321,123</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Total</w:t>
            </w:r>
          </w:p>
        </w:tc>
        <w:tc>
          <w:tcPr>
            <w:tcW w:w="41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9,566,223</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3,638,824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left="500" w:hanging="493"/>
        <w:spacing w:after="0"/>
        <w:tabs>
          <w:tab w:leader="none" w:pos="500"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Loans Held for Sale</w:t>
      </w:r>
    </w:p>
    <w:p>
      <w:pPr>
        <w:spacing w:after="0" w:line="291"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The Company believes the fair value option most closely aligns the timing of the recognition of gains and costs. These loans are intended for sale and the Company believes that the fair value is the best indicator of the resolution of these loans. Electing fair value also reduces certain timing differences and better matches changes in the fair value of these assets with changes in the fair value of the related derivatives used for these assets.</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Interest income is recorded based on the contractual terms of the loan and in accordance with the Company’s policy on mortgage loans held for investment and is included in mortgage fee income on the condensed consolidated statement of earnings. None of these loans are 90 or more days past due nor on nonaccrual status as of June 30, 2019. See Note 8 to the condensed consolidated financial statements for additional disclosures regarding loans held for sale.</w:t>
      </w:r>
    </w:p>
    <w:p>
      <w:pPr>
        <w:sectPr>
          <w:pgSz w:w="11900" w:h="16838" w:orient="portrait"/>
          <w:cols w:equalWidth="0" w:num="1">
            <w:col w:w="11420"/>
          </w:cols>
          <w:pgMar w:left="240" w:top="131"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5" w:name="page26"/>
    <w:bookmarkEnd w:id="25"/>
    <w:p>
      <w:pPr>
        <w:jc w:val="center"/>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9" w:lineRule="exact"/>
        <w:rPr>
          <w:sz w:val="20"/>
          <w:szCs w:val="20"/>
          <w:color w:val="auto"/>
        </w:rPr>
      </w:pPr>
    </w:p>
    <w:p>
      <w:pPr>
        <w:ind w:left="660" w:hanging="653"/>
        <w:spacing w:after="0"/>
        <w:tabs>
          <w:tab w:leader="none" w:pos="660"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Loans Held for Sale</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following is a summary of the aggregate fair value and the aggregate unpaid principal balance of loans held for sale for the periods presented:</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As of</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As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30</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$187,938,302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$136,210,853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182,173,973</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131,663,946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5,764,329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Mortgage Fee Income</w:t>
      </w:r>
    </w:p>
    <w:p>
      <w:pPr>
        <w:spacing w:after="0" w:line="291"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Mortgage fee income consists of origination fees, processing fees, interest income and certain other income related to the origination and sale of mortgage loans held for sale.</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Major categories of mortgage fee income for loans held for sale are as follows:</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jc w:val="right"/>
              <w:ind w:right="440"/>
              <w:spacing w:after="0"/>
              <w:rPr>
                <w:sz w:val="20"/>
                <w:szCs w:val="20"/>
                <w:color w:val="auto"/>
              </w:rPr>
            </w:pPr>
            <w:r>
              <w:rPr>
                <w:rFonts w:ascii="Arial" w:cs="Arial" w:eastAsia="Arial" w:hAnsi="Arial"/>
                <w:sz w:val="18"/>
                <w:szCs w:val="18"/>
                <w:color w:val="auto"/>
                <w:w w:val="97"/>
              </w:rPr>
              <w:t>Three Months Ended</w:t>
            </w:r>
          </w:p>
        </w:tc>
        <w:tc>
          <w:tcPr>
            <w:tcW w:w="2060" w:type="dxa"/>
            <w:vAlign w:val="bottom"/>
            <w:gridSpan w:val="4"/>
          </w:tcPr>
          <w:p>
            <w:pPr>
              <w:jc w:val="right"/>
              <w:ind w:right="400"/>
              <w:spacing w:after="0"/>
              <w:rPr>
                <w:sz w:val="20"/>
                <w:szCs w:val="20"/>
                <w:color w:val="auto"/>
              </w:rPr>
            </w:pPr>
            <w:r>
              <w:rPr>
                <w:rFonts w:ascii="Arial" w:cs="Arial" w:eastAsia="Arial" w:hAnsi="Arial"/>
                <w:sz w:val="18"/>
                <w:szCs w:val="18"/>
                <w:color w:val="auto"/>
              </w:rPr>
              <w:t>Six Months Ended</w:t>
            </w:r>
          </w:p>
        </w:tc>
      </w:tr>
      <w:tr>
        <w:trPr>
          <w:trHeight w:val="232"/>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jc w:val="right"/>
              <w:ind w:right="920"/>
              <w:spacing w:after="0"/>
              <w:rPr>
                <w:sz w:val="20"/>
                <w:szCs w:val="20"/>
                <w:color w:val="auto"/>
              </w:rPr>
            </w:pPr>
            <w:r>
              <w:rPr>
                <w:rFonts w:ascii="Arial" w:cs="Arial" w:eastAsia="Arial" w:hAnsi="Arial"/>
                <w:sz w:val="18"/>
                <w:szCs w:val="18"/>
                <w:color w:val="auto"/>
              </w:rPr>
              <w:t>June 30</w:t>
            </w:r>
          </w:p>
        </w:tc>
        <w:tc>
          <w:tcPr>
            <w:tcW w:w="2060" w:type="dxa"/>
            <w:vAlign w:val="bottom"/>
            <w:gridSpan w:val="4"/>
          </w:tcPr>
          <w:p>
            <w:pPr>
              <w:jc w:val="right"/>
              <w:ind w:right="800"/>
              <w:spacing w:after="0"/>
              <w:rPr>
                <w:sz w:val="20"/>
                <w:szCs w:val="20"/>
                <w:color w:val="auto"/>
              </w:rPr>
            </w:pPr>
            <w:r>
              <w:rPr>
                <w:rFonts w:ascii="Arial" w:cs="Arial" w:eastAsia="Arial" w:hAnsi="Arial"/>
                <w:sz w:val="18"/>
                <w:szCs w:val="18"/>
                <w:color w:val="auto"/>
              </w:rPr>
              <w:t>June 30</w:t>
            </w:r>
          </w:p>
        </w:tc>
      </w:tr>
      <w:tr>
        <w:trPr>
          <w:trHeight w:val="220"/>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Loan fees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8,626,163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7,843,728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$ 13,437,482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$ 13,589,036</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1,690,098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1,588,550</w:t>
            </w:r>
          </w:p>
        </w:tc>
        <w:tc>
          <w:tcPr>
            <w:tcW w:w="920" w:type="dxa"/>
            <w:vAlign w:val="bottom"/>
          </w:tcPr>
          <w:p>
            <w:pPr>
              <w:jc w:val="right"/>
              <w:spacing w:after="0"/>
              <w:rPr>
                <w:sz w:val="20"/>
                <w:szCs w:val="20"/>
                <w:color w:val="auto"/>
              </w:rPr>
            </w:pPr>
            <w:r>
              <w:rPr>
                <w:rFonts w:ascii="Arial" w:cs="Arial" w:eastAsia="Arial" w:hAnsi="Arial"/>
                <w:sz w:val="18"/>
                <w:szCs w:val="18"/>
                <w:color w:val="auto"/>
              </w:rPr>
              <w:t>2,904,730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2,705,004</w:t>
            </w: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Secondary gains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21,201,216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21,765,939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38,585,201</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36,318,341</w:t>
            </w: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Change in fair value of loan commitments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603,797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2,169</w:t>
            </w:r>
          </w:p>
        </w:tc>
        <w:tc>
          <w:tcPr>
            <w:tcW w:w="920" w:type="dxa"/>
            <w:vAlign w:val="bottom"/>
          </w:tcPr>
          <w:p>
            <w:pPr>
              <w:jc w:val="right"/>
              <w:spacing w:after="0"/>
              <w:rPr>
                <w:sz w:val="20"/>
                <w:szCs w:val="20"/>
                <w:color w:val="auto"/>
              </w:rPr>
            </w:pPr>
            <w:r>
              <w:rPr>
                <w:rFonts w:ascii="Arial" w:cs="Arial" w:eastAsia="Arial" w:hAnsi="Arial"/>
                <w:sz w:val="18"/>
                <w:szCs w:val="18"/>
                <w:color w:val="auto"/>
              </w:rPr>
              <w:t>1,536,324</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443,127</w:t>
            </w:r>
          </w:p>
        </w:tc>
      </w:tr>
      <w:tr>
        <w:trPr>
          <w:trHeight w:val="213"/>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loans held for sale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810,755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1,216,586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4,766,844</w:t>
            </w:r>
          </w:p>
        </w:tc>
        <w:tc>
          <w:tcPr>
            <w:tcW w:w="80" w:type="dxa"/>
            <w:vAlign w:val="bottom"/>
            <w:shd w:val="clear" w:color="auto" w:fill="CCEEFF"/>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Provision for loan loss reserve</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(152,506)</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(302,061)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(254,885)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(653,112)</w:t>
            </w:r>
          </w:p>
        </w:tc>
      </w:tr>
      <w:tr>
        <w:trPr>
          <w:trHeight w:val="253"/>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32,946,567</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31,709,080</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57,425,438</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57,169,240</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Loan Loss Reserve</w:t>
      </w:r>
    </w:p>
    <w:p>
      <w:pPr>
        <w:spacing w:after="0" w:line="291"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237"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loan loss reserve that is included in other liabilities and accrued expenses:</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As of</w:t>
            </w:r>
          </w:p>
        </w:tc>
      </w:tr>
      <w:tr>
        <w:trPr>
          <w:trHeight w:val="213"/>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As of</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December</w:t>
            </w:r>
          </w:p>
        </w:tc>
      </w:tr>
      <w:tr>
        <w:trPr>
          <w:trHeight w:val="213"/>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June 30</w:t>
            </w:r>
          </w:p>
        </w:tc>
        <w:tc>
          <w:tcPr>
            <w:tcW w:w="80" w:type="dxa"/>
            <w:vAlign w:val="bottom"/>
          </w:tcPr>
          <w:p>
            <w:pPr>
              <w:spacing w:after="0"/>
              <w:rPr>
                <w:sz w:val="18"/>
                <w:szCs w:val="18"/>
                <w:color w:val="auto"/>
              </w:rPr>
            </w:pPr>
          </w:p>
        </w:tc>
        <w:tc>
          <w:tcPr>
            <w:tcW w:w="820" w:type="dxa"/>
            <w:vAlign w:val="bottom"/>
          </w:tcPr>
          <w:p>
            <w:pPr>
              <w:jc w:val="right"/>
              <w:ind w:right="27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4"/>
              </w:rPr>
              <w:t>2019</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r>
      <w:tr>
        <w:trPr>
          <w:trHeight w:val="213"/>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3,604,869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2,571,524</w:t>
            </w:r>
          </w:p>
        </w:tc>
        <w:tc>
          <w:tcPr>
            <w:tcW w:w="8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Provision on current loan originations (1)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254,885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1,148,334</w:t>
            </w:r>
          </w:p>
        </w:tc>
        <w:tc>
          <w:tcPr>
            <w:tcW w:w="8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Charge-offs, net of recaptured amounts</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(147,444)</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(114,989)</w:t>
            </w:r>
          </w:p>
        </w:tc>
      </w:tr>
      <w:tr>
        <w:trPr>
          <w:trHeight w:val="213"/>
        </w:trPr>
        <w:tc>
          <w:tcPr>
            <w:tcW w:w="20" w:type="dxa"/>
            <w:vAlign w:val="bottom"/>
          </w:tcPr>
          <w:p>
            <w:pPr>
              <w:spacing w:after="0"/>
              <w:rPr>
                <w:sz w:val="18"/>
                <w:szCs w:val="18"/>
                <w:color w:val="auto"/>
              </w:rPr>
            </w:pPr>
          </w:p>
        </w:tc>
        <w:tc>
          <w:tcPr>
            <w:tcW w:w="7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3,712,310</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3,604,869</w:t>
            </w:r>
          </w:p>
        </w:tc>
        <w:tc>
          <w:tcPr>
            <w:tcW w:w="8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 Included in mortgage fee income</w:t>
      </w:r>
    </w:p>
    <w:p>
      <w:pPr>
        <w:spacing w:after="0" w:line="27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The Company believes the loan loss reserve represents probable loan losses incurred as of the balance sheet date. Actual loan loss experience could change, in the near-term, from the established reserve based upon claims that could be asserted by third-party investors. The Company believes there is potential to resolve any alleged claims by third-party investors on acceptable terms. If the Company is unable to resolve such claims on acceptable terms, legal action may ensue. In the event of legal action by any third-party investor, the Company believes it has significant defenses to any such action and intends to vigorously defend itself against such action.</w:t>
      </w:r>
    </w:p>
    <w:p>
      <w:pPr>
        <w:sectPr>
          <w:pgSz w:w="11900" w:h="16838" w:orient="portrait"/>
          <w:cols w:equalWidth="0" w:num="1">
            <w:col w:w="11420"/>
          </w:cols>
          <w:pgMar w:left="240" w:top="118" w:right="239" w:bottom="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26" w:name="page27"/>
    <w:bookmarkEnd w:id="26"/>
    <w:p>
      <w:pPr>
        <w:jc w:val="center"/>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00" w:lineRule="exact"/>
        <w:rPr>
          <w:sz w:val="20"/>
          <w:szCs w:val="20"/>
          <w:color w:val="auto"/>
        </w:rPr>
      </w:pPr>
    </w:p>
    <w:p>
      <w:pPr>
        <w:spacing w:after="0" w:line="295" w:lineRule="exact"/>
        <w:rPr>
          <w:sz w:val="20"/>
          <w:szCs w:val="20"/>
          <w:color w:val="auto"/>
        </w:rPr>
      </w:pPr>
    </w:p>
    <w:p>
      <w:pPr>
        <w:ind w:left="660" w:hanging="653"/>
        <w:spacing w:after="0"/>
        <w:tabs>
          <w:tab w:leader="none" w:pos="660"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Stock Compensation Plans</w:t>
      </w:r>
    </w:p>
    <w:p>
      <w:pPr>
        <w:spacing w:after="0" w:line="291"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The Company has two fixed option plans (the “2013 Plan” and the “2014 Director Plan”). Compensation expense for options issued of $65,037 and $58,053 has been recognized for these plans for the three months ended June 30, 2019 and 2018, respectively, and $129,741 and $116,140 has been recognized for these plans for the six months ended June 30, 2019 and 2018, respectively. As of June 30, 2019, the total unrecognized compensation expense related to the options issued was $108,915, which is expected to be recognized over the vesting period of one year.</w:t>
      </w:r>
    </w:p>
    <w:p>
      <w:pPr>
        <w:spacing w:after="0" w:line="230"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230"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A summary of the status of the Company’s stock compensation plans as of June 30, 2019, and the changes during the six months ended June 30, 2019, are presented below:</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1080" w:type="dxa"/>
            <w:vAlign w:val="bottom"/>
            <w:gridSpan w:val="3"/>
          </w:tcPr>
          <w:p>
            <w:pPr>
              <w:ind w:left="8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Class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Class C</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Exercise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0"/>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7"/>
              </w:rPr>
              <w:t>Price</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4"/>
              </w:rPr>
              <w:t>Shares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7"/>
              </w:rPr>
              <w:t>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1,011,274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577,280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Cancelled</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2019</w:t>
            </w: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997,946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577,280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Options exercisable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921,895</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530,030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As of June 30, 2019:</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Available options for future grant</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299,351</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146,425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contractual term of options outstanding at June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30, 2019</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5.65 years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3.46 years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contractual term of options exercisable at June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30, 2019</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5.53 years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2.93 years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Aggregated intrinsic value of options outstanding at June 30, 2019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822,875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218,010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line="152" w:lineRule="exact"/>
              <w:rPr>
                <w:sz w:val="20"/>
                <w:szCs w:val="20"/>
                <w:color w:val="auto"/>
              </w:rPr>
            </w:pPr>
            <w:r>
              <w:rPr>
                <w:rFonts w:ascii="Arial" w:cs="Arial" w:eastAsia="Arial" w:hAnsi="Arial"/>
                <w:sz w:val="17"/>
                <w:szCs w:val="17"/>
                <w:color w:val="auto"/>
              </w:rPr>
              <w:t>(1)</w:t>
            </w: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Aggregated intrinsic value of options exercisable at June 30, 2019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822,875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218,010</w:t>
            </w:r>
          </w:p>
        </w:tc>
        <w:tc>
          <w:tcPr>
            <w:tcW w:w="16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(1)</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8"/>
          <w:szCs w:val="18"/>
          <w:color w:val="auto"/>
        </w:rPr>
        <w:t>_______________</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 The Company used a stock price of $5.02 as of June 30, 2019 to derive intrinsic value.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Stock Compensation Plans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A summary of the status of the Company’s stock compensation plans as of June 30, 2018, and the changes during the six months ended June 30, 2018, are presented below:</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1080" w:type="dxa"/>
            <w:vAlign w:val="bottom"/>
            <w:gridSpan w:val="3"/>
          </w:tcPr>
          <w:p>
            <w:pPr>
              <w:ind w:left="8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Class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8"/>
                <w:szCs w:val="18"/>
                <w:color w:val="auto"/>
              </w:rPr>
              <w:t>Class C</w:t>
            </w:r>
          </w:p>
        </w:tc>
        <w:tc>
          <w:tcPr>
            <w:tcW w:w="10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Exercise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color w:val="auto"/>
                <w:w w:val="80"/>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7"/>
              </w:rPr>
              <w:t>Price</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4"/>
              </w:rPr>
              <w:t>Shares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7"/>
              </w:rPr>
              <w:t>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880,426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523,603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Cancelled</w:t>
            </w:r>
          </w:p>
        </w:tc>
        <w:tc>
          <w:tcPr>
            <w:tcW w:w="14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(5,704)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523,603</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As of June 30, 2018: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Options exercisable</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777,373</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486,853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As of June 30, 2018:</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Available options for future grant</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421,241</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165,638</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contractual term of options outstanding at June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30, 2018</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6.30 years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2.94 years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contractual term of options exercisable at June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30, 2018</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6.29 years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2.45 years</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Aggregated intrinsic value of options outstanding at June 30, 2018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873,372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267,943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shd w:val="clear" w:color="auto" w:fill="CCEEFF"/>
          </w:tcPr>
          <w:p>
            <w:pPr>
              <w:spacing w:after="0" w:line="152" w:lineRule="exact"/>
              <w:rPr>
                <w:sz w:val="20"/>
                <w:szCs w:val="20"/>
                <w:color w:val="auto"/>
              </w:rPr>
            </w:pPr>
            <w:r>
              <w:rPr>
                <w:rFonts w:ascii="Arial" w:cs="Arial" w:eastAsia="Arial" w:hAnsi="Arial"/>
                <w:sz w:val="17"/>
                <w:szCs w:val="17"/>
                <w:color w:val="auto"/>
              </w:rPr>
              <w:t>(1)</w:t>
            </w:r>
          </w:p>
        </w:tc>
        <w:tc>
          <w:tcPr>
            <w:tcW w:w="1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Aggregated intrinsic value of options exercisable at June 30, 2018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862,976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253,243</w:t>
            </w:r>
          </w:p>
        </w:tc>
        <w:tc>
          <w:tcPr>
            <w:tcW w:w="16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20" w:type="dxa"/>
            <w:vAlign w:val="bottom"/>
            <w:tcBorders>
              <w:bottom w:val="single" w:sz="8" w:color="CCEEFF"/>
            </w:tcBorders>
            <w:shd w:val="clear" w:color="auto" w:fill="CCEEFF"/>
          </w:tcPr>
          <w:p>
            <w:pPr>
              <w:spacing w:after="0" w:line="152" w:lineRule="exact"/>
              <w:rPr>
                <w:sz w:val="20"/>
                <w:szCs w:val="20"/>
                <w:color w:val="auto"/>
              </w:rPr>
            </w:pPr>
            <w:r>
              <w:rPr>
                <w:rFonts w:ascii="Arial" w:cs="Arial" w:eastAsia="Arial" w:hAnsi="Arial"/>
                <w:sz w:val="17"/>
                <w:szCs w:val="17"/>
                <w:color w:val="auto"/>
              </w:rPr>
              <w:t>(1)</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8"/>
          <w:szCs w:val="18"/>
          <w:color w:val="auto"/>
        </w:rPr>
        <w:t>_______________</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 The Company used a stock price of $5.20 as of June 30, 2018 to derive intrinsic value.</w:t>
      </w:r>
    </w:p>
    <w:p>
      <w:pPr>
        <w:spacing w:after="0" w:line="266"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total intrinsic value (which is the amount by which the fair value of the underlying stock exceeds the exercise price of an option on the exercise date) of stock options exercised during the six months June 30, 2019 and 2018 was $15,220 and $111,157,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jc w:val="center"/>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9" w:lineRule="exact"/>
        <w:rPr>
          <w:sz w:val="20"/>
          <w:szCs w:val="20"/>
          <w:color w:val="auto"/>
        </w:rPr>
      </w:pPr>
    </w:p>
    <w:p>
      <w:pPr>
        <w:ind w:left="660" w:hanging="653"/>
        <w:spacing w:after="0"/>
        <w:tabs>
          <w:tab w:leader="none" w:pos="660"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Earnings Per Share</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The basic and diluted earnings per share amounts were calculated as follows:</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6"/>
          </w:tcPr>
          <w:p>
            <w:pPr>
              <w:jc w:val="center"/>
              <w:ind w:right="280"/>
              <w:spacing w:after="0"/>
              <w:rPr>
                <w:sz w:val="20"/>
                <w:szCs w:val="20"/>
                <w:color w:val="auto"/>
              </w:rPr>
            </w:pPr>
            <w:r>
              <w:rPr>
                <w:rFonts w:ascii="Arial" w:cs="Arial" w:eastAsia="Arial" w:hAnsi="Arial"/>
                <w:sz w:val="18"/>
                <w:szCs w:val="18"/>
                <w:color w:val="auto"/>
                <w:w w:val="89"/>
              </w:rPr>
              <w:t>Three Months Ended</w:t>
            </w:r>
          </w:p>
        </w:tc>
        <w:tc>
          <w:tcPr>
            <w:tcW w:w="100" w:type="dxa"/>
            <w:vAlign w:val="bottom"/>
          </w:tcPr>
          <w:p>
            <w:pPr>
              <w:spacing w:after="0"/>
              <w:rPr>
                <w:sz w:val="18"/>
                <w:szCs w:val="18"/>
                <w:color w:val="auto"/>
              </w:rPr>
            </w:pPr>
          </w:p>
        </w:tc>
        <w:tc>
          <w:tcPr>
            <w:tcW w:w="1960" w:type="dxa"/>
            <w:vAlign w:val="bottom"/>
            <w:gridSpan w:val="5"/>
          </w:tcPr>
          <w:p>
            <w:pPr>
              <w:jc w:val="center"/>
              <w:ind w:right="18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6"/>
          </w:tcPr>
          <w:p>
            <w:pPr>
              <w:jc w:val="center"/>
              <w:ind w:right="280"/>
              <w:spacing w:after="0"/>
              <w:rPr>
                <w:sz w:val="20"/>
                <w:szCs w:val="20"/>
                <w:color w:val="auto"/>
              </w:rPr>
            </w:pPr>
            <w:r>
              <w:rPr>
                <w:rFonts w:ascii="Arial" w:cs="Arial" w:eastAsia="Arial" w:hAnsi="Arial"/>
                <w:sz w:val="18"/>
                <w:szCs w:val="18"/>
                <w:color w:val="auto"/>
                <w:w w:val="84"/>
              </w:rPr>
              <w:t>June 30</w:t>
            </w:r>
          </w:p>
        </w:tc>
        <w:tc>
          <w:tcPr>
            <w:tcW w:w="100" w:type="dxa"/>
            <w:vAlign w:val="bottom"/>
          </w:tcPr>
          <w:p>
            <w:pPr>
              <w:spacing w:after="0"/>
              <w:rPr>
                <w:sz w:val="20"/>
                <w:szCs w:val="20"/>
                <w:color w:val="auto"/>
              </w:rPr>
            </w:pPr>
          </w:p>
        </w:tc>
        <w:tc>
          <w:tcPr>
            <w:tcW w:w="1960" w:type="dxa"/>
            <w:vAlign w:val="bottom"/>
            <w:gridSpan w:val="5"/>
          </w:tcPr>
          <w:p>
            <w:pPr>
              <w:jc w:val="center"/>
              <w:ind w:right="180"/>
              <w:spacing w:after="0"/>
              <w:rPr>
                <w:sz w:val="20"/>
                <w:szCs w:val="20"/>
                <w:color w:val="auto"/>
              </w:rPr>
            </w:pPr>
            <w:r>
              <w:rPr>
                <w:rFonts w:ascii="Arial" w:cs="Arial" w:eastAsia="Arial" w:hAnsi="Arial"/>
                <w:sz w:val="18"/>
                <w:szCs w:val="18"/>
                <w:color w:val="auto"/>
                <w:w w:val="84"/>
              </w:rPr>
              <w:t>June 30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2019</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3,480,054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3,238,217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5,410,372</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20,164,140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weighted-average shares outstanding</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17,255,902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17,074,815</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17,247,778</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17,031,804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Employee stock options</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217,902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245,774</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222,948</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217,732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Diluted weighted-average shares outstanding</w:t>
            </w: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17,473,804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17,320,589</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17,470,726</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17,249,536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8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vMerge w:val="continue"/>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Net earnings per share amounts have been retroactively adjusted for the effect of annual stock dividends. For the six months June 30, 2019 and 2018, there were 857,227 and 589,822 of anti-dilutive employee stock option shares, respectively, that were not included in the computation of diluted net earnings per common share as their effect would be anti-dilutive.</w:t>
      </w:r>
    </w:p>
    <w:p>
      <w:pPr>
        <w:spacing w:after="0" w:line="206" w:lineRule="exact"/>
        <w:rPr>
          <w:sz w:val="20"/>
          <w:szCs w:val="20"/>
          <w:color w:val="auto"/>
        </w:rPr>
      </w:pPr>
    </w:p>
    <w:p>
      <w:pPr>
        <w:ind w:right="7180" w:firstLine="7"/>
        <w:spacing w:after="0" w:line="585" w:lineRule="auto"/>
        <w:tabs>
          <w:tab w:leader="none" w:pos="657"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Business Segment Information Description of Products and Services by Segment</w:t>
      </w:r>
    </w:p>
    <w:p>
      <w:pPr>
        <w:jc w:val="both"/>
        <w:spacing w:after="0" w:line="269" w:lineRule="auto"/>
        <w:rPr>
          <w:sz w:val="20"/>
          <w:szCs w:val="20"/>
          <w:color w:val="auto"/>
        </w:rPr>
      </w:pPr>
      <w:r>
        <w:rPr>
          <w:rFonts w:ascii="Arial" w:cs="Arial" w:eastAsia="Arial" w:hAnsi="Arial"/>
          <w:sz w:val="21"/>
          <w:szCs w:val="21"/>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Measurement of Segment Profit or Loss and Segment Assets</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accounting policies of the reportable segments are the same as those described in the Significant Accounting Principles of the Form 10-K for the year ended December 31, 2018. Intersegment revenues are recorded at cost plus an agreed upon intercompany profit, and are eliminated upon consolidation.</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Factors Management Used to Identify the Enterprise’s Reportable Segments</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ectPr>
          <w:pgSz w:w="11900" w:h="16838" w:orient="portrait"/>
          <w:cols w:equalWidth="0" w:num="1">
            <w:col w:w="11420"/>
          </w:cols>
          <w:pgMar w:left="240" w:top="118"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9" w:name="page30"/>
    <w:bookmarkEnd w:id="29"/>
    <w:p>
      <w:pPr>
        <w:jc w:val="center"/>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9" w:lineRule="exact"/>
        <w:rPr>
          <w:sz w:val="20"/>
          <w:szCs w:val="20"/>
          <w:color w:val="auto"/>
        </w:rPr>
      </w:pPr>
    </w:p>
    <w:p>
      <w:pPr>
        <w:ind w:left="660" w:hanging="653"/>
        <w:spacing w:after="0"/>
        <w:tabs>
          <w:tab w:leader="none" w:pos="660"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Business Segment Information</w:t>
      </w:r>
      <w:r>
        <w:rPr>
          <w:rFonts w:ascii="Arial" w:cs="Arial" w:eastAsia="Arial" w:hAnsi="Arial"/>
          <w:sz w:val="21"/>
          <w:szCs w:val="21"/>
          <w:color w:val="auto"/>
        </w:rPr>
        <w:t xml:space="preserve"> (Continued)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Life</w:t>
            </w:r>
          </w:p>
        </w:tc>
        <w:tc>
          <w:tcPr>
            <w:tcW w:w="10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Cemetery/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122"/>
              <w:spacing w:after="0"/>
              <w:rPr>
                <w:sz w:val="20"/>
                <w:szCs w:val="20"/>
                <w:color w:val="auto"/>
              </w:rPr>
            </w:pPr>
            <w:r>
              <w:rPr>
                <w:rFonts w:ascii="Arial" w:cs="Arial" w:eastAsia="Arial" w:hAnsi="Arial"/>
                <w:sz w:val="18"/>
                <w:szCs w:val="18"/>
                <w:color w:val="auto"/>
                <w:w w:val="91"/>
              </w:rPr>
              <w:t>Intercompany</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Insurance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Mortuary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Mortgage</w:t>
            </w:r>
          </w:p>
        </w:tc>
        <w:tc>
          <w:tcPr>
            <w:tcW w:w="1220" w:type="dxa"/>
            <w:vAlign w:val="bottom"/>
            <w:gridSpan w:val="3"/>
          </w:tcPr>
          <w:p>
            <w:pPr>
              <w:jc w:val="right"/>
              <w:ind w:right="162"/>
              <w:spacing w:after="0"/>
              <w:rPr>
                <w:sz w:val="20"/>
                <w:szCs w:val="20"/>
                <w:color w:val="auto"/>
              </w:rPr>
            </w:pPr>
            <w:r>
              <w:rPr>
                <w:rFonts w:ascii="Arial" w:cs="Arial" w:eastAsia="Arial" w:hAnsi="Arial"/>
                <w:sz w:val="18"/>
                <w:szCs w:val="18"/>
                <w:color w:val="auto"/>
                <w:w w:val="98"/>
              </w:rPr>
              <w:t>Eliminations</w:t>
            </w:r>
          </w:p>
        </w:tc>
        <w:tc>
          <w:tcPr>
            <w:tcW w:w="8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500" w:type="dxa"/>
            <w:vAlign w:val="bottom"/>
            <w:gridSpan w:val="3"/>
          </w:tcPr>
          <w:p>
            <w:pPr>
              <w:ind w:left="1160"/>
              <w:spacing w:after="0" w:line="201" w:lineRule="exact"/>
              <w:rPr>
                <w:sz w:val="20"/>
                <w:szCs w:val="20"/>
                <w:color w:val="auto"/>
              </w:rPr>
            </w:pPr>
            <w:r>
              <w:rPr>
                <w:rFonts w:ascii="Arial" w:cs="Arial" w:eastAsia="Arial" w:hAnsi="Arial"/>
                <w:sz w:val="18"/>
                <w:szCs w:val="18"/>
                <w:color w:val="auto"/>
              </w:rPr>
              <w:t>For the Three Months Ended</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500" w:type="dxa"/>
            <w:vAlign w:val="bottom"/>
            <w:gridSpan w:val="3"/>
          </w:tcPr>
          <w:p>
            <w:pPr>
              <w:ind w:left="1160"/>
              <w:spacing w:after="0" w:line="186" w:lineRule="exact"/>
              <w:rPr>
                <w:sz w:val="20"/>
                <w:szCs w:val="20"/>
                <w:color w:val="auto"/>
              </w:rPr>
            </w:pPr>
            <w:r>
              <w:rPr>
                <w:rFonts w:ascii="Arial" w:cs="Arial" w:eastAsia="Arial" w:hAnsi="Arial"/>
                <w:sz w:val="18"/>
                <w:szCs w:val="18"/>
                <w:color w:val="auto"/>
              </w:rPr>
              <w:t>June 30, 2019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160" w:type="dxa"/>
            <w:vAlign w:val="bottom"/>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28,607,056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4,543,007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35,295,119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68,445,182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1,080,347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113,622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124,921</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(1,318,890)</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1,023,782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2,381,060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4,623,843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Three Months Ended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340" w:type="dxa"/>
            <w:vAlign w:val="bottom"/>
            <w:gridSpan w:val="2"/>
          </w:tcPr>
          <w:p>
            <w:pPr>
              <w:spacing w:after="0" w:line="173" w:lineRule="exact"/>
              <w:rPr>
                <w:sz w:val="20"/>
                <w:szCs w:val="20"/>
                <w:color w:val="auto"/>
              </w:rPr>
            </w:pPr>
            <w:r>
              <w:rPr>
                <w:rFonts w:ascii="Arial" w:cs="Arial" w:eastAsia="Arial" w:hAnsi="Arial"/>
                <w:sz w:val="18"/>
                <w:szCs w:val="18"/>
                <w:color w:val="auto"/>
              </w:rPr>
              <w:t>June 30, 2018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160" w:type="dxa"/>
            <w:vAlign w:val="bottom"/>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29,370,509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5,281,005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34,213,612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68,865,126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987,994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107,021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132,282</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(1,227,297)</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2,937,037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2,071,666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(846,472)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4,162,231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Six Months Ended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340" w:type="dxa"/>
            <w:vAlign w:val="bottom"/>
            <w:gridSpan w:val="2"/>
          </w:tcPr>
          <w:p>
            <w:pPr>
              <w:spacing w:after="0" w:line="173" w:lineRule="exact"/>
              <w:rPr>
                <w:sz w:val="20"/>
                <w:szCs w:val="20"/>
                <w:color w:val="auto"/>
              </w:rPr>
            </w:pPr>
            <w:r>
              <w:rPr>
                <w:rFonts w:ascii="Arial" w:cs="Arial" w:eastAsia="Arial" w:hAnsi="Arial"/>
                <w:sz w:val="18"/>
                <w:szCs w:val="18"/>
                <w:color w:val="auto"/>
              </w:rPr>
              <w:t>June 30, 2019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160" w:type="dxa"/>
            <w:vAlign w:val="bottom"/>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59,112,424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8,902,292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61,924,301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129,939,017</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1,975,719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230,273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251,279</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(2,457,271)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3,304,342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2,208,647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1,543,013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7,056,002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929,442,236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87,450,987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202,723,000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89"/>
              </w:rPr>
              <w:t>(116,673,063)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1,102,943,160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2,765,570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754,018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3,519,588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160" w:type="dxa"/>
            <w:vAlign w:val="bottom"/>
          </w:tcPr>
          <w:p>
            <w:pPr>
              <w:spacing w:after="0"/>
              <w:rPr>
                <w:sz w:val="22"/>
                <w:szCs w:val="22"/>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932,207,806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88,205,005</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202,723,000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(116,673,063</w:t>
            </w: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1,106,462,748</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9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Six Months Ended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3340" w:type="dxa"/>
            <w:vAlign w:val="bottom"/>
            <w:gridSpan w:val="2"/>
          </w:tcPr>
          <w:p>
            <w:pPr>
              <w:spacing w:after="0" w:line="173" w:lineRule="exact"/>
              <w:rPr>
                <w:sz w:val="20"/>
                <w:szCs w:val="20"/>
                <w:color w:val="auto"/>
              </w:rPr>
            </w:pPr>
            <w:r>
              <w:rPr>
                <w:rFonts w:ascii="Arial" w:cs="Arial" w:eastAsia="Arial" w:hAnsi="Arial"/>
                <w:sz w:val="18"/>
                <w:szCs w:val="18"/>
                <w:color w:val="auto"/>
              </w:rPr>
              <w:t>June 30, 2018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160" w:type="dxa"/>
            <w:vAlign w:val="bottom"/>
          </w:tcPr>
          <w:p>
            <w:pPr>
              <w:spacing w:after="0"/>
              <w:rPr>
                <w:sz w:val="20"/>
                <w:szCs w:val="20"/>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80,236,374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9,051,414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61,653,447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150,941,235</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Intersegment revenues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1,807,286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216,038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265,879</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(2,289,203)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26,648,846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2,932,429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(4,231,863)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25,349,412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919,115,726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95,779,077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185,865,711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89"/>
              </w:rPr>
              <w:t>(135,776,637)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1,064,983,877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2,765,570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2,765,570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1160" w:type="dxa"/>
            <w:vAlign w:val="bottom"/>
          </w:tcPr>
          <w:p>
            <w:pPr>
              <w:spacing w:after="0"/>
              <w:rPr>
                <w:sz w:val="22"/>
                <w:szCs w:val="22"/>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921,881,296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95,779,077</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185,865,711</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(135,776,637</w:t>
            </w: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1,067,749,447</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8"/>
        </w:trPr>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00" w:lineRule="exact"/>
        <w:rPr>
          <w:sz w:val="20"/>
          <w:szCs w:val="20"/>
          <w:color w:val="auto"/>
        </w:rPr>
      </w:pPr>
    </w:p>
    <w:p>
      <w:pPr>
        <w:spacing w:after="0" w:line="290" w:lineRule="exact"/>
        <w:rPr>
          <w:sz w:val="20"/>
          <w:szCs w:val="20"/>
          <w:color w:val="auto"/>
        </w:rPr>
      </w:pPr>
    </w:p>
    <w:p>
      <w:pPr>
        <w:ind w:left="660" w:hanging="653"/>
        <w:spacing w:after="0"/>
        <w:tabs>
          <w:tab w:leader="none" w:pos="660"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Fair Value of Financial Instruments</w:t>
      </w:r>
    </w:p>
    <w:p>
      <w:pPr>
        <w:spacing w:after="0" w:line="29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218" w:lineRule="exact"/>
        <w:rPr>
          <w:sz w:val="20"/>
          <w:szCs w:val="20"/>
          <w:color w:val="auto"/>
        </w:rPr>
      </w:pPr>
    </w:p>
    <w:p>
      <w:pPr>
        <w:jc w:val="both"/>
        <w:spacing w:after="0" w:line="294" w:lineRule="auto"/>
        <w:rPr>
          <w:sz w:val="20"/>
          <w:szCs w:val="20"/>
          <w:color w:val="auto"/>
        </w:rPr>
      </w:pPr>
      <w:r>
        <w:rPr>
          <w:rFonts w:ascii="Arial" w:cs="Arial" w:eastAsia="Arial" w:hAnsi="Arial"/>
          <w:sz w:val="21"/>
          <w:szCs w:val="21"/>
          <w:i w:val="1"/>
          <w:iCs w:val="1"/>
          <w:color w:val="auto"/>
        </w:rPr>
        <w:t xml:space="preserve">Level 1: </w:t>
      </w:r>
      <w:r>
        <w:rPr>
          <w:rFonts w:ascii="Arial" w:cs="Arial" w:eastAsia="Arial" w:hAnsi="Arial"/>
          <w:sz w:val="21"/>
          <w:szCs w:val="21"/>
          <w:color w:val="auto"/>
        </w:rPr>
        <w:t>Financial assets and financial liabilities whose values are based on unadjusted quoted prices for identical assets or liabilities</w:t>
      </w:r>
      <w:r>
        <w:rPr>
          <w:rFonts w:ascii="Arial" w:cs="Arial" w:eastAsia="Arial" w:hAnsi="Arial"/>
          <w:sz w:val="21"/>
          <w:szCs w:val="21"/>
          <w:i w:val="1"/>
          <w:iCs w:val="1"/>
          <w:color w:val="auto"/>
        </w:rPr>
        <w:t xml:space="preserve"> </w:t>
      </w:r>
      <w:r>
        <w:rPr>
          <w:rFonts w:ascii="Arial" w:cs="Arial" w:eastAsia="Arial" w:hAnsi="Arial"/>
          <w:sz w:val="21"/>
          <w:szCs w:val="21"/>
          <w:color w:val="auto"/>
        </w:rPr>
        <w:t>in an active market that the Company can access.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 xml:space="preserve">Level 2: </w:t>
      </w:r>
      <w:r>
        <w:rPr>
          <w:rFonts w:ascii="Arial" w:cs="Arial" w:eastAsia="Arial" w:hAnsi="Arial"/>
          <w:sz w:val="21"/>
          <w:szCs w:val="21"/>
          <w:color w:val="auto"/>
        </w:rPr>
        <w:t>Financial assets and financial liabilities whose values are based on the following:</w:t>
      </w:r>
    </w:p>
    <w:p>
      <w:pPr>
        <w:spacing w:after="0" w:line="287" w:lineRule="exact"/>
        <w:rPr>
          <w:sz w:val="20"/>
          <w:szCs w:val="20"/>
          <w:color w:val="auto"/>
        </w:rPr>
      </w:pPr>
    </w:p>
    <w:p>
      <w:pPr>
        <w:ind w:left="700" w:hanging="41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7" w:lineRule="exact"/>
        <w:rPr>
          <w:rFonts w:ascii="Arial" w:cs="Arial" w:eastAsia="Arial" w:hAnsi="Arial"/>
          <w:sz w:val="18"/>
          <w:szCs w:val="18"/>
          <w:color w:val="auto"/>
        </w:rPr>
      </w:pPr>
    </w:p>
    <w:p>
      <w:pPr>
        <w:ind w:left="700" w:hanging="421"/>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or</w:t>
      </w:r>
    </w:p>
    <w:p>
      <w:pPr>
        <w:spacing w:after="0" w:line="6" w:lineRule="exact"/>
        <w:rPr>
          <w:rFonts w:ascii="Arial" w:cs="Arial" w:eastAsia="Arial" w:hAnsi="Arial"/>
          <w:sz w:val="18"/>
          <w:szCs w:val="18"/>
          <w:color w:val="auto"/>
        </w:rPr>
      </w:pPr>
    </w:p>
    <w:p>
      <w:pPr>
        <w:ind w:left="700" w:hanging="41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266" w:lineRule="exact"/>
        <w:rPr>
          <w:sz w:val="20"/>
          <w:szCs w:val="20"/>
          <w:color w:val="auto"/>
        </w:rPr>
      </w:pPr>
    </w:p>
    <w:p>
      <w:pPr>
        <w:jc w:val="both"/>
        <w:spacing w:after="0" w:line="299" w:lineRule="auto"/>
        <w:rPr>
          <w:sz w:val="20"/>
          <w:szCs w:val="20"/>
          <w:color w:val="auto"/>
        </w:rPr>
      </w:pPr>
      <w:r>
        <w:rPr>
          <w:rFonts w:ascii="Arial" w:cs="Arial" w:eastAsia="Arial" w:hAnsi="Arial"/>
          <w:sz w:val="20"/>
          <w:szCs w:val="20"/>
          <w:i w:val="1"/>
          <w:iCs w:val="1"/>
          <w:color w:val="auto"/>
        </w:rPr>
        <w:t xml:space="preserve">Level 3: </w:t>
      </w:r>
      <w:r>
        <w:rPr>
          <w:rFonts w:ascii="Arial" w:cs="Arial" w:eastAsia="Arial" w:hAnsi="Arial"/>
          <w:sz w:val="20"/>
          <w:szCs w:val="20"/>
          <w:color w:val="auto"/>
        </w:rPr>
        <w:t>Financial assets and financial liabilities whose values are based on prices or valuation techniques that require inputs that are</w:t>
      </w:r>
      <w:r>
        <w:rPr>
          <w:rFonts w:ascii="Arial" w:cs="Arial" w:eastAsia="Arial" w:hAnsi="Arial"/>
          <w:sz w:val="20"/>
          <w:szCs w:val="20"/>
          <w:i w:val="1"/>
          <w:iCs w:val="1"/>
          <w:color w:val="auto"/>
        </w:rPr>
        <w:t xml:space="preserve"> </w:t>
      </w:r>
      <w:r>
        <w:rPr>
          <w:rFonts w:ascii="Arial" w:cs="Arial" w:eastAsia="Arial" w:hAnsi="Arial"/>
          <w:sz w:val="20"/>
          <w:szCs w:val="20"/>
          <w:color w:val="auto"/>
        </w:rPr>
        <w:t>both unobservable and significant to the overall fair value measurement. These inputs may reflect the Company’s estimates of the assumptions that market participants would use in valuing the financial assets and financial liabilities.</w:t>
      </w: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Company utilizes a combination of third-party valuation service providers, brokers, and internal valuation models to determine fair value.</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following methods and assumptions were used by the Company in estimating the fair value disclosures related to significant financial instruments.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The items shown under Level 1 and Level 2 are valued as follows: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Equity Securities</w:t>
      </w:r>
      <w:r>
        <w:rPr>
          <w:rFonts w:ascii="Arial" w:cs="Arial" w:eastAsia="Arial" w:hAnsi="Arial"/>
          <w:sz w:val="21"/>
          <w:szCs w:val="21"/>
          <w:i w:val="1"/>
          <w:iCs w:val="1"/>
          <w:color w:val="auto"/>
        </w:rPr>
        <w:t xml:space="preserve">: </w:t>
      </w:r>
      <w:r>
        <w:rPr>
          <w:rFonts w:ascii="Arial" w:cs="Arial" w:eastAsia="Arial" w:hAnsi="Arial"/>
          <w:sz w:val="21"/>
          <w:szCs w:val="21"/>
          <w:color w:val="auto"/>
        </w:rPr>
        <w:t>The fair values for equity securities are based on quoted market prices.</w:t>
      </w:r>
    </w:p>
    <w:p>
      <w:pPr>
        <w:spacing w:after="0" w:line="29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i w:val="1"/>
          <w:iCs w:val="1"/>
          <w:u w:val="single" w:color="auto"/>
          <w:color w:val="auto"/>
        </w:rPr>
        <w:t>Restricted Assets</w:t>
      </w:r>
      <w:r>
        <w:rPr>
          <w:rFonts w:ascii="Arial" w:cs="Arial" w:eastAsia="Arial" w:hAnsi="Arial"/>
          <w:sz w:val="21"/>
          <w:szCs w:val="21"/>
          <w:i w:val="1"/>
          <w:iCs w:val="1"/>
          <w:color w:val="auto"/>
        </w:rPr>
        <w:t xml:space="preserve">: </w:t>
      </w:r>
      <w:r>
        <w:rPr>
          <w:rFonts w:ascii="Arial" w:cs="Arial" w:eastAsia="Arial" w:hAnsi="Arial"/>
          <w:sz w:val="21"/>
          <w:szCs w:val="21"/>
          <w:color w:val="auto"/>
        </w:rPr>
        <w:t>A portion of these assets include mutual funds and equity securities that have quoted market prices that are used to</w:t>
      </w:r>
      <w:r>
        <w:rPr>
          <w:rFonts w:ascii="Arial" w:cs="Arial" w:eastAsia="Arial" w:hAnsi="Arial"/>
          <w:sz w:val="21"/>
          <w:szCs w:val="21"/>
          <w:i w:val="1"/>
          <w:iCs w:val="1"/>
          <w:color w:val="auto"/>
        </w:rPr>
        <w:t xml:space="preserve"> </w:t>
      </w:r>
      <w:r>
        <w:rPr>
          <w:rFonts w:ascii="Arial" w:cs="Arial" w:eastAsia="Arial" w:hAnsi="Arial"/>
          <w:sz w:val="21"/>
          <w:szCs w:val="21"/>
          <w:color w:val="auto"/>
        </w:rPr>
        <w:t>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229" w:lineRule="exact"/>
        <w:rPr>
          <w:sz w:val="20"/>
          <w:szCs w:val="20"/>
          <w:color w:val="auto"/>
        </w:rPr>
      </w:pPr>
    </w:p>
    <w:p>
      <w:pPr>
        <w:jc w:val="both"/>
        <w:spacing w:after="0" w:line="321" w:lineRule="auto"/>
        <w:rPr>
          <w:sz w:val="20"/>
          <w:szCs w:val="20"/>
          <w:color w:val="auto"/>
        </w:rPr>
      </w:pPr>
      <w:r>
        <w:rPr>
          <w:rFonts w:ascii="Arial" w:cs="Arial" w:eastAsia="Arial" w:hAnsi="Arial"/>
          <w:sz w:val="19"/>
          <w:szCs w:val="19"/>
          <w:i w:val="1"/>
          <w:iCs w:val="1"/>
          <w:u w:val="single" w:color="auto"/>
          <w:color w:val="auto"/>
        </w:rPr>
        <w:t>Cemetery Endowment Care Trust Investments</w:t>
      </w:r>
      <w:r>
        <w:rPr>
          <w:rFonts w:ascii="Arial" w:cs="Arial" w:eastAsia="Arial" w:hAnsi="Arial"/>
          <w:sz w:val="19"/>
          <w:szCs w:val="19"/>
          <w:i w:val="1"/>
          <w:iCs w:val="1"/>
          <w:color w:val="auto"/>
        </w:rPr>
        <w:t xml:space="preserve">: </w:t>
      </w:r>
      <w:r>
        <w:rPr>
          <w:rFonts w:ascii="Arial" w:cs="Arial" w:eastAsia="Arial" w:hAnsi="Arial"/>
          <w:sz w:val="19"/>
          <w:szCs w:val="19"/>
          <w:color w:val="auto"/>
        </w:rPr>
        <w:t>A portion of these assets include equity securities that have quoted market prices that</w:t>
      </w:r>
      <w:r>
        <w:rPr>
          <w:rFonts w:ascii="Arial" w:cs="Arial" w:eastAsia="Arial" w:hAnsi="Arial"/>
          <w:sz w:val="19"/>
          <w:szCs w:val="19"/>
          <w:i w:val="1"/>
          <w:iCs w:val="1"/>
          <w:color w:val="auto"/>
        </w:rPr>
        <w:t xml:space="preserve"> </w:t>
      </w:r>
      <w:r>
        <w:rPr>
          <w:rFonts w:ascii="Arial" w:cs="Arial" w:eastAsia="Arial" w:hAnsi="Arial"/>
          <w:sz w:val="19"/>
          <w:szCs w:val="19"/>
          <w:color w:val="auto"/>
        </w:rPr>
        <w:t>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Call and Put Options</w:t>
      </w:r>
      <w:r>
        <w:rPr>
          <w:rFonts w:ascii="Arial" w:cs="Arial" w:eastAsia="Arial" w:hAnsi="Arial"/>
          <w:sz w:val="21"/>
          <w:szCs w:val="21"/>
          <w:i w:val="1"/>
          <w:iCs w:val="1"/>
          <w:color w:val="auto"/>
        </w:rPr>
        <w:t xml:space="preserve">: </w:t>
      </w:r>
      <w:r>
        <w:rPr>
          <w:rFonts w:ascii="Arial" w:cs="Arial" w:eastAsia="Arial" w:hAnsi="Arial"/>
          <w:sz w:val="21"/>
          <w:szCs w:val="21"/>
          <w:color w:val="auto"/>
        </w:rPr>
        <w:t>The fair values for call and put options are based on quoted market prices.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Additionally, there were no transfers between Level 1 and Level 2 in the fair value hierarchy.</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The items shown under Level 3 are valued as follows:</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21"/>
          <w:szCs w:val="21"/>
          <w:i w:val="1"/>
          <w:iCs w:val="1"/>
          <w:u w:val="single" w:color="auto"/>
          <w:color w:val="auto"/>
        </w:rPr>
        <w:t>Loans Held for Sale</w:t>
      </w:r>
      <w:r>
        <w:rPr>
          <w:rFonts w:ascii="Arial" w:cs="Arial" w:eastAsia="Arial" w:hAnsi="Arial"/>
          <w:sz w:val="21"/>
          <w:szCs w:val="21"/>
          <w:i w:val="1"/>
          <w:iCs w:val="1"/>
          <w:color w:val="auto"/>
        </w:rPr>
        <w:t xml:space="preserve">: </w:t>
      </w:r>
      <w:r>
        <w:rPr>
          <w:rFonts w:ascii="Arial" w:cs="Arial" w:eastAsia="Arial" w:hAnsi="Arial"/>
          <w:sz w:val="21"/>
          <w:szCs w:val="21"/>
          <w:color w:val="auto"/>
        </w:rPr>
        <w:t>The Company elected the fair value option for loans held for sale. The fair value is based on quoted market</w:t>
      </w:r>
      <w:r>
        <w:rPr>
          <w:rFonts w:ascii="Arial" w:cs="Arial" w:eastAsia="Arial" w:hAnsi="Arial"/>
          <w:sz w:val="21"/>
          <w:szCs w:val="21"/>
          <w:i w:val="1"/>
          <w:iCs w:val="1"/>
          <w:color w:val="auto"/>
        </w:rPr>
        <w:t xml:space="preserve"> </w:t>
      </w:r>
      <w:r>
        <w:rPr>
          <w:rFonts w:ascii="Arial" w:cs="Arial" w:eastAsia="Arial" w:hAnsi="Arial"/>
          <w:sz w:val="21"/>
          <w:szCs w:val="21"/>
          <w:color w:val="auto"/>
        </w:rPr>
        <w:t>prices, when available. When a quoted market price is not readily available, the Company uses the market price from its last sale of similar assets.</w:t>
      </w:r>
    </w:p>
    <w:p>
      <w:pPr>
        <w:sectPr>
          <w:pgSz w:w="11900" w:h="16838" w:orient="portrait"/>
          <w:cols w:equalWidth="0" w:num="1">
            <w:col w:w="11420"/>
          </w:cols>
          <w:pgMar w:left="240" w:top="131"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1" w:name="page32"/>
    <w:bookmarkEnd w:id="31"/>
    <w:p>
      <w:pPr>
        <w:jc w:val="center"/>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9" w:lineRule="exact"/>
        <w:rPr>
          <w:sz w:val="20"/>
          <w:szCs w:val="20"/>
          <w:color w:val="auto"/>
        </w:rPr>
      </w:pPr>
    </w:p>
    <w:p>
      <w:pPr>
        <w:ind w:left="660" w:hanging="653"/>
        <w:spacing w:after="0"/>
        <w:tabs>
          <w:tab w:leader="none" w:pos="660"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Fair Value of Financial Instruments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270" w:lineRule="auto"/>
        <w:rPr>
          <w:sz w:val="20"/>
          <w:szCs w:val="20"/>
          <w:color w:val="auto"/>
        </w:rPr>
      </w:pPr>
      <w:r>
        <w:rPr>
          <w:rFonts w:ascii="Arial" w:cs="Arial" w:eastAsia="Arial" w:hAnsi="Arial"/>
          <w:sz w:val="21"/>
          <w:szCs w:val="21"/>
          <w:i w:val="1"/>
          <w:iCs w:val="1"/>
          <w:u w:val="single" w:color="auto"/>
          <w:color w:val="auto"/>
        </w:rPr>
        <w:t>Loan Commitments and Forward Sale Commitments</w:t>
      </w:r>
      <w:r>
        <w:rPr>
          <w:rFonts w:ascii="Arial" w:cs="Arial" w:eastAsia="Arial" w:hAnsi="Arial"/>
          <w:sz w:val="21"/>
          <w:szCs w:val="21"/>
          <w:color w:val="auto"/>
        </w:rPr>
        <w:t>: The Company’s mortgage segment enters into loan commitments with potential</w:t>
      </w:r>
      <w:r>
        <w:rPr>
          <w:rFonts w:ascii="Arial" w:cs="Arial" w:eastAsia="Arial" w:hAnsi="Arial"/>
          <w:sz w:val="21"/>
          <w:szCs w:val="21"/>
          <w:i w:val="1"/>
          <w:iCs w:val="1"/>
          <w:color w:val="auto"/>
        </w:rPr>
        <w:t xml:space="preserve"> </w:t>
      </w:r>
      <w:r>
        <w:rPr>
          <w:rFonts w:ascii="Arial" w:cs="Arial" w:eastAsia="Arial" w:hAnsi="Arial"/>
          <w:sz w:val="21"/>
          <w:szCs w:val="21"/>
          <w:color w:val="auto"/>
        </w:rPr>
        <w:t>borrowers and 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235"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0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i w:val="1"/>
          <w:iCs w:val="1"/>
          <w:u w:val="single" w:color="auto"/>
          <w:color w:val="auto"/>
        </w:rPr>
        <w:t>Impaired Mortgage Loans Held for Investment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believes that the fair value of these nonperforming loans will</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 the unpaid 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Marshall and Swift, a provider of building cost information to the real estate construction.</w:t>
      </w:r>
    </w:p>
    <w:p>
      <w:pPr>
        <w:spacing w:after="0" w:line="204" w:lineRule="exact"/>
        <w:rPr>
          <w:sz w:val="20"/>
          <w:szCs w:val="20"/>
          <w:color w:val="auto"/>
        </w:rPr>
      </w:pPr>
    </w:p>
    <w:p>
      <w:pPr>
        <w:jc w:val="both"/>
        <w:spacing w:after="0" w:line="312" w:lineRule="auto"/>
        <w:rPr>
          <w:sz w:val="20"/>
          <w:szCs w:val="20"/>
          <w:color w:val="auto"/>
        </w:rPr>
      </w:pPr>
      <w:r>
        <w:rPr>
          <w:rFonts w:ascii="Arial" w:cs="Arial" w:eastAsia="Arial" w:hAnsi="Arial"/>
          <w:sz w:val="19"/>
          <w:szCs w:val="19"/>
          <w:i w:val="1"/>
          <w:iCs w:val="1"/>
          <w:u w:val="single" w:color="auto"/>
          <w:color w:val="auto"/>
        </w:rPr>
        <w:t>Real Estate Held for Investment</w:t>
      </w:r>
      <w:r>
        <w:rPr>
          <w:rFonts w:ascii="Arial" w:cs="Arial" w:eastAsia="Arial" w:hAnsi="Arial"/>
          <w:sz w:val="19"/>
          <w:szCs w:val="19"/>
          <w:color w:val="auto"/>
        </w:rPr>
        <w:t>: The Company believes that in an orderly market, fair value will approximate the replacement cost</w:t>
      </w:r>
      <w:r>
        <w:rPr>
          <w:rFonts w:ascii="Arial" w:cs="Arial" w:eastAsia="Arial" w:hAnsi="Arial"/>
          <w:sz w:val="19"/>
          <w:szCs w:val="19"/>
          <w:i w:val="1"/>
          <w:iCs w:val="1"/>
          <w:color w:val="auto"/>
        </w:rPr>
        <w:t xml:space="preserve"> </w:t>
      </w:r>
      <w:r>
        <w:rPr>
          <w:rFonts w:ascii="Arial" w:cs="Arial" w:eastAsia="Arial" w:hAnsi="Arial"/>
          <w:sz w:val="19"/>
          <w:szCs w:val="19"/>
          <w:color w:val="auto"/>
        </w:rPr>
        <w:t>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96"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It should be noted that for replacement cost, when determining the fair value of mortgage properties, the Company uses Marshall and Swift,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comparables and property condition when determining fair value.</w:t>
      </w:r>
    </w:p>
    <w:p>
      <w:pPr>
        <w:spacing w:after="0" w:line="213" w:lineRule="exact"/>
        <w:rPr>
          <w:sz w:val="20"/>
          <w:szCs w:val="20"/>
          <w:color w:val="auto"/>
        </w:rPr>
      </w:pPr>
    </w:p>
    <w:p>
      <w:pPr>
        <w:jc w:val="both"/>
        <w:spacing w:after="0" w:line="351" w:lineRule="auto"/>
        <w:rPr>
          <w:sz w:val="20"/>
          <w:szCs w:val="20"/>
          <w:color w:val="auto"/>
        </w:rPr>
      </w:pPr>
      <w:r>
        <w:rPr>
          <w:rFonts w:ascii="Arial" w:cs="Arial" w:eastAsia="Arial" w:hAnsi="Arial"/>
          <w:sz w:val="19"/>
          <w:szCs w:val="19"/>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60" w:lineRule="exact"/>
        <w:rPr>
          <w:sz w:val="20"/>
          <w:szCs w:val="20"/>
          <w:color w:val="auto"/>
        </w:rPr>
      </w:pPr>
    </w:p>
    <w:p>
      <w:pPr>
        <w:jc w:val="both"/>
        <w:spacing w:after="0" w:line="272" w:lineRule="auto"/>
        <w:rPr>
          <w:sz w:val="20"/>
          <w:szCs w:val="20"/>
          <w:color w:val="auto"/>
        </w:rPr>
      </w:pPr>
      <w:r>
        <w:rPr>
          <w:rFonts w:ascii="Arial" w:cs="Arial" w:eastAsia="Arial" w:hAnsi="Arial"/>
          <w:sz w:val="21"/>
          <w:szCs w:val="21"/>
          <w:i w:val="1"/>
          <w:iCs w:val="1"/>
          <w:u w:val="single" w:color="auto"/>
          <w:color w:val="auto"/>
        </w:rPr>
        <w:t>Mortgage Servicing Rights</w:t>
      </w:r>
      <w:r>
        <w:rPr>
          <w:rFonts w:ascii="Arial" w:cs="Arial" w:eastAsia="Arial" w:hAnsi="Arial"/>
          <w:sz w:val="21"/>
          <w:szCs w:val="21"/>
          <w:color w:val="auto"/>
        </w:rPr>
        <w:t>: The Company initially recognizes Mortgage Servicing Rights (“MSRs”) at their estimated fair values</w:t>
      </w:r>
      <w:r>
        <w:rPr>
          <w:rFonts w:ascii="Arial" w:cs="Arial" w:eastAsia="Arial" w:hAnsi="Arial"/>
          <w:sz w:val="21"/>
          <w:szCs w:val="21"/>
          <w:i w:val="1"/>
          <w:iCs w:val="1"/>
          <w:color w:val="auto"/>
        </w:rPr>
        <w:t xml:space="preserve"> </w:t>
      </w:r>
      <w:r>
        <w:rPr>
          <w:rFonts w:ascii="Arial" w:cs="Arial" w:eastAsia="Arial" w:hAnsi="Arial"/>
          <w:sz w:val="21"/>
          <w:szCs w:val="21"/>
          <w:color w:val="auto"/>
        </w:rPr>
        <w:t>derived from the net cash flows associated with the servicing contracts, where the Company assumes the obligation to service the loan in the sale transaction. The precise fair value of MSRs cannot be readily determined because MSRs are not actively traded in stand-alone markets. Considerable judgment is required to estimate the fair values of these assets and the exercise of such judgment can significantly affect the Company’s earnings.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21"/>
          <w:szCs w:val="21"/>
          <w:color w:val="auto"/>
        </w:rPr>
        <w:t>SECURITY NATIONAL FINANCIAL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June 30, 2019 (Unaudited)</w:t>
      </w:r>
    </w:p>
    <w:p>
      <w:pPr>
        <w:spacing w:after="0" w:line="286" w:lineRule="exact"/>
        <w:rPr>
          <w:sz w:val="20"/>
          <w:szCs w:val="20"/>
          <w:color w:val="auto"/>
        </w:rPr>
      </w:pPr>
    </w:p>
    <w:p>
      <w:pPr>
        <w:ind w:left="660" w:hanging="653"/>
        <w:spacing w:after="0"/>
        <w:tabs>
          <w:tab w:leader="none" w:pos="660"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Fair Value of Financial Instruments</w:t>
      </w:r>
      <w:r>
        <w:rPr>
          <w:rFonts w:ascii="Arial" w:cs="Arial" w:eastAsia="Arial" w:hAnsi="Arial"/>
          <w:sz w:val="21"/>
          <w:szCs w:val="21"/>
          <w:color w:val="auto"/>
        </w:rPr>
        <w:t xml:space="preserve"> (Continued)</w:t>
      </w:r>
    </w:p>
    <w:p>
      <w:pPr>
        <w:spacing w:after="0" w:line="287"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June 30, 2019.</w:t>
      </w:r>
    </w:p>
    <w:p>
      <w:pPr>
        <w:spacing w:after="0" w:line="232"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Quoted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Prices in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Active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Markets for</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Identical</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Observable</w:t>
            </w:r>
          </w:p>
        </w:tc>
        <w:tc>
          <w:tcPr>
            <w:tcW w:w="1060" w:type="dxa"/>
            <w:vAlign w:val="bottom"/>
            <w:gridSpan w:val="3"/>
          </w:tcPr>
          <w:p>
            <w:pPr>
              <w:spacing w:after="0"/>
              <w:rPr>
                <w:sz w:val="20"/>
                <w:szCs w:val="20"/>
                <w:color w:val="auto"/>
              </w:rPr>
            </w:pPr>
            <w:r>
              <w:rPr>
                <w:rFonts w:ascii="Arial" w:cs="Arial" w:eastAsia="Arial" w:hAnsi="Arial"/>
                <w:sz w:val="18"/>
                <w:szCs w:val="18"/>
                <w:color w:val="auto"/>
                <w:w w:val="93"/>
              </w:rPr>
              <w:t>Unobservable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Assets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(Level 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12"/>
        </w:trPr>
        <w:tc>
          <w:tcPr>
            <w:tcW w:w="4780" w:type="dxa"/>
            <w:vAlign w:val="bottom"/>
            <w:gridSpan w:val="2"/>
          </w:tcPr>
          <w:p>
            <w:pPr>
              <w:spacing w:after="0"/>
              <w:rPr>
                <w:sz w:val="20"/>
                <w:szCs w:val="20"/>
                <w:color w:val="auto"/>
              </w:rPr>
            </w:pPr>
            <w:r>
              <w:rPr>
                <w:rFonts w:ascii="Arial" w:cs="Arial" w:eastAsia="Arial" w:hAnsi="Arial"/>
                <w:sz w:val="18"/>
                <w:szCs w:val="18"/>
                <w:color w:val="auto"/>
              </w:rPr>
              <w:t>Assets accounted for at fair value on a recurring basis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7,601,561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7,601,561</w:t>
            </w:r>
          </w:p>
        </w:tc>
        <w:tc>
          <w:tcPr>
            <w:tcW w:w="8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equity securities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7,601,561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7,601,561</w:t>
            </w: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Loans held for sale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187,938,302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187,938,302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828,731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828,731</w:t>
            </w: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Cemetery perpetual care trust investments (1)</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480,537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480,537</w:t>
            </w:r>
          </w:p>
        </w:tc>
        <w:tc>
          <w:tcPr>
            <w:tcW w:w="8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3,581,207</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3,581,207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200,430,338</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8,910,829</w:t>
            </w:r>
          </w:p>
        </w:tc>
        <w:tc>
          <w:tcPr>
            <w:tcW w:w="8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191,519,509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7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Liabilities accounted for at fair value on a recurring basis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Derivatives - call options (3)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(79,142)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(79,142)</w:t>
            </w: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Derivatives - put options (3)</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(48,625)</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(48,625)</w:t>
            </w: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Derivatives - loan commitments (3)</w:t>
            </w: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(453,067)</w:t>
            </w: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(453,067)</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7"/>
              </w:rPr>
              <w:t>Total liabilities accounted for at fair value on a recurring basis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(580,834)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(127,767)</w:t>
            </w: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(453,067)</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400" w:hanging="248"/>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Mutual funds and equity securities</w:t>
      </w:r>
    </w:p>
    <w:p>
      <w:pPr>
        <w:spacing w:after="0" w:line="6" w:lineRule="exact"/>
        <w:rPr>
          <w:rFonts w:ascii="Arial" w:cs="Arial" w:eastAsia="Arial" w:hAnsi="Arial"/>
          <w:sz w:val="18"/>
          <w:szCs w:val="18"/>
          <w:color w:val="auto"/>
        </w:rPr>
      </w:pPr>
    </w:p>
    <w:p>
      <w:pPr>
        <w:ind w:left="1400" w:hanging="248"/>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Included in other assets on the condensed consolidated balance sheets</w:t>
      </w:r>
    </w:p>
    <w:p>
      <w:pPr>
        <w:spacing w:after="0" w:line="6" w:lineRule="exact"/>
        <w:rPr>
          <w:rFonts w:ascii="Arial" w:cs="Arial" w:eastAsia="Arial" w:hAnsi="Arial"/>
          <w:sz w:val="18"/>
          <w:szCs w:val="18"/>
          <w:color w:val="auto"/>
        </w:rPr>
      </w:pPr>
    </w:p>
    <w:p>
      <w:pPr>
        <w:ind w:left="1400" w:hanging="248"/>
        <w:spacing w:after="0"/>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condensed consolidated balance sheets</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Following is a summary of changes in the condensed consolidated balance sheet line items measured using level 3 inputs:</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Net</w:t>
            </w:r>
          </w:p>
        </w:tc>
        <w:tc>
          <w:tcPr>
            <w:tcW w:w="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Loans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Loan</w:t>
            </w:r>
          </w:p>
        </w:tc>
        <w:tc>
          <w:tcPr>
            <w:tcW w:w="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Held for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Commitments</w:t>
            </w:r>
          </w:p>
        </w:tc>
        <w:tc>
          <w:tcPr>
            <w:tcW w:w="80" w:type="dxa"/>
            <w:vAlign w:val="bottom"/>
          </w:tcPr>
          <w:p>
            <w:pPr>
              <w:spacing w:after="0"/>
              <w:rPr>
                <w:sz w:val="20"/>
                <w:szCs w:val="20"/>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color w:val="auto"/>
                <w:w w:val="83"/>
              </w:rPr>
              <w:t>Sale</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1,591,816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136,210,853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Originations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1,050,256,047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(1,034,958,199)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Total gains (losses):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Included in earnings (1)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1,536,324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36,429,601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2019</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3,128,140</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187,938,302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8"/>
          <w:szCs w:val="18"/>
          <w:color w:val="auto"/>
        </w:rPr>
        <w:t>_______________</w:t>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 As a component of Mortgage fee income on the condensed consolidated statements of earnings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Fair Value of Financial Instruments</w:t>
      </w:r>
      <w:r>
        <w:rPr>
          <w:rFonts w:ascii="Arial" w:cs="Arial" w:eastAsia="Arial" w:hAnsi="Arial"/>
          <w:sz w:val="21"/>
          <w:szCs w:val="21"/>
          <w:color w:val="auto"/>
        </w:rPr>
        <w:t xml:space="preserve"> (Continued)</w:t>
      </w:r>
    </w:p>
    <w:p>
      <w:pPr>
        <w:spacing w:after="0" w:line="291" w:lineRule="exact"/>
        <w:rPr>
          <w:sz w:val="20"/>
          <w:szCs w:val="20"/>
          <w:color w:val="auto"/>
        </w:rPr>
      </w:pPr>
    </w:p>
    <w:p>
      <w:pPr>
        <w:spacing w:after="0" w:line="294" w:lineRule="auto"/>
        <w:rPr>
          <w:sz w:val="20"/>
          <w:szCs w:val="20"/>
          <w:color w:val="auto"/>
        </w:rPr>
      </w:pPr>
      <w:r>
        <w:rPr>
          <w:rFonts w:ascii="Arial" w:cs="Arial" w:eastAsia="Arial" w:hAnsi="Arial"/>
          <w:sz w:val="21"/>
          <w:szCs w:val="21"/>
          <w:color w:val="auto"/>
        </w:rPr>
        <w:t>The following tables summarize Level 1, 2 and 3 financial assets and financial liabilities measured at fair value on a nonrecurring basis by their classification in the condensed consolidated balance sheet at June 30, 2019.</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Quoted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Prices in</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Active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Markets for</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Significant</w:t>
            </w: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Identical</w:t>
            </w:r>
          </w:p>
        </w:tc>
        <w:tc>
          <w:tcPr>
            <w:tcW w:w="8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Observable</w:t>
            </w:r>
          </w:p>
        </w:tc>
        <w:tc>
          <w:tcPr>
            <w:tcW w:w="10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Unobservable</w:t>
            </w:r>
          </w:p>
        </w:tc>
      </w:t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Assets</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Inputs</w:t>
            </w:r>
          </w:p>
        </w:tc>
      </w:tr>
      <w:tr>
        <w:trPr>
          <w:trHeight w:val="232"/>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91"/>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(Level 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(Level 3)</w:t>
            </w:r>
          </w:p>
        </w:tc>
      </w:tr>
      <w:tr>
        <w:trPr>
          <w:trHeight w:val="212"/>
        </w:trPr>
        <w:tc>
          <w:tcPr>
            <w:tcW w:w="4840" w:type="dxa"/>
            <w:vAlign w:val="bottom"/>
            <w:gridSpan w:val="2"/>
          </w:tcPr>
          <w:p>
            <w:pPr>
              <w:spacing w:after="0"/>
              <w:rPr>
                <w:sz w:val="20"/>
                <w:szCs w:val="20"/>
                <w:color w:val="auto"/>
              </w:rPr>
            </w:pPr>
            <w:r>
              <w:rPr>
                <w:rFonts w:ascii="Arial" w:cs="Arial" w:eastAsia="Arial" w:hAnsi="Arial"/>
                <w:sz w:val="18"/>
                <w:szCs w:val="18"/>
                <w:color w:val="auto"/>
              </w:rPr>
              <w:t>Assets accounted for at fair value on a nonrecurring basis</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Impaired mortgage loans held for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5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137,636</w:t>
            </w:r>
          </w:p>
        </w:tc>
      </w:tr>
      <w:tr>
        <w:trPr>
          <w:trHeight w:val="22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Impaired real estate held for investment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5,400,000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5,400,000</w:t>
            </w:r>
          </w:p>
        </w:tc>
        <w:tc>
          <w:tcPr>
            <w:tcW w:w="80" w:type="dxa"/>
            <w:vAlign w:val="bottom"/>
          </w:tcPr>
          <w:p>
            <w:pPr>
              <w:spacing w:after="0"/>
              <w:rPr>
                <w:sz w:val="19"/>
                <w:szCs w:val="19"/>
                <w:color w:val="auto"/>
              </w:rPr>
            </w:pPr>
          </w:p>
        </w:tc>
      </w:tr>
      <w:tr>
        <w:trPr>
          <w:trHeight w:val="253"/>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Total assets accounted for at fair value on a nonrecurring basis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5,537,636</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5,537,636</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8" w:lineRule="exact"/>
        <w:rPr>
          <w:sz w:val="20"/>
          <w:szCs w:val="20"/>
          <w:color w:val="auto"/>
        </w:rPr>
      </w:pPr>
    </w:p>
    <w:p>
      <w:pPr>
        <w:ind w:right="200"/>
        <w:spacing w:after="0" w:line="294" w:lineRule="auto"/>
        <w:rPr>
          <w:sz w:val="20"/>
          <w:szCs w:val="20"/>
          <w:color w:val="auto"/>
        </w:rPr>
      </w:pPr>
      <w:r>
        <w:rPr>
          <w:rFonts w:ascii="Arial" w:cs="Arial" w:eastAsia="Arial" w:hAnsi="Arial"/>
          <w:sz w:val="21"/>
          <w:szCs w:val="21"/>
          <w:color w:val="auto"/>
        </w:rPr>
        <w:t>The following tables summarize Level 1, 2 and 3 financial assets and financial liabilities measured at fair value on a recurring basis by their classification in the condensed consolidated balance sheet at December 31, 2018.</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Quoted</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Prices in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Active</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Markets for</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Identical</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Observable</w:t>
            </w:r>
          </w:p>
        </w:tc>
        <w:tc>
          <w:tcPr>
            <w:tcW w:w="1060" w:type="dxa"/>
            <w:vAlign w:val="bottom"/>
            <w:gridSpan w:val="3"/>
          </w:tcPr>
          <w:p>
            <w:pPr>
              <w:spacing w:after="0"/>
              <w:rPr>
                <w:sz w:val="20"/>
                <w:szCs w:val="20"/>
                <w:color w:val="auto"/>
              </w:rPr>
            </w:pPr>
            <w:r>
              <w:rPr>
                <w:rFonts w:ascii="Arial" w:cs="Arial" w:eastAsia="Arial" w:hAnsi="Arial"/>
                <w:sz w:val="18"/>
                <w:szCs w:val="18"/>
                <w:color w:val="auto"/>
                <w:w w:val="93"/>
              </w:rPr>
              <w:t>Unobservable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Assets</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1)</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(Level 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(Level 3)</w:t>
            </w:r>
          </w:p>
        </w:tc>
        <w:tc>
          <w:tcPr>
            <w:tcW w:w="0" w:type="dxa"/>
            <w:vAlign w:val="bottom"/>
          </w:tcPr>
          <w:p>
            <w:pPr>
              <w:spacing w:after="0"/>
              <w:rPr>
                <w:sz w:val="1"/>
                <w:szCs w:val="1"/>
                <w:color w:val="auto"/>
              </w:rPr>
            </w:pPr>
          </w:p>
        </w:tc>
      </w:tr>
      <w:tr>
        <w:trPr>
          <w:trHeight w:val="212"/>
        </w:trPr>
        <w:tc>
          <w:tcPr>
            <w:tcW w:w="4780" w:type="dxa"/>
            <w:vAlign w:val="bottom"/>
            <w:gridSpan w:val="2"/>
          </w:tcPr>
          <w:p>
            <w:pPr>
              <w:spacing w:after="0"/>
              <w:rPr>
                <w:sz w:val="20"/>
                <w:szCs w:val="20"/>
                <w:color w:val="auto"/>
              </w:rPr>
            </w:pPr>
            <w:r>
              <w:rPr>
                <w:rFonts w:ascii="Arial" w:cs="Arial" w:eastAsia="Arial" w:hAnsi="Arial"/>
                <w:sz w:val="18"/>
                <w:szCs w:val="18"/>
                <w:color w:val="auto"/>
              </w:rPr>
              <w:t>Assets accounted for at fair value on a recurring basis</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5,558,611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5,558,611</w:t>
            </w:r>
          </w:p>
        </w:tc>
        <w:tc>
          <w:tcPr>
            <w:tcW w:w="8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Total equity securities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5,558,611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5,558,611</w:t>
            </w: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4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Loans held for sale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136,210,853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1"/>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136,210,853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744,673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744,673</w:t>
            </w: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Cemetery perpetual care trust investments (1)</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483,353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483,353</w:t>
            </w:r>
          </w:p>
        </w:tc>
        <w:tc>
          <w:tcPr>
            <w:tcW w:w="8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1,969,967</w:t>
            </w: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1,969,967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144,967,457</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6,786,637</w:t>
            </w:r>
          </w:p>
        </w:tc>
        <w:tc>
          <w:tcPr>
            <w:tcW w:w="8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138,180,820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Liabilities accounted for at fair value on a recurring basis</w:t>
            </w: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Derivatives - call options (3)</w:t>
            </w: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w:t>
            </w: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Derivatives - put options (3)</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(296,053)</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(296,053)</w:t>
            </w:r>
          </w:p>
        </w:tc>
        <w:tc>
          <w:tcPr>
            <w:tcW w:w="84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8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(378,151)</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(378,151)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liabilities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(678,833)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(300,682)</w:t>
            </w:r>
          </w:p>
        </w:tc>
        <w:tc>
          <w:tcPr>
            <w:tcW w:w="840" w:type="dxa"/>
            <w:vAlign w:val="bottom"/>
            <w:shd w:val="clear" w:color="auto" w:fill="CCEEFF"/>
          </w:tcPr>
          <w:p>
            <w:pPr>
              <w:jc w:val="right"/>
              <w:ind w:right="651"/>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(378,151)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_______________</w:t>
            </w: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1400" w:hanging="248"/>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Mutual funds and equity securities</w:t>
      </w:r>
    </w:p>
    <w:p>
      <w:pPr>
        <w:spacing w:after="0" w:line="3" w:lineRule="exact"/>
        <w:rPr>
          <w:rFonts w:ascii="Arial" w:cs="Arial" w:eastAsia="Arial" w:hAnsi="Arial"/>
          <w:sz w:val="18"/>
          <w:szCs w:val="18"/>
          <w:color w:val="auto"/>
        </w:rPr>
      </w:pPr>
    </w:p>
    <w:p>
      <w:pPr>
        <w:ind w:left="1400" w:hanging="248"/>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Included in other assets on the condensed consolidated balance sheets</w:t>
      </w:r>
    </w:p>
    <w:p>
      <w:pPr>
        <w:spacing w:after="0" w:line="6" w:lineRule="exact"/>
        <w:rPr>
          <w:rFonts w:ascii="Arial" w:cs="Arial" w:eastAsia="Arial" w:hAnsi="Arial"/>
          <w:sz w:val="18"/>
          <w:szCs w:val="18"/>
          <w:color w:val="auto"/>
        </w:rPr>
      </w:pPr>
    </w:p>
    <w:p>
      <w:pPr>
        <w:ind w:left="1400" w:hanging="248"/>
        <w:spacing w:after="0"/>
        <w:tabs>
          <w:tab w:leader="none" w:pos="1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condensed consolidated balance sheets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Fair Value of Financial Instruments</w:t>
      </w:r>
      <w:r>
        <w:rPr>
          <w:rFonts w:ascii="Arial" w:cs="Arial" w:eastAsia="Arial" w:hAnsi="Arial"/>
          <w:sz w:val="21"/>
          <w:szCs w:val="21"/>
          <w:color w:val="auto"/>
        </w:rPr>
        <w:t xml:space="preserve"> (Continued)</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Following is a summary of changes in the condensed consolidated balance sheet line items measured using level 3 inputs:</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Net Loan</w:t>
            </w:r>
          </w:p>
        </w:tc>
        <w:tc>
          <w:tcPr>
            <w:tcW w:w="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Loans Held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Commitments</w:t>
            </w:r>
          </w:p>
        </w:tc>
        <w:tc>
          <w:tcPr>
            <w:tcW w:w="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for Sale</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1,996,589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133,414,188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Originations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2,194,607,543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(2,259,145,473)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(10,827,797)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80" w:type="dxa"/>
            <w:vAlign w:val="bottom"/>
          </w:tcPr>
          <w:p>
            <w:pPr>
              <w:ind w:left="140"/>
              <w:spacing w:after="0"/>
              <w:rPr>
                <w:sz w:val="20"/>
                <w:szCs w:val="20"/>
                <w:color w:val="auto"/>
              </w:rPr>
            </w:pPr>
            <w:r>
              <w:rPr>
                <w:rFonts w:ascii="Arial" w:cs="Arial" w:eastAsia="Arial" w:hAnsi="Arial"/>
                <w:sz w:val="18"/>
                <w:szCs w:val="18"/>
                <w:color w:val="auto"/>
              </w:rPr>
              <w:t>Included in earnings (1)</w:t>
            </w: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(404,773)</w:t>
            </w: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78,162,392</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1,591,816</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136,210,853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8"/>
          <w:szCs w:val="18"/>
          <w:color w:val="auto"/>
        </w:rPr>
        <w:t>(1) As a component of Mortgage fee income on the condensed consolidated statements of earnings</w:t>
      </w:r>
    </w:p>
    <w:p>
      <w:pPr>
        <w:spacing w:after="0" w:line="263" w:lineRule="exact"/>
        <w:rPr>
          <w:sz w:val="20"/>
          <w:szCs w:val="20"/>
          <w:color w:val="auto"/>
        </w:rPr>
      </w:pPr>
    </w:p>
    <w:p>
      <w:pPr>
        <w:spacing w:after="0" w:line="294" w:lineRule="auto"/>
        <w:rPr>
          <w:sz w:val="20"/>
          <w:szCs w:val="20"/>
          <w:color w:val="auto"/>
        </w:rPr>
      </w:pPr>
      <w:r>
        <w:rPr>
          <w:rFonts w:ascii="Arial" w:cs="Arial" w:eastAsia="Arial" w:hAnsi="Arial"/>
          <w:sz w:val="21"/>
          <w:szCs w:val="21"/>
          <w:color w:val="auto"/>
        </w:rPr>
        <w:t>The following tables summarize Level 1, 2 and 3 financial assets and financial liabilities measured at fair value on a nonrecurring basis by their classification in the condensed consolidated balance sheet at December 31, 2018.</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Quoted</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Prices in</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Active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Markets for</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Significant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Identical</w:t>
            </w:r>
          </w:p>
        </w:tc>
        <w:tc>
          <w:tcPr>
            <w:tcW w:w="8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Observable</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Unobservable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Assets</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Inputs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Inputs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(Level 1)</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(Level 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(Level 3)</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16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6"/>
              </w:rPr>
              <w:t>Assets accounted for at fair value on a nonrecurring basis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Impaired mortgage loans held for investment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1,253,302</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5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1,253,302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Impaired real estate held for investment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1,611,384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1,611,384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16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88"/>
              </w:rPr>
              <w:t>Total assets accounted for at fair value on a nonrecurring basis</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2,864,686</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5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2,864,686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80" w:type="dxa"/>
            <w:vAlign w:val="bottom"/>
            <w:vMerge w:val="restart"/>
          </w:tcPr>
          <w:p>
            <w:pPr>
              <w:jc w:val="right"/>
              <w:ind w:right="140"/>
              <w:spacing w:after="0"/>
              <w:rPr>
                <w:sz w:val="20"/>
                <w:szCs w:val="20"/>
                <w:color w:val="auto"/>
              </w:rPr>
            </w:pPr>
            <w:r>
              <w:rPr>
                <w:rFonts w:ascii="Arial" w:cs="Arial" w:eastAsia="Arial" w:hAnsi="Arial"/>
                <w:sz w:val="14"/>
                <w:szCs w:val="14"/>
                <w:color w:val="auto"/>
                <w:w w:val="89"/>
              </w:rPr>
              <w:t>33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11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35" w:name="page36"/>
    <w:bookmarkEnd w:id="35"/>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Fair Value of Financial Instruments</w:t>
      </w:r>
      <w:r>
        <w:rPr>
          <w:rFonts w:ascii="Arial" w:cs="Arial" w:eastAsia="Arial" w:hAnsi="Arial"/>
          <w:sz w:val="21"/>
          <w:szCs w:val="21"/>
          <w:color w:val="auto"/>
        </w:rPr>
        <w:t xml:space="preserve"> (Continued)</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 Value of Financial Instruments Carried at Other Than Fair Value</w:t>
      </w:r>
    </w:p>
    <w:p>
      <w:pPr>
        <w:spacing w:after="0" w:line="297"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ASC 825, Financial Instruments, requires disclosure of fair value information about financial instruments, whether or not recognized in the balance sheet, for which it is practicable to estimate that value.</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June 30, 2019 and December 31, 2018.</w:t>
      </w:r>
    </w:p>
    <w:p>
      <w:pPr>
        <w:spacing w:after="0" w:line="229"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carrying values and estimated fair values for such financial instruments, and their corresponding placement in the fair value hierarchy, are summarized as follows as of June 30, 2019:</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Carrying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Estimated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Value</w:t>
            </w:r>
          </w:p>
        </w:tc>
        <w:tc>
          <w:tcPr>
            <w:tcW w:w="740" w:type="dxa"/>
            <w:vAlign w:val="bottom"/>
          </w:tcPr>
          <w:p>
            <w:pPr>
              <w:jc w:val="right"/>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Level 3</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73"/>
        </w:trPr>
        <w:tc>
          <w:tcPr>
            <w:tcW w:w="3320" w:type="dxa"/>
            <w:vAlign w:val="bottom"/>
            <w:gridSpan w:val="4"/>
          </w:tcPr>
          <w:p>
            <w:pPr>
              <w:spacing w:after="0" w:line="173" w:lineRule="exact"/>
              <w:rPr>
                <w:sz w:val="20"/>
                <w:szCs w:val="20"/>
                <w:color w:val="auto"/>
              </w:rPr>
            </w:pPr>
            <w:r>
              <w:rPr>
                <w:rFonts w:ascii="Arial" w:cs="Arial" w:eastAsia="Arial" w:hAnsi="Arial"/>
                <w:sz w:val="18"/>
                <w:szCs w:val="18"/>
                <w:color w:val="auto"/>
              </w:rPr>
              <w:t>Assets</w:t>
            </w:r>
          </w:p>
        </w:tc>
        <w:tc>
          <w:tcPr>
            <w:tcW w:w="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maturity securities held to maturity</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$ 222,824,099</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4"/>
                <w:szCs w:val="14"/>
                <w:color w:val="auto"/>
                <w:w w:val="76"/>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232,886,783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4,257,364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$ 237,144,147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Mortgage loans held for investment: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82,294,181</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86,460,522</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86,460,522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74,209,975</w:t>
            </w:r>
          </w:p>
        </w:tc>
        <w:tc>
          <w:tcPr>
            <w:tcW w:w="7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74,209,975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74,209,975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31,817,849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32,484,689</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32,484,689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Mortgage loans held for investment, net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$ 188,322,005</w:t>
            </w:r>
          </w:p>
        </w:tc>
        <w:tc>
          <w:tcPr>
            <w:tcW w:w="160" w:type="dxa"/>
            <w:vAlign w:val="bottom"/>
          </w:tcPr>
          <w:p>
            <w:pPr>
              <w:spacing w:after="0"/>
              <w:rPr>
                <w:sz w:val="18"/>
                <w:szCs w:val="18"/>
                <w:color w:val="auto"/>
              </w:rPr>
            </w:pPr>
          </w:p>
        </w:tc>
        <w:tc>
          <w:tcPr>
            <w:tcW w:w="740" w:type="dxa"/>
            <w:vAlign w:val="bottom"/>
          </w:tcPr>
          <w:p>
            <w:pPr>
              <w:jc w:val="right"/>
              <w:ind w:right="584"/>
              <w:spacing w:after="0"/>
              <w:rPr>
                <w:sz w:val="20"/>
                <w:szCs w:val="20"/>
                <w:color w:val="auto"/>
              </w:rPr>
            </w:pPr>
            <w:r>
              <w:rPr>
                <w:rFonts w:ascii="Arial" w:cs="Arial" w:eastAsia="Arial" w:hAnsi="Arial"/>
                <w:sz w:val="14"/>
                <w:szCs w:val="14"/>
                <w:color w:val="auto"/>
                <w:w w:val="76"/>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193,155,186</w:t>
            </w: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$ 193,155,186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Policy loans</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6,265,560</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6,265,560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Insurance assignments, net (1)</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34,389,931</w:t>
            </w:r>
          </w:p>
        </w:tc>
        <w:tc>
          <w:tcPr>
            <w:tcW w:w="7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34,389,931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34,389,931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1,276,771</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Restricted assets (3)</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3,147,603</w:t>
            </w:r>
          </w:p>
        </w:tc>
        <w:tc>
          <w:tcPr>
            <w:tcW w:w="7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3,156,132</w:t>
            </w:r>
          </w:p>
        </w:tc>
        <w:tc>
          <w:tcPr>
            <w:tcW w:w="1060" w:type="dxa"/>
            <w:vAlign w:val="bottom"/>
          </w:tcPr>
          <w:p>
            <w:pPr>
              <w:jc w:val="right"/>
              <w:spacing w:after="0"/>
              <w:rPr>
                <w:sz w:val="20"/>
                <w:szCs w:val="20"/>
                <w:color w:val="auto"/>
              </w:rPr>
            </w:pPr>
            <w:r>
              <w:rPr>
                <w:rFonts w:ascii="Arial" w:cs="Arial" w:eastAsia="Arial" w:hAnsi="Arial"/>
                <w:sz w:val="18"/>
                <w:szCs w:val="18"/>
                <w:color w:val="auto"/>
              </w:rPr>
              <w:t>3,156,132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Cemetery perpetual care trust investments (2)</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1,015,628</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Mortgage servicing rights, net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17,504,477</w:t>
            </w:r>
          </w:p>
        </w:tc>
        <w:tc>
          <w:tcPr>
            <w:tcW w:w="7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22,084,565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22,084,565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700" w:type="dxa"/>
            <w:vAlign w:val="bottom"/>
            <w:tcBorders>
              <w:bottom w:val="single" w:sz="8" w:color="auto"/>
            </w:tcBorders>
            <w:gridSpan w:val="2"/>
          </w:tcPr>
          <w:p>
            <w:pPr>
              <w:spacing w:after="0" w:line="173" w:lineRule="exact"/>
              <w:rPr>
                <w:sz w:val="20"/>
                <w:szCs w:val="20"/>
                <w:color w:val="auto"/>
              </w:rPr>
            </w:pPr>
            <w:r>
              <w:rPr>
                <w:rFonts w:ascii="Arial" w:cs="Arial" w:eastAsia="Arial" w:hAnsi="Arial"/>
                <w:sz w:val="18"/>
                <w:szCs w:val="18"/>
                <w:color w:val="auto"/>
                <w:w w:val="91"/>
              </w:rPr>
              <w:t>Liabilities</w:t>
            </w:r>
          </w:p>
        </w:tc>
        <w:tc>
          <w:tcPr>
            <w:tcW w:w="2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$(216,352,961)</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4"/>
                <w:szCs w:val="14"/>
                <w:color w:val="auto"/>
                <w:w w:val="76"/>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(216,352,961)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$(216,352,961)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Policyholder account balances (4)</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(45,825,524)</w:t>
            </w:r>
          </w:p>
        </w:tc>
        <w:tc>
          <w:tcPr>
            <w:tcW w:w="7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(36,952,381)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(36,952,381)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Future policy benefits - annuities (4)</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(96,841,746)</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(96,831,833)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(96,831,833)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_______________</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160" w:right="3900" w:hanging="8"/>
        <w:spacing w:after="0" w:line="245" w:lineRule="auto"/>
        <w:tabs>
          <w:tab w:leader="none" w:pos="14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condensed consolidated balance sheet.</w:t>
      </w:r>
    </w:p>
    <w:p>
      <w:pPr>
        <w:ind w:left="1400" w:hanging="248"/>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Fixed maturity securities held to maturity</w:t>
      </w:r>
    </w:p>
    <w:p>
      <w:pPr>
        <w:spacing w:after="0" w:line="6" w:lineRule="exact"/>
        <w:rPr>
          <w:rFonts w:ascii="Arial" w:cs="Arial" w:eastAsia="Arial" w:hAnsi="Arial"/>
          <w:sz w:val="18"/>
          <w:szCs w:val="18"/>
          <w:color w:val="auto"/>
        </w:rPr>
      </w:pPr>
    </w:p>
    <w:p>
      <w:pPr>
        <w:ind w:left="1400" w:hanging="248"/>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 loans held for investment</w:t>
      </w:r>
    </w:p>
    <w:p>
      <w:pPr>
        <w:spacing w:after="0" w:line="6" w:lineRule="exact"/>
        <w:rPr>
          <w:rFonts w:ascii="Arial" w:cs="Arial" w:eastAsia="Arial" w:hAnsi="Arial"/>
          <w:sz w:val="18"/>
          <w:szCs w:val="18"/>
          <w:color w:val="auto"/>
        </w:rPr>
      </w:pPr>
    </w:p>
    <w:p>
      <w:pPr>
        <w:ind w:left="1400" w:hanging="248"/>
        <w:spacing w:after="0"/>
        <w:tabs>
          <w:tab w:leader="none" w:pos="1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condensed consolidated balance sheet.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Fair Value of Financial Instruments</w:t>
      </w:r>
      <w:r>
        <w:rPr>
          <w:rFonts w:ascii="Arial" w:cs="Arial" w:eastAsia="Arial" w:hAnsi="Arial"/>
          <w:sz w:val="21"/>
          <w:szCs w:val="21"/>
          <w:color w:val="auto"/>
        </w:rPr>
        <w:t xml:space="preserve"> (Continued)</w:t>
      </w:r>
    </w:p>
    <w:p>
      <w:pPr>
        <w:spacing w:after="0" w:line="291" w:lineRule="exact"/>
        <w:rPr>
          <w:sz w:val="20"/>
          <w:szCs w:val="20"/>
          <w:color w:val="auto"/>
        </w:rPr>
      </w:pPr>
    </w:p>
    <w:p>
      <w:pPr>
        <w:spacing w:after="0" w:line="294" w:lineRule="auto"/>
        <w:rPr>
          <w:sz w:val="20"/>
          <w:szCs w:val="20"/>
          <w:color w:val="auto"/>
        </w:rPr>
      </w:pPr>
      <w:r>
        <w:rPr>
          <w:rFonts w:ascii="Arial" w:cs="Arial" w:eastAsia="Arial" w:hAnsi="Arial"/>
          <w:sz w:val="21"/>
          <w:szCs w:val="21"/>
          <w:color w:val="auto"/>
        </w:rPr>
        <w:t>The carrying values and estimated fair values for such financial instruments, and their corresponding placement in the fair value hierarchy, are summarized as follows as of December 31, 2018:</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Carrying</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Estimated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Value</w:t>
            </w:r>
          </w:p>
        </w:tc>
        <w:tc>
          <w:tcPr>
            <w:tcW w:w="740" w:type="dxa"/>
            <w:vAlign w:val="bottom"/>
          </w:tcPr>
          <w:p>
            <w:pPr>
              <w:jc w:val="right"/>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Level 3</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73"/>
        </w:trPr>
        <w:tc>
          <w:tcPr>
            <w:tcW w:w="3320" w:type="dxa"/>
            <w:vAlign w:val="bottom"/>
            <w:gridSpan w:val="4"/>
          </w:tcPr>
          <w:p>
            <w:pPr>
              <w:spacing w:after="0" w:line="173" w:lineRule="exact"/>
              <w:rPr>
                <w:sz w:val="20"/>
                <w:szCs w:val="20"/>
                <w:color w:val="auto"/>
              </w:rPr>
            </w:pPr>
            <w:r>
              <w:rPr>
                <w:rFonts w:ascii="Arial" w:cs="Arial" w:eastAsia="Arial" w:hAnsi="Arial"/>
                <w:sz w:val="18"/>
                <w:szCs w:val="18"/>
                <w:color w:val="auto"/>
              </w:rPr>
              <w:t>Assets</w:t>
            </w:r>
          </w:p>
        </w:tc>
        <w:tc>
          <w:tcPr>
            <w:tcW w:w="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maturity securities held to maturity</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$ 232,078,723</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4"/>
                <w:szCs w:val="14"/>
                <w:color w:val="auto"/>
                <w:w w:val="76"/>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229,668,844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5,082,014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$ 234,750,858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Mortgage loans held for investment: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87,947,566</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92,503,553</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92,503,553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70,886,702</w:t>
            </w:r>
          </w:p>
        </w:tc>
        <w:tc>
          <w:tcPr>
            <w:tcW w:w="7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70,886,702</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70,886,702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27,630,801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28,359,205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28,359,205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Mortgage loans held for investment, net</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$ 186,465,069</w:t>
            </w:r>
          </w:p>
        </w:tc>
        <w:tc>
          <w:tcPr>
            <w:tcW w:w="160" w:type="dxa"/>
            <w:vAlign w:val="bottom"/>
          </w:tcPr>
          <w:p>
            <w:pPr>
              <w:spacing w:after="0"/>
              <w:rPr>
                <w:sz w:val="18"/>
                <w:szCs w:val="18"/>
                <w:color w:val="auto"/>
              </w:rPr>
            </w:pPr>
          </w:p>
        </w:tc>
        <w:tc>
          <w:tcPr>
            <w:tcW w:w="740" w:type="dxa"/>
            <w:vAlign w:val="bottom"/>
          </w:tcPr>
          <w:p>
            <w:pPr>
              <w:jc w:val="right"/>
              <w:ind w:right="584"/>
              <w:spacing w:after="0"/>
              <w:rPr>
                <w:sz w:val="20"/>
                <w:szCs w:val="20"/>
                <w:color w:val="auto"/>
              </w:rPr>
            </w:pPr>
            <w:r>
              <w:rPr>
                <w:rFonts w:ascii="Arial" w:cs="Arial" w:eastAsia="Arial" w:hAnsi="Arial"/>
                <w:sz w:val="14"/>
                <w:szCs w:val="14"/>
                <w:color w:val="auto"/>
                <w:w w:val="76"/>
              </w:rPr>
              <w:t>$</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191,749,460</w:t>
            </w: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$ 191,749,460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Policy loans</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6,424,325</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6,424,325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Insurance assignments, net (1)</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34,146,868</w:t>
            </w:r>
          </w:p>
        </w:tc>
        <w:tc>
          <w:tcPr>
            <w:tcW w:w="7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34,146,868</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34,146,868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1,258,397</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Restricted assets (3)</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1,799,268</w:t>
            </w:r>
          </w:p>
        </w:tc>
        <w:tc>
          <w:tcPr>
            <w:tcW w:w="7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1,810,185</w:t>
            </w:r>
          </w:p>
        </w:tc>
        <w:tc>
          <w:tcPr>
            <w:tcW w:w="1060" w:type="dxa"/>
            <w:vAlign w:val="bottom"/>
          </w:tcPr>
          <w:p>
            <w:pPr>
              <w:jc w:val="right"/>
              <w:spacing w:after="0"/>
              <w:rPr>
                <w:sz w:val="20"/>
                <w:szCs w:val="20"/>
                <w:color w:val="auto"/>
              </w:rPr>
            </w:pPr>
            <w:r>
              <w:rPr>
                <w:rFonts w:ascii="Arial" w:cs="Arial" w:eastAsia="Arial" w:hAnsi="Arial"/>
                <w:sz w:val="18"/>
                <w:szCs w:val="18"/>
                <w:color w:val="auto"/>
              </w:rPr>
              <w:t>1,810,185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9"/>
              </w:rPr>
              <w:t>Cemetery perpetual care trust investments (2)</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990,390</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983,410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983,410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Mortgage servicing rights, net</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20,016,822</w:t>
            </w:r>
          </w:p>
        </w:tc>
        <w:tc>
          <w:tcPr>
            <w:tcW w:w="7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28,885,316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28,885,316</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700" w:type="dxa"/>
            <w:vAlign w:val="bottom"/>
            <w:tcBorders>
              <w:bottom w:val="single" w:sz="8" w:color="auto"/>
            </w:tcBorders>
            <w:gridSpan w:val="2"/>
          </w:tcPr>
          <w:p>
            <w:pPr>
              <w:spacing w:after="0" w:line="173" w:lineRule="exact"/>
              <w:rPr>
                <w:sz w:val="20"/>
                <w:szCs w:val="20"/>
                <w:color w:val="auto"/>
              </w:rPr>
            </w:pPr>
            <w:r>
              <w:rPr>
                <w:rFonts w:ascii="Arial" w:cs="Arial" w:eastAsia="Arial" w:hAnsi="Arial"/>
                <w:sz w:val="18"/>
                <w:szCs w:val="18"/>
                <w:color w:val="auto"/>
                <w:w w:val="91"/>
              </w:rPr>
              <w:t>Liabilities</w:t>
            </w:r>
          </w:p>
        </w:tc>
        <w:tc>
          <w:tcPr>
            <w:tcW w:w="2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$(187,521,188)</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4"/>
                <w:szCs w:val="14"/>
                <w:color w:val="auto"/>
                <w:w w:val="76"/>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(187,521,188)</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$(187,521,188)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Policyholder account balances (4)</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(46,479,853)</w:t>
            </w:r>
          </w:p>
        </w:tc>
        <w:tc>
          <w:tcPr>
            <w:tcW w:w="7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(37,348,289)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(37,348,289)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Future policy benefits - annuities (4)</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(98,137,615)</w:t>
            </w:r>
          </w:p>
        </w:tc>
        <w:tc>
          <w:tcPr>
            <w:tcW w:w="7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(97,641,146)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(97,641,146)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_______________</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160" w:right="3900" w:hanging="8"/>
        <w:spacing w:after="0" w:line="245" w:lineRule="auto"/>
        <w:tabs>
          <w:tab w:leader="none" w:pos="14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condensed consolidated balance sheet.</w:t>
      </w:r>
    </w:p>
    <w:p>
      <w:pPr>
        <w:ind w:left="1400" w:hanging="248"/>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Fixed maturity securities held to maturity</w:t>
      </w:r>
    </w:p>
    <w:p>
      <w:pPr>
        <w:spacing w:after="0" w:line="6" w:lineRule="exact"/>
        <w:rPr>
          <w:rFonts w:ascii="Arial" w:cs="Arial" w:eastAsia="Arial" w:hAnsi="Arial"/>
          <w:sz w:val="18"/>
          <w:szCs w:val="18"/>
          <w:color w:val="auto"/>
        </w:rPr>
      </w:pPr>
    </w:p>
    <w:p>
      <w:pPr>
        <w:ind w:left="1400" w:hanging="248"/>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Participation in mortgage loans held for investment (commercial)</w:t>
      </w:r>
    </w:p>
    <w:p>
      <w:pPr>
        <w:spacing w:after="0" w:line="6" w:lineRule="exact"/>
        <w:rPr>
          <w:rFonts w:ascii="Arial" w:cs="Arial" w:eastAsia="Arial" w:hAnsi="Arial"/>
          <w:sz w:val="18"/>
          <w:szCs w:val="18"/>
          <w:color w:val="auto"/>
        </w:rPr>
      </w:pPr>
    </w:p>
    <w:p>
      <w:pPr>
        <w:ind w:left="1160" w:right="4100" w:hanging="8"/>
        <w:spacing w:after="0" w:line="254" w:lineRule="auto"/>
        <w:tabs>
          <w:tab w:leader="none" w:pos="14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condensed consolidated balance sheet.</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methods, assumptions and significant valuation techniques and inputs used to estimate the fair value of these financial instruments are summarized as follows:</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i w:val="1"/>
          <w:iCs w:val="1"/>
          <w:u w:val="single" w:color="auto"/>
          <w:color w:val="auto"/>
        </w:rPr>
        <w:t>Fixed Maturity Securities Held to Maturity</w:t>
      </w:r>
      <w:r>
        <w:rPr>
          <w:rFonts w:ascii="Arial" w:cs="Arial" w:eastAsia="Arial" w:hAnsi="Arial"/>
          <w:sz w:val="21"/>
          <w:szCs w:val="21"/>
          <w:i w:val="1"/>
          <w:iCs w:val="1"/>
          <w:color w:val="auto"/>
        </w:rPr>
        <w:t xml:space="preserve">: </w:t>
      </w:r>
      <w:r>
        <w:rPr>
          <w:rFonts w:ascii="Arial" w:cs="Arial" w:eastAsia="Arial" w:hAnsi="Arial"/>
          <w:sz w:val="21"/>
          <w:szCs w:val="21"/>
          <w:color w:val="auto"/>
        </w:rPr>
        <w:t>The fair values of fixed maturity securities are based on quoted market prices, when</w:t>
      </w:r>
      <w:r>
        <w:rPr>
          <w:rFonts w:ascii="Arial" w:cs="Arial" w:eastAsia="Arial" w:hAnsi="Arial"/>
          <w:sz w:val="21"/>
          <w:szCs w:val="21"/>
          <w:i w:val="1"/>
          <w:iCs w:val="1"/>
          <w:color w:val="auto"/>
        </w:rPr>
        <w:t xml:space="preserve"> </w:t>
      </w:r>
      <w:r>
        <w:rPr>
          <w:rFonts w:ascii="Arial" w:cs="Arial" w:eastAsia="Arial" w:hAnsi="Arial"/>
          <w:sz w:val="21"/>
          <w:szCs w:val="21"/>
          <w:color w:val="auto"/>
        </w:rPr>
        <w:t>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21"/>
          <w:szCs w:val="21"/>
          <w:i w:val="1"/>
          <w:iCs w:val="1"/>
          <w:u w:val="single" w:color="auto"/>
          <w:color w:val="auto"/>
        </w:rPr>
        <w:t>Mortgage Loans Held for Investment</w:t>
      </w:r>
      <w:r>
        <w:rPr>
          <w:rFonts w:ascii="Arial" w:cs="Arial" w:eastAsia="Arial" w:hAnsi="Arial"/>
          <w:sz w:val="21"/>
          <w:szCs w:val="21"/>
          <w:i w:val="1"/>
          <w:iCs w:val="1"/>
          <w:color w:val="auto"/>
        </w:rPr>
        <w:t xml:space="preserve">: </w:t>
      </w:r>
      <w:r>
        <w:rPr>
          <w:rFonts w:ascii="Arial" w:cs="Arial" w:eastAsia="Arial" w:hAnsi="Arial"/>
          <w:sz w:val="21"/>
          <w:szCs w:val="21"/>
          <w:color w:val="auto"/>
        </w:rPr>
        <w:t>The estimated fair value of the Company’s mortgage loans held for investment is determined</w:t>
      </w:r>
      <w:r>
        <w:rPr>
          <w:rFonts w:ascii="Arial" w:cs="Arial" w:eastAsia="Arial" w:hAnsi="Arial"/>
          <w:sz w:val="21"/>
          <w:szCs w:val="21"/>
          <w:i w:val="1"/>
          <w:iCs w:val="1"/>
          <w:color w:val="auto"/>
        </w:rPr>
        <w:t xml:space="preserve"> </w:t>
      </w:r>
      <w:r>
        <w:rPr>
          <w:rFonts w:ascii="Arial" w:cs="Arial" w:eastAsia="Arial" w:hAnsi="Arial"/>
          <w:sz w:val="21"/>
          <w:szCs w:val="21"/>
          <w:color w:val="auto"/>
        </w:rPr>
        <w:t>using various methods. 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229" w:lineRule="exact"/>
        <w:rPr>
          <w:sz w:val="20"/>
          <w:szCs w:val="20"/>
          <w:color w:val="auto"/>
        </w:rPr>
      </w:pPr>
    </w:p>
    <w:p>
      <w:pPr>
        <w:jc w:val="both"/>
        <w:ind w:left="640"/>
        <w:spacing w:after="0" w:line="279" w:lineRule="auto"/>
        <w:rPr>
          <w:sz w:val="20"/>
          <w:szCs w:val="20"/>
          <w:color w:val="auto"/>
        </w:rPr>
      </w:pPr>
      <w:r>
        <w:rPr>
          <w:rFonts w:ascii="Arial" w:cs="Arial" w:eastAsia="Arial" w:hAnsi="Arial"/>
          <w:sz w:val="21"/>
          <w:szCs w:val="21"/>
          <w:color w:val="auto"/>
        </w:rPr>
        <w:t>Residential – The estimated fair value is determined through a combination of discounted cash flows (estimating expected future cash flows of interest payments and discounting them using current interest rates from single family mortgages) and considering pricing of similar loans that were sold recently.</w:t>
      </w:r>
    </w:p>
    <w:p>
      <w:pPr>
        <w:spacing w:after="0" w:line="223" w:lineRule="exact"/>
        <w:rPr>
          <w:sz w:val="20"/>
          <w:szCs w:val="20"/>
          <w:color w:val="auto"/>
        </w:rPr>
      </w:pPr>
    </w:p>
    <w:p>
      <w:pPr>
        <w:jc w:val="both"/>
        <w:ind w:left="640" w:right="20"/>
        <w:spacing w:after="0" w:line="294" w:lineRule="auto"/>
        <w:rPr>
          <w:sz w:val="20"/>
          <w:szCs w:val="20"/>
          <w:color w:val="auto"/>
        </w:rPr>
      </w:pPr>
      <w:r>
        <w:rPr>
          <w:rFonts w:ascii="Arial" w:cs="Arial" w:eastAsia="Arial" w:hAnsi="Arial"/>
          <w:sz w:val="21"/>
          <w:szCs w:val="21"/>
          <w:color w:val="auto"/>
        </w:rPr>
        <w:t>Residential Construction – These loans are primarily short in maturity. Accordingly, the estimated fair value is determined to be the carrying value.</w:t>
      </w:r>
    </w:p>
    <w:p>
      <w:pPr>
        <w:spacing w:after="0" w:line="208" w:lineRule="exact"/>
        <w:rPr>
          <w:sz w:val="20"/>
          <w:szCs w:val="20"/>
          <w:color w:val="auto"/>
        </w:rPr>
      </w:pPr>
    </w:p>
    <w:p>
      <w:pPr>
        <w:jc w:val="both"/>
        <w:ind w:left="640"/>
        <w:spacing w:after="0" w:line="294" w:lineRule="auto"/>
        <w:rPr>
          <w:sz w:val="20"/>
          <w:szCs w:val="20"/>
          <w:color w:val="auto"/>
        </w:rPr>
      </w:pPr>
      <w:r>
        <w:rPr>
          <w:rFonts w:ascii="Arial" w:cs="Arial" w:eastAsia="Arial" w:hAnsi="Arial"/>
          <w:sz w:val="21"/>
          <w:szCs w:val="21"/>
          <w:color w:val="auto"/>
        </w:rPr>
        <w:t>Commercial – The estimated fair value is determined by estimating expected future cash flows of interest payments and discounting them using current interest rates for commercial mortgages.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21"/>
          <w:szCs w:val="21"/>
          <w:i w:val="1"/>
          <w:iCs w:val="1"/>
          <w:u w:val="single" w:color="auto"/>
          <w:color w:val="auto"/>
        </w:rPr>
        <w:t>Policy Loans</w:t>
      </w:r>
      <w:r>
        <w:rPr>
          <w:rFonts w:ascii="Arial" w:cs="Arial" w:eastAsia="Arial" w:hAnsi="Arial"/>
          <w:sz w:val="21"/>
          <w:szCs w:val="21"/>
          <w:color w:val="auto"/>
        </w:rPr>
        <w:t>: The carrying amounts reported in the accompanying condensed consolidated balance sheet for these financial</w:t>
      </w:r>
      <w:r>
        <w:rPr>
          <w:rFonts w:ascii="Arial" w:cs="Arial" w:eastAsia="Arial" w:hAnsi="Arial"/>
          <w:sz w:val="21"/>
          <w:szCs w:val="21"/>
          <w:i w:val="1"/>
          <w:iCs w:val="1"/>
          <w:color w:val="auto"/>
        </w:rPr>
        <w:t xml:space="preserve"> </w:t>
      </w:r>
      <w:r>
        <w:rPr>
          <w:rFonts w:ascii="Arial" w:cs="Arial" w:eastAsia="Arial" w:hAnsi="Arial"/>
          <w:sz w:val="21"/>
          <w:szCs w:val="21"/>
          <w:color w:val="auto"/>
        </w:rPr>
        <w:t>instruments approximate their fair values because they are fully collateralized by the cash surrender value of the underlying insurance policies.</w:t>
      </w:r>
    </w:p>
    <w:p>
      <w:pPr>
        <w:spacing w:after="0" w:line="223" w:lineRule="exact"/>
        <w:rPr>
          <w:sz w:val="20"/>
          <w:szCs w:val="20"/>
          <w:color w:val="auto"/>
        </w:rPr>
      </w:pPr>
    </w:p>
    <w:p>
      <w:pPr>
        <w:jc w:val="both"/>
        <w:spacing w:after="0" w:line="294" w:lineRule="auto"/>
        <w:rPr>
          <w:sz w:val="20"/>
          <w:szCs w:val="20"/>
          <w:color w:val="auto"/>
        </w:rPr>
      </w:pPr>
      <w:r>
        <w:rPr>
          <w:rFonts w:ascii="Arial" w:cs="Arial" w:eastAsia="Arial" w:hAnsi="Arial"/>
          <w:sz w:val="21"/>
          <w:szCs w:val="21"/>
          <w:i w:val="1"/>
          <w:iCs w:val="1"/>
          <w:u w:val="single" w:color="auto"/>
          <w:color w:val="auto"/>
        </w:rPr>
        <w:t>Insurance Assignments, Net</w:t>
      </w:r>
      <w:r>
        <w:rPr>
          <w:rFonts w:ascii="Arial" w:cs="Arial" w:eastAsia="Arial" w:hAnsi="Arial"/>
          <w:sz w:val="21"/>
          <w:szCs w:val="21"/>
          <w:color w:val="auto"/>
        </w:rPr>
        <w:t>: These investments are primarily short in maturity, accordingly, the carrying amounts reported in the</w:t>
      </w:r>
      <w:r>
        <w:rPr>
          <w:rFonts w:ascii="Arial" w:cs="Arial" w:eastAsia="Arial" w:hAnsi="Arial"/>
          <w:sz w:val="21"/>
          <w:szCs w:val="21"/>
          <w:i w:val="1"/>
          <w:iCs w:val="1"/>
          <w:color w:val="auto"/>
        </w:rPr>
        <w:t xml:space="preserve"> </w:t>
      </w:r>
      <w:r>
        <w:rPr>
          <w:rFonts w:ascii="Arial" w:cs="Arial" w:eastAsia="Arial" w:hAnsi="Arial"/>
          <w:sz w:val="21"/>
          <w:szCs w:val="21"/>
          <w:color w:val="auto"/>
        </w:rPr>
        <w:t>accompanying condensed consolidated balance sheet for these financial instruments approximate their fair values.</w:t>
      </w:r>
    </w:p>
    <w:p>
      <w:pPr>
        <w:sectPr>
          <w:pgSz w:w="11900" w:h="16838" w:orient="portrait"/>
          <w:cols w:equalWidth="0" w:num="1">
            <w:col w:w="11420"/>
          </w:cols>
          <w:pgMar w:left="240" w:top="131" w:right="239" w:bottom="0" w:gutter="0" w:footer="0" w:header="0"/>
        </w:sectPr>
      </w:pPr>
    </w:p>
    <w:bookmarkStart w:id="37" w:name="page38"/>
    <w:bookmarkEnd w:id="37"/>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50800</wp:posOffset>
            </wp:positionV>
            <wp:extent cx="72485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9019"/>
          </w:cols>
          <w:pgMar w:left="1440" w:top="560" w:right="1440" w:bottom="1440" w:gutter="0" w:footer="0" w:header="0"/>
        </w:sectPr>
      </w:pPr>
    </w:p>
    <w:bookmarkStart w:id="38" w:name="page39"/>
    <w:bookmarkEnd w:id="38"/>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60" w:hanging="653"/>
        <w:spacing w:after="0"/>
        <w:tabs>
          <w:tab w:leader="none" w:pos="66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Fair Value of Financial Instruments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321" w:lineRule="auto"/>
        <w:rPr>
          <w:sz w:val="20"/>
          <w:szCs w:val="20"/>
          <w:color w:val="auto"/>
        </w:rPr>
      </w:pPr>
      <w:r>
        <w:rPr>
          <w:rFonts w:ascii="Arial" w:cs="Arial" w:eastAsia="Arial" w:hAnsi="Arial"/>
          <w:sz w:val="20"/>
          <w:szCs w:val="20"/>
          <w:i w:val="1"/>
          <w:iCs w:val="1"/>
          <w:u w:val="single" w:color="auto"/>
          <w:color w:val="auto"/>
        </w:rPr>
        <w:t>Bank and Other Loans Payable</w:t>
      </w:r>
      <w:r>
        <w:rPr>
          <w:rFonts w:ascii="Arial" w:cs="Arial" w:eastAsia="Arial" w:hAnsi="Arial"/>
          <w:sz w:val="20"/>
          <w:szCs w:val="20"/>
          <w:color w:val="auto"/>
        </w:rPr>
        <w:t>: The carrying amounts reported in the accompanying condensed consolidated balance sheet for these</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instruments approximate their fair values due to their relatively short-term maturities and variable interest rates.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i w:val="1"/>
          <w:iCs w:val="1"/>
          <w:u w:val="single" w:color="auto"/>
          <w:color w:val="auto"/>
        </w:rPr>
        <w:t>Policyholder Account Balances and Future Policy Benefits-Annuities</w:t>
      </w:r>
      <w:r>
        <w:rPr>
          <w:rFonts w:ascii="Arial" w:cs="Arial" w:eastAsia="Arial" w:hAnsi="Arial"/>
          <w:sz w:val="20"/>
          <w:szCs w:val="20"/>
          <w:color w:val="auto"/>
        </w:rPr>
        <w:t>: Future policy benefit reserves for interest-sensitive insurance</w:t>
      </w:r>
      <w:r>
        <w:rPr>
          <w:rFonts w:ascii="Arial" w:cs="Arial" w:eastAsia="Arial" w:hAnsi="Arial"/>
          <w:sz w:val="20"/>
          <w:szCs w:val="20"/>
          <w:i w:val="1"/>
          <w:iCs w:val="1"/>
          <w:color w:val="auto"/>
        </w:rPr>
        <w:t xml:space="preserve"> </w:t>
      </w:r>
      <w:r>
        <w:rPr>
          <w:rFonts w:ascii="Arial" w:cs="Arial" w:eastAsia="Arial" w:hAnsi="Arial"/>
          <w:sz w:val="20"/>
          <w:szCs w:val="20"/>
          <w:color w:val="auto"/>
        </w:rPr>
        <w:t>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229" w:lineRule="exact"/>
        <w:rPr>
          <w:sz w:val="20"/>
          <w:szCs w:val="20"/>
          <w:color w:val="auto"/>
        </w:rPr>
      </w:pPr>
    </w:p>
    <w:p>
      <w:pPr>
        <w:ind w:left="400" w:hanging="393"/>
        <w:spacing w:after="0"/>
        <w:tabs>
          <w:tab w:leader="none" w:pos="40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Allowance for Doubtful Accounts</w:t>
      </w:r>
    </w:p>
    <w:p>
      <w:pPr>
        <w:spacing w:after="0" w:line="291" w:lineRule="exact"/>
        <w:rPr>
          <w:sz w:val="20"/>
          <w:szCs w:val="20"/>
          <w:color w:val="auto"/>
        </w:rPr>
      </w:pPr>
    </w:p>
    <w:p>
      <w:pPr>
        <w:jc w:val="both"/>
        <w:ind w:right="20"/>
        <w:spacing w:after="0" w:line="294" w:lineRule="auto"/>
        <w:rPr>
          <w:sz w:val="20"/>
          <w:szCs w:val="20"/>
          <w:color w:val="auto"/>
        </w:rPr>
      </w:pPr>
      <w:r>
        <w:rPr>
          <w:rFonts w:ascii="Arial" w:cs="Arial" w:eastAsia="Arial" w:hAnsi="Arial"/>
          <w:sz w:val="21"/>
          <w:szCs w:val="21"/>
          <w:color w:val="auto"/>
        </w:rPr>
        <w:t>The Company records an allowance and recognizes an expense for potential losses from other investments and receivables in accordance with generally accepted accounting principles.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230" w:lineRule="exact"/>
        <w:rPr>
          <w:sz w:val="20"/>
          <w:szCs w:val="20"/>
          <w:color w:val="auto"/>
        </w:rPr>
      </w:pPr>
    </w:p>
    <w:p>
      <w:pPr>
        <w:ind w:left="780" w:hanging="773"/>
        <w:spacing w:after="0"/>
        <w:tabs>
          <w:tab w:leader="none" w:pos="78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Derivative Instruments</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Mortgage Banking Derivatives</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Loan Commitments</w:t>
      </w:r>
    </w:p>
    <w:p>
      <w:pPr>
        <w:spacing w:after="0" w:line="291"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235"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ectPr>
          <w:pgSz w:w="11900" w:h="16838" w:orient="portrait"/>
          <w:cols w:equalWidth="0" w:num="1">
            <w:col w:w="11420"/>
          </w:cols>
          <w:pgMar w:left="240" w:top="131" w:right="2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9" w:name="page40"/>
    <w:bookmarkEnd w:id="39"/>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780" w:hanging="773"/>
        <w:spacing w:after="0"/>
        <w:tabs>
          <w:tab w:leader="none" w:pos="780"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Derivative Instruments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Forward Sale Commitments</w:t>
      </w:r>
    </w:p>
    <w:p>
      <w:pPr>
        <w:spacing w:after="0" w:line="291"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Call and Put Options</w:t>
      </w:r>
    </w:p>
    <w:p>
      <w:pPr>
        <w:spacing w:after="0" w:line="297"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realizes a gain from the sale of the option. In the event a put option is exercised, the Company acquires an equity security at the strike price of the option reduced by the value received from the sale of the put option. The equity security is then traded as a normal equity security in the Company’s portfolio. The net changes in the fair value of call and put options are shown in current earnings as a component of gains (losses) on investments and other assets. Call and put options are shown in other liabilities and accrued expenses on the condensed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shows the notional amount and fair value of derivatives as of June 30, 2019 and December 31, 2018.</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40" w:type="dxa"/>
            <w:vAlign w:val="bottom"/>
            <w:gridSpan w:val="10"/>
          </w:tcPr>
          <w:p>
            <w:pPr>
              <w:jc w:val="right"/>
              <w:spacing w:after="0"/>
              <w:rPr>
                <w:sz w:val="20"/>
                <w:szCs w:val="20"/>
                <w:color w:val="auto"/>
              </w:rPr>
            </w:pPr>
            <w:r>
              <w:rPr>
                <w:rFonts w:ascii="Arial" w:cs="Arial" w:eastAsia="Arial" w:hAnsi="Arial"/>
                <w:sz w:val="18"/>
                <w:szCs w:val="18"/>
                <w:color w:val="auto"/>
                <w:w w:val="91"/>
              </w:rPr>
              <w:t>Fair Values and Notional Values of Derivative Instruments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1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7"/>
              </w:rPr>
              <w:t>June 30, 2019</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8"/>
              </w:rPr>
              <w:t>December 31, 2018</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1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71"/>
              <w:spacing w:after="0" w:line="201" w:lineRule="exact"/>
              <w:rPr>
                <w:sz w:val="20"/>
                <w:szCs w:val="20"/>
                <w:color w:val="auto"/>
              </w:rPr>
            </w:pPr>
            <w:r>
              <w:rPr>
                <w:rFonts w:ascii="Arial" w:cs="Arial" w:eastAsia="Arial" w:hAnsi="Arial"/>
                <w:sz w:val="18"/>
                <w:szCs w:val="18"/>
                <w:color w:val="auto"/>
              </w:rPr>
              <w:t>Notional</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88"/>
              </w:rPr>
              <w:t>Asset Fair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1"/>
              <w:spacing w:after="0" w:line="201" w:lineRule="exact"/>
              <w:rPr>
                <w:sz w:val="20"/>
                <w:szCs w:val="20"/>
                <w:color w:val="auto"/>
              </w:rPr>
            </w:pPr>
            <w:r>
              <w:rPr>
                <w:rFonts w:ascii="Arial" w:cs="Arial" w:eastAsia="Arial" w:hAnsi="Arial"/>
                <w:sz w:val="18"/>
                <w:szCs w:val="18"/>
                <w:color w:val="auto"/>
                <w:w w:val="99"/>
              </w:rPr>
              <w:t>Liability Fair</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211"/>
              <w:spacing w:after="0" w:line="201" w:lineRule="exact"/>
              <w:rPr>
                <w:sz w:val="20"/>
                <w:szCs w:val="20"/>
                <w:color w:val="auto"/>
              </w:rPr>
            </w:pPr>
            <w:r>
              <w:rPr>
                <w:rFonts w:ascii="Arial" w:cs="Arial" w:eastAsia="Arial" w:hAnsi="Arial"/>
                <w:sz w:val="18"/>
                <w:szCs w:val="18"/>
                <w:color w:val="auto"/>
                <w:w w:val="90"/>
              </w:rPr>
              <w:t>Notional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88"/>
              </w:rPr>
              <w:t>Asset Fair</w:t>
            </w:r>
          </w:p>
        </w:tc>
        <w:tc>
          <w:tcPr>
            <w:tcW w:w="100" w:type="dxa"/>
            <w:vAlign w:val="bottom"/>
          </w:tcPr>
          <w:p>
            <w:pPr>
              <w:spacing w:after="0"/>
              <w:rPr>
                <w:sz w:val="17"/>
                <w:szCs w:val="17"/>
                <w:color w:val="auto"/>
              </w:rPr>
            </w:pPr>
          </w:p>
        </w:tc>
        <w:tc>
          <w:tcPr>
            <w:tcW w:w="1040" w:type="dxa"/>
            <w:vAlign w:val="bottom"/>
          </w:tcPr>
          <w:p>
            <w:pPr>
              <w:jc w:val="center"/>
              <w:ind w:right="11"/>
              <w:spacing w:after="0" w:line="201" w:lineRule="exact"/>
              <w:rPr>
                <w:sz w:val="20"/>
                <w:szCs w:val="20"/>
                <w:color w:val="auto"/>
              </w:rPr>
            </w:pPr>
            <w:r>
              <w:rPr>
                <w:rFonts w:ascii="Arial" w:cs="Arial" w:eastAsia="Arial" w:hAnsi="Arial"/>
                <w:sz w:val="18"/>
                <w:szCs w:val="18"/>
                <w:color w:val="auto"/>
                <w:w w:val="97"/>
              </w:rPr>
              <w:t>Liability Fair</w:t>
            </w:r>
          </w:p>
        </w:tc>
        <w:tc>
          <w:tcPr>
            <w:tcW w:w="100" w:type="dxa"/>
            <w:vAlign w:val="bottom"/>
          </w:tcPr>
          <w:p>
            <w:pPr>
              <w:spacing w:after="0"/>
              <w:rPr>
                <w:sz w:val="17"/>
                <w:szCs w:val="17"/>
                <w:color w:val="auto"/>
              </w:rPr>
            </w:pPr>
          </w:p>
        </w:tc>
      </w:tr>
      <w:tr>
        <w:trPr>
          <w:trHeight w:val="232"/>
        </w:trPr>
        <w:tc>
          <w:tcPr>
            <w:tcW w:w="142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color w:val="auto"/>
                <w:w w:val="95"/>
              </w:rPr>
              <w:t>Balance Sheet Location</w:t>
            </w:r>
          </w:p>
        </w:tc>
        <w:tc>
          <w:tcPr>
            <w:tcW w:w="180" w:type="dxa"/>
            <w:vAlign w:val="bottom"/>
          </w:tcPr>
          <w:p>
            <w:pPr>
              <w:spacing w:after="0"/>
              <w:rPr>
                <w:sz w:val="20"/>
                <w:szCs w:val="20"/>
                <w:color w:val="auto"/>
              </w:rPr>
            </w:pPr>
          </w:p>
        </w:tc>
        <w:tc>
          <w:tcPr>
            <w:tcW w:w="980" w:type="dxa"/>
            <w:vAlign w:val="bottom"/>
          </w:tcPr>
          <w:p>
            <w:pPr>
              <w:jc w:val="right"/>
              <w:ind w:right="191"/>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24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01"/>
        </w:trPr>
        <w:tc>
          <w:tcPr>
            <w:tcW w:w="1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Derivatives not</w:t>
            </w:r>
          </w:p>
        </w:tc>
        <w:tc>
          <w:tcPr>
            <w:tcW w:w="1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320" w:type="dxa"/>
            <w:vAlign w:val="bottom"/>
            <w:gridSpan w:val="3"/>
          </w:tcPr>
          <w:p>
            <w:pPr>
              <w:spacing w:after="0"/>
              <w:rPr>
                <w:sz w:val="20"/>
                <w:szCs w:val="20"/>
                <w:color w:val="auto"/>
              </w:rPr>
            </w:pPr>
            <w:r>
              <w:rPr>
                <w:rFonts w:ascii="Arial" w:cs="Arial" w:eastAsia="Arial" w:hAnsi="Arial"/>
                <w:sz w:val="18"/>
                <w:szCs w:val="18"/>
                <w:color w:val="auto"/>
              </w:rPr>
              <w:t>designated as hedging</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1420" w:type="dxa"/>
            <w:vAlign w:val="bottom"/>
          </w:tcPr>
          <w:p>
            <w:pPr>
              <w:spacing w:after="0"/>
              <w:rPr>
                <w:sz w:val="20"/>
                <w:szCs w:val="20"/>
                <w:color w:val="auto"/>
              </w:rPr>
            </w:pPr>
            <w:r>
              <w:rPr>
                <w:rFonts w:ascii="Arial" w:cs="Arial" w:eastAsia="Arial" w:hAnsi="Arial"/>
                <w:sz w:val="18"/>
                <w:szCs w:val="18"/>
                <w:color w:val="auto"/>
              </w:rPr>
              <w:t>instruments:</w:t>
            </w: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14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Other assets and</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92"/>
              </w:rPr>
              <w:t>Loan commitments</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214,982,852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3,581,207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453,067</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93,758,218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1,969,967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378,151</w:t>
            </w:r>
          </w:p>
        </w:tc>
      </w:tr>
      <w:tr>
        <w:trPr>
          <w:trHeight w:val="213"/>
        </w:trPr>
        <w:tc>
          <w:tcPr>
            <w:tcW w:w="1420" w:type="dxa"/>
            <w:vAlign w:val="bottom"/>
          </w:tcPr>
          <w:p>
            <w:pPr>
              <w:spacing w:after="0"/>
              <w:rPr>
                <w:sz w:val="20"/>
                <w:szCs w:val="20"/>
                <w:color w:val="auto"/>
              </w:rPr>
            </w:pPr>
            <w:r>
              <w:rPr>
                <w:rFonts w:ascii="Arial" w:cs="Arial" w:eastAsia="Arial" w:hAnsi="Arial"/>
                <w:sz w:val="18"/>
                <w:szCs w:val="18"/>
                <w:color w:val="auto"/>
              </w:rPr>
              <w:t>Call options</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4"/>
              </w:rPr>
              <w:t>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2,414,600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79,142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805,500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4,629</w:t>
            </w:r>
          </w:p>
        </w:tc>
      </w:tr>
      <w:tr>
        <w:trPr>
          <w:trHeight w:val="213"/>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Put options</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2,535,696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48,625</w:t>
            </w: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4,861,700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296,053</w:t>
            </w:r>
          </w:p>
        </w:tc>
      </w:tr>
      <w:tr>
        <w:trPr>
          <w:trHeight w:val="27"/>
        </w:trPr>
        <w:tc>
          <w:tcPr>
            <w:tcW w:w="14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3"/>
        </w:trPr>
        <w:tc>
          <w:tcPr>
            <w:tcW w:w="1420" w:type="dxa"/>
            <w:vAlign w:val="bottom"/>
          </w:tcPr>
          <w:p>
            <w:pPr>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219,933,148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3,581,207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580,834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99,425,418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1,969,967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678,833</w:t>
            </w:r>
          </w:p>
        </w:tc>
      </w:tr>
      <w:tr>
        <w:trPr>
          <w:trHeight w:val="20"/>
        </w:trPr>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sectPr>
          <w:pgSz w:w="11900" w:h="16838" w:orient="portrait"/>
          <w:cols w:equalWidth="0" w:num="1">
            <w:col w:w="11420"/>
          </w:cols>
          <w:pgMar w:left="240" w:top="131" w:right="239" w:bottom="1440" w:gutter="0" w:footer="0" w:header="0"/>
        </w:sect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0" w:name="page41"/>
    <w:bookmarkEnd w:id="40"/>
    <w:p>
      <w:pPr>
        <w:jc w:val="center"/>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9" w:lineRule="exact"/>
        <w:rPr>
          <w:sz w:val="20"/>
          <w:szCs w:val="20"/>
          <w:color w:val="auto"/>
        </w:rPr>
      </w:pPr>
    </w:p>
    <w:p>
      <w:pPr>
        <w:ind w:left="780" w:hanging="773"/>
        <w:spacing w:after="0"/>
        <w:tabs>
          <w:tab w:leader="none" w:pos="78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Derivative Instruments</w:t>
      </w:r>
      <w:r>
        <w:rPr>
          <w:rFonts w:ascii="Arial" w:cs="Arial" w:eastAsia="Arial" w:hAnsi="Arial"/>
          <w:sz w:val="21"/>
          <w:szCs w:val="21"/>
          <w:color w:val="auto"/>
        </w:rPr>
        <w:t xml:space="preserve"> (Continued)</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shows the gains and losses on derivatives for the periods presented.</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Net Amount Gain (Loss)</w:t>
            </w:r>
          </w:p>
        </w:tc>
        <w:tc>
          <w:tcPr>
            <w:tcW w:w="100" w:type="dxa"/>
            <w:vAlign w:val="bottom"/>
          </w:tcPr>
          <w:p>
            <w:pPr>
              <w:spacing w:after="0"/>
              <w:rPr>
                <w:sz w:val="20"/>
                <w:szCs w:val="20"/>
                <w:color w:val="auto"/>
              </w:rPr>
            </w:pPr>
          </w:p>
        </w:tc>
        <w:tc>
          <w:tcPr>
            <w:tcW w:w="196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Net Amount Gain (Loss)</w:t>
            </w:r>
          </w:p>
        </w:tc>
      </w:tr>
      <w:tr>
        <w:trPr>
          <w:trHeight w:val="201"/>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gridSpan w:val="4"/>
          </w:tcPr>
          <w:p>
            <w:pPr>
              <w:jc w:val="center"/>
              <w:ind w:right="31"/>
              <w:spacing w:after="0" w:line="201" w:lineRule="exact"/>
              <w:rPr>
                <w:sz w:val="20"/>
                <w:szCs w:val="20"/>
                <w:color w:val="auto"/>
              </w:rPr>
            </w:pPr>
            <w:r>
              <w:rPr>
                <w:rFonts w:ascii="Arial" w:cs="Arial" w:eastAsia="Arial" w:hAnsi="Arial"/>
                <w:sz w:val="18"/>
                <w:szCs w:val="18"/>
                <w:color w:val="auto"/>
                <w:w w:val="89"/>
              </w:rPr>
              <w:t>Three Months Ended</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4"/>
          </w:tcPr>
          <w:p>
            <w:pPr>
              <w:jc w:val="center"/>
              <w:ind w:right="11"/>
              <w:spacing w:after="0" w:line="201" w:lineRule="exact"/>
              <w:rPr>
                <w:sz w:val="20"/>
                <w:szCs w:val="20"/>
                <w:color w:val="auto"/>
              </w:rPr>
            </w:pPr>
            <w:r>
              <w:rPr>
                <w:rFonts w:ascii="Arial" w:cs="Arial" w:eastAsia="Arial" w:hAnsi="Arial"/>
                <w:sz w:val="18"/>
                <w:szCs w:val="18"/>
                <w:color w:val="auto"/>
                <w:w w:val="91"/>
              </w:rPr>
              <w:t>Six Months Ended</w:t>
            </w:r>
          </w:p>
        </w:tc>
        <w:tc>
          <w:tcPr>
            <w:tcW w:w="8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511"/>
              <w:spacing w:after="0"/>
              <w:rPr>
                <w:sz w:val="20"/>
                <w:szCs w:val="20"/>
                <w:color w:val="auto"/>
              </w:rPr>
            </w:pPr>
            <w:r>
              <w:rPr>
                <w:rFonts w:ascii="Arial" w:cs="Arial" w:eastAsia="Arial" w:hAnsi="Arial"/>
                <w:sz w:val="18"/>
                <w:szCs w:val="18"/>
                <w:color w:val="auto"/>
                <w:w w:val="87"/>
              </w:rPr>
              <w:t>June 30</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91"/>
              <w:spacing w:after="0"/>
              <w:rPr>
                <w:sz w:val="20"/>
                <w:szCs w:val="20"/>
                <w:color w:val="auto"/>
              </w:rPr>
            </w:pPr>
            <w:r>
              <w:rPr>
                <w:rFonts w:ascii="Arial" w:cs="Arial" w:eastAsia="Arial" w:hAnsi="Arial"/>
                <w:sz w:val="18"/>
                <w:szCs w:val="18"/>
                <w:color w:val="auto"/>
                <w:w w:val="84"/>
              </w:rPr>
              <w:t>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19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Derivative</w:t>
            </w:r>
          </w:p>
        </w:tc>
        <w:tc>
          <w:tcPr>
            <w:tcW w:w="28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Classification</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2018</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4"/>
              </w:rPr>
              <w:t>2018</w:t>
            </w:r>
          </w:p>
        </w:tc>
        <w:tc>
          <w:tcPr>
            <w:tcW w:w="80" w:type="dxa"/>
            <w:vAlign w:val="bottom"/>
          </w:tcPr>
          <w:p>
            <w:pPr>
              <w:spacing w:after="0"/>
              <w:rPr>
                <w:sz w:val="19"/>
                <w:szCs w:val="19"/>
                <w:color w:val="auto"/>
              </w:rPr>
            </w:pPr>
          </w:p>
        </w:tc>
      </w:tr>
      <w:tr>
        <w:trPr>
          <w:trHeight w:val="253"/>
        </w:trPr>
        <w:tc>
          <w:tcPr>
            <w:tcW w:w="20" w:type="dxa"/>
            <w:vAlign w:val="bottom"/>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commitments</w:t>
            </w:r>
          </w:p>
        </w:tc>
        <w:tc>
          <w:tcPr>
            <w:tcW w:w="2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Mortgage fee income</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603,797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1,536,324</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443,127</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06"/>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8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2"/>
              </w:rPr>
              <w:t>Gains on investments and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Call and put options</w:t>
            </w: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114,939</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404,967</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230,301</w:t>
            </w: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8" w:lineRule="exact"/>
        <w:rPr>
          <w:sz w:val="20"/>
          <w:szCs w:val="20"/>
          <w:color w:val="auto"/>
        </w:rPr>
      </w:pPr>
    </w:p>
    <w:p>
      <w:pPr>
        <w:ind w:left="760" w:hanging="753"/>
        <w:spacing w:after="0"/>
        <w:tabs>
          <w:tab w:leader="none" w:pos="76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Reinsurance, Commitments and Contingencies</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Reinsurance</w:t>
      </w:r>
    </w:p>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Mortgage Loan Loss Settlements</w:t>
      </w:r>
    </w:p>
    <w:p>
      <w:pPr>
        <w:spacing w:after="0" w:line="29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Future loan losses can be extremely difficult to estimate. However, management believes that the Company’s reserve methodology and its current practice of property preservation allow it to estimate its potential losses on loans sold. The estimated liability for indemnification losses is included in other liabilities and accrued expenses and, as of June 30, 2019 and December 31, 2018, the balances were $3,712,000 and $3,605,000,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Mortgage Loan Loss Litigation</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Lehman Brothers Holdings Litigation – Delaware and New York</w:t>
      </w:r>
    </w:p>
    <w:p>
      <w:pPr>
        <w:spacing w:after="0" w:line="297"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certain residential mortgage loan originators, including SecurityNational Mortgage. A settlement based on similar circumstances was entered into between Lehman Holdings and the Federal Home Loan Mortgage Corporation (Freddie Mac) in February 2014.</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pacing w:after="0" w:line="19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mortgage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ectPr>
          <w:pgSz w:w="11900" w:h="16838" w:orient="portrait"/>
          <w:cols w:equalWidth="0" w:num="1">
            <w:col w:w="11420"/>
          </w:cols>
          <w:pgMar w:left="240" w:top="118"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1" w:name="page42"/>
    <w:bookmarkEnd w:id="41"/>
    <w:p>
      <w:pPr>
        <w:jc w:val="center"/>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9" w:lineRule="exact"/>
        <w:rPr>
          <w:sz w:val="20"/>
          <w:szCs w:val="20"/>
          <w:color w:val="auto"/>
        </w:rPr>
      </w:pPr>
    </w:p>
    <w:p>
      <w:pPr>
        <w:ind w:left="680" w:hanging="673"/>
        <w:spacing w:after="0"/>
        <w:tabs>
          <w:tab w:leader="none" w:pos="680"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Reinsurance, Commitments and Contingencies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declaratory judgment that SecurityNational Mortgage sought in its Delaware lawsuit, and for damages relating to the alleged obligations of the defendants under the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On December 27, 2016, pursuant to the Case Management Order, Lehman Holdings filed a Second Amended Complaint against SecurityNational Mortgage, which eliminates the declaratory judgment claim but retains a similar claim for damages as in the Complaint.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 xml:space="preserve">On August 13, 2018, the Court issued its Memorandum Decision and Order (“Decision”) denying the motion. On August 27, 2018, a number of the defendants, including SecurityNational Mortgage, filed a joint motion with the United States District Court (Case No. 18-mc-00392(VEC)) requesting that the Bankruptcy Court’s Decision be treated as findings of fact and conclusions of law, and for the District Court to review the Decision </w:t>
      </w:r>
      <w:r>
        <w:rPr>
          <w:rFonts w:ascii="Arial" w:cs="Arial" w:eastAsia="Arial" w:hAnsi="Arial"/>
          <w:sz w:val="21"/>
          <w:szCs w:val="21"/>
          <w:i w:val="1"/>
          <w:iCs w:val="1"/>
          <w:color w:val="auto"/>
        </w:rPr>
        <w:t>de novo</w:t>
      </w:r>
      <w:r>
        <w:rPr>
          <w:rFonts w:ascii="Arial" w:cs="Arial" w:eastAsia="Arial" w:hAnsi="Arial"/>
          <w:sz w:val="21"/>
          <w:szCs w:val="21"/>
          <w:color w:val="auto"/>
        </w:rPr>
        <w:t xml:space="preserve"> as to jurisdiction. Included with the motion were proposed objections to the Bankruptcy Court’s Decision. On September 18, 2018, Lehman Holdings filed its response to the joint motion, and defendants’ reply was filed on October 2, 2018.</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On September 17, 2018, certain defendants, including SecurityNational Mortgage, also filed a notice of appeal, and thereafter a motion for leave to file an interlocutory appeal as to the Bankruptcy Court’s Decision pertaining to jurisdiction and improper venue as a “protective” appeal should the District Court decide not to treat the Decision as findings of fact and conclusions of law. Separately, certain other defendants also filed a notice of appeal and motion for leave to file an interlocutory appeal with respect to the Bankruptcy Court’s Decision concerning improper venue. Lehman Holdings filed its response on October 22, 2018, and defendants filed a joint reply to Lehman Holdings’ response on November 26, 2018. The motions to file appeals were consolidated before Valerie Caproni, U.S. District Court Judge, Case No. 18-cv-08986 (VEC). Case No. 18-mc-00392 (VEC) is also before Judge Caproni.</w:t>
      </w:r>
    </w:p>
    <w:p>
      <w:pPr>
        <w:spacing w:after="0" w:line="23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On October 1, 2018, Lehman Holdings filed a motion for leave to file a Third Amended Complaint against numerous defendants including SecurityNational Mortgage. In addition to the Fannie Mae and Freddie Mac related loans, the amendments/supplements include additional mortgage loans sold to Lehman Holdings that were packaged for securitization (“RMBS loans”). The RMBS loans had allegedly been sold by defendants to Lehman Bank that, in turn, sold them to Lehman Holdings. The allegations pertaining to the RMBS loans include, e.g., purported breaches of representations and warranties made to the securitization trusts by Lehman Holdings. Lehman Holdings asserts that it made representations and warranties purportedly based in part by representations and warranties made to Lehman Bank by loan originators, including SecurityNational Mortgage.</w:t>
      </w: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The alleged RMBS loans in dispute with SecurityNational Mortgage allegedly involve millions of dollars pertaining to approximately 577 mortgage loans in addition to the Fannie Mae and Freddie Mac related loans. Lehman Holdings also moved the Court to simultaneously allow alternative dispute resolution procedures to take place, including potential mediation. Over objections, at a hearing on October 29, 2018, the Court granted Lehman Holdings’ motion to amend/supplement its complaints adding the RMBS loans, and also to mandate alternative dispute resolution procedures affecting many defendants, including SecurityNational Mortgage.</w:t>
      </w:r>
    </w:p>
    <w:p>
      <w:pPr>
        <w:spacing w:after="0" w:line="235"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Instead of filing a Third Amended Complaint to include the RMBS loans referenced above, Lehman Holdings filed the matter against SecurityNational Mortgage as a new complaint ("RMBS Complaint") (United States Bankruptcy Court, Southern District of New York, Adversary Proceeding 18-01819) pertaining to the approximately 577 RMBS loans, with the Second Amended Complaint remaining the same. The RMBS Complaint seeks alleged damages relating to obligations under alleged contractual indemnification provisions in an amount to be determined at trial, reasonable interest, costs and expenses incurred by LBHI in enforcing alleged obligations, including attorneys' fees and any expert witness fees incurred in litigation; and such other relief as the Court deems just and proper. SecurityNational Mortgage denies any liability to Lehman Holdings and intends to vigorously protect and defend its position.</w:t>
      </w:r>
    </w:p>
    <w:p>
      <w:pPr>
        <w:sectPr>
          <w:pgSz w:w="11900" w:h="16838" w:orient="portrait"/>
          <w:cols w:equalWidth="0" w:num="1">
            <w:col w:w="11420"/>
          </w:cols>
          <w:pgMar w:left="240" w:top="118" w:right="239" w:bottom="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42" w:name="page43"/>
    <w:bookmarkEnd w:id="42"/>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80" w:hanging="673"/>
        <w:spacing w:after="0"/>
        <w:tabs>
          <w:tab w:leader="none" w:pos="680"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Reinsurance, Commitments and Contingencies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 xml:space="preserve">In response to a Court order, certain defendants referenced in the Second Amended Complaint and the RMBS Complaints negotiated with Lehman Holdings concerning an amended case management order pertaining to certain case procedures and management for both lawsuits including, but not limited to, timing for filing motions and answering the complaints, and provisions concerning discovery such as document production, taking depositions, and use of experts. At a hearing held on March 7, 2019, the Court considered differences of the parties as to the content of an amended case management order, and thereafter signed an amended case management order dated March 13, 2019. On May 8, 2019, Judge Caproni issued her Opinion and Order denying the motion for an interlocutory appeal of the bankruptcy court’s ruling relative to jurisdiction and venue. Further, the judge denied the motion for immediate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review of the bankruptcy court’s ruling indicating that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review can be left for the future. Certain discovery has begun in the cases, and SecurityNational Mortgage filed answers and amended answers in the cases.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Debt Covenants for Mortgage Warehouse Lines of Credit</w:t>
      </w:r>
    </w:p>
    <w:p>
      <w:pPr>
        <w:spacing w:after="0" w:line="297"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The Company, through its subsidiary SecurityNational Mortgage, has a $100,000,000 line of credit with Wells Fargo Bank N.A. The agreement charges interest at the 1-Month LIBOR rate plus 2.1% and matures on June 16, 2020. SecurityNational Mortgage is required to maintain an adjusted tangible net worth of $19,000,000, unrestricted cash of $10,000,000, indebtedness to adjusted tangible net worth of 12:1, liquidity overhead coverage of 1.75:1, and a quarterly gross profit of at least $1.</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The Company, through its subsidiary SecurityNational Mortgage, also uses a line of credit with Texas Capital Bank N.A. This agreement with the bank allows SecurityNational Mortgage to borrow up to $100,000,000 for the sole purpose of funding mortgage loans. SecurityNational Mortgage is currently approved to borrow $30,000,000 of the $100,000,000 available. The agreement charges interest at the 1-Month LIBOR rate plus 3% and matures on September 7, 2019. The Company is required to maintain an adjusted tangible net worth of $70,000,000, unrestricted cash of $15,000,000, and no two consecutive quarters with a net loss. The Company obtained a waiver from Texas Capital Bank as SecurityNational did not meet the profitability covenant for the year with a loss at June 30, 2019.</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The agreements for both warehouse lines include cross default provisions in that a covenant violation under one agreement constitutes a covenant violation under the other agreement. Texas Capital has provided a waiver of the covenant violation, and SecurityNational Mortgage has requested but not yet received a waiver from Wells Fargo in regard to its covenant violation with Texas Capital Bank. With the current trend in earnings headed into the third quarter (typically the most profitable for the mortgage business), SecurityNational Mortgage anticipates a possibility that it will meet the profitability covenant with Texas Capital Bank at the end of the third quarter of 2019. In the unlikely event the Company is required to repay both warehouse lines, the Company has sufficient cash and borrowing capacity to do so and to continue to fund its origination activities through the other internal funding sources.</w:t>
      </w: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SecurityNational Mortgage believes that it has taken appropriate actions to return to meeting all the covenant requirements of Texas Capital Bank and that it will continue to meet the financial covenant requirements of Wells Fargo. As of June 30, 2019, the Company had approximately $27,232,000 and $88,091,000 outstanding on the Texas Capital Bank and Wells Fargo warehouse lines,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Contingencies and Commitments</w:t>
      </w:r>
    </w:p>
    <w:p>
      <w:pPr>
        <w:spacing w:after="0" w:line="29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The Company has entered into commitments to fund construction and land development loans and has also provided financing for land acquisition and development. As of June 30, 2019, the Company’s commitments were approximately $104,223,000 for these loans, of which $76,813,000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ectPr>
          <w:pgSz w:w="11900" w:h="16838" w:orient="portrait"/>
          <w:cols w:equalWidth="0" w:num="1">
            <w:col w:w="11420"/>
          </w:cols>
          <w:pgMar w:left="240" w:top="131"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3" w:name="page44"/>
    <w:bookmarkEnd w:id="43"/>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680" w:hanging="673"/>
        <w:spacing w:after="0"/>
        <w:tabs>
          <w:tab w:leader="none" w:pos="680"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Reinsurance, Commitments and Contingencies</w:t>
      </w:r>
      <w:r>
        <w:rPr>
          <w:rFonts w:ascii="Arial" w:cs="Arial" w:eastAsia="Arial" w:hAnsi="Arial"/>
          <w:sz w:val="21"/>
          <w:szCs w:val="21"/>
          <w:color w:val="auto"/>
        </w:rPr>
        <w:t xml:space="preserve"> (Continued)</w:t>
      </w:r>
    </w:p>
    <w:p>
      <w:pPr>
        <w:spacing w:after="0" w:line="291"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229" w:lineRule="exact"/>
        <w:rPr>
          <w:sz w:val="20"/>
          <w:szCs w:val="20"/>
          <w:color w:val="auto"/>
        </w:rPr>
      </w:pPr>
    </w:p>
    <w:p>
      <w:pPr>
        <w:jc w:val="both"/>
        <w:spacing w:after="0" w:line="351" w:lineRule="auto"/>
        <w:rPr>
          <w:sz w:val="20"/>
          <w:szCs w:val="20"/>
          <w:color w:val="auto"/>
        </w:rPr>
      </w:pPr>
      <w:r>
        <w:rPr>
          <w:rFonts w:ascii="Arial" w:cs="Arial" w:eastAsia="Arial" w:hAnsi="Arial"/>
          <w:sz w:val="19"/>
          <w:szCs w:val="19"/>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jc w:val="center"/>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9" w:lineRule="exact"/>
        <w:rPr>
          <w:sz w:val="20"/>
          <w:szCs w:val="20"/>
          <w:color w:val="auto"/>
        </w:rPr>
      </w:pPr>
    </w:p>
    <w:p>
      <w:pPr>
        <w:ind w:left="700" w:hanging="693"/>
        <w:spacing w:after="0"/>
        <w:tabs>
          <w:tab w:leader="none" w:pos="70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Mortgage Servicing Rights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The Company initially records these MSRs at fair value as discussed in Note 8.</w:t>
      </w:r>
    </w:p>
    <w:p>
      <w:pPr>
        <w:spacing w:after="0" w:line="29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229"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89"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MSR activity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As of</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As of</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December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4"/>
              </w:rPr>
              <w:t>June 30</w:t>
            </w:r>
          </w:p>
        </w:tc>
        <w:tc>
          <w:tcPr>
            <w:tcW w:w="80" w:type="dxa"/>
            <w:vAlign w:val="bottom"/>
          </w:tcPr>
          <w:p>
            <w:pPr>
              <w:spacing w:after="0"/>
              <w:rPr>
                <w:sz w:val="18"/>
                <w:szCs w:val="18"/>
                <w:color w:val="auto"/>
              </w:rPr>
            </w:pPr>
          </w:p>
        </w:tc>
        <w:tc>
          <w:tcPr>
            <w:tcW w:w="820" w:type="dxa"/>
            <w:vAlign w:val="bottom"/>
          </w:tcPr>
          <w:p>
            <w:pPr>
              <w:jc w:val="right"/>
              <w:ind w:right="27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color w:val="auto"/>
                <w:w w:val="84"/>
              </w:rPr>
              <w:t>2019</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180" w:type="dxa"/>
            <w:vAlign w:val="bottom"/>
            <w:gridSpan w:val="2"/>
          </w:tcPr>
          <w:p>
            <w:pPr>
              <w:ind w:left="1160"/>
              <w:spacing w:after="0"/>
              <w:rPr>
                <w:sz w:val="20"/>
                <w:szCs w:val="20"/>
                <w:color w:val="auto"/>
              </w:rPr>
            </w:pPr>
            <w:r>
              <w:rPr>
                <w:rFonts w:ascii="Arial" w:cs="Arial" w:eastAsia="Arial" w:hAnsi="Arial"/>
                <w:sz w:val="18"/>
                <w:szCs w:val="18"/>
                <w:color w:val="auto"/>
              </w:rPr>
              <w:t>Amortized cost: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Balance before valuation allowance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20,016,822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21,376,937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MSR additions resulting from loan sales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459,414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3,922,816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(2,971,759)</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(5,282,931)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4"/>
              </w:rPr>
              <w:t>Application of valuation allowance to write down MSRs with other than temporary impairment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before valuation allowance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17,504,477</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20,016,822</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6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impairment of MSRs: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4"/>
              </w:rPr>
              <w:t>Application of valuation allowance to write down MSRs with other than temporary impairment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6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160" w:type="dxa"/>
            <w:vAlign w:val="bottom"/>
            <w:vMerge w:val="continue"/>
          </w:tcPr>
          <w:p>
            <w:pPr>
              <w:spacing w:after="0"/>
              <w:rPr>
                <w:sz w:val="22"/>
                <w:szCs w:val="22"/>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17,504,477</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20,016,822</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116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160" w:type="dxa"/>
            <w:vAlign w:val="bottom"/>
            <w:vMerge w:val="continue"/>
          </w:tcPr>
          <w:p>
            <w:pPr>
              <w:spacing w:after="0"/>
              <w:rPr>
                <w:sz w:val="22"/>
                <w:szCs w:val="22"/>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MSRs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22,084,565</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28,885,316</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160" w:type="dxa"/>
            <w:vAlign w:val="bottom"/>
          </w:tcPr>
          <w:p>
            <w:pPr>
              <w:spacing w:after="0"/>
              <w:rPr>
                <w:sz w:val="16"/>
                <w:szCs w:val="16"/>
                <w:color w:val="auto"/>
              </w:rPr>
            </w:pPr>
          </w:p>
        </w:tc>
        <w:tc>
          <w:tcPr>
            <w:tcW w:w="7020" w:type="dxa"/>
            <w:vAlign w:val="bottom"/>
            <w:tcBorders>
              <w:top w:val="single" w:sz="8" w:color="CCEEFF"/>
            </w:tcBorders>
          </w:tcPr>
          <w:p>
            <w:pPr>
              <w:spacing w:after="0" w:line="194" w:lineRule="exact"/>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80" w:type="dxa"/>
            <w:vAlign w:val="bottom"/>
            <w:gridSpan w:val="2"/>
          </w:tcPr>
          <w:p>
            <w:pPr>
              <w:ind w:left="1160"/>
              <w:spacing w:after="0"/>
              <w:rPr>
                <w:sz w:val="20"/>
                <w:szCs w:val="20"/>
                <w:color w:val="auto"/>
              </w:rPr>
            </w:pPr>
            <w:r>
              <w:rPr>
                <w:rFonts w:ascii="Arial" w:cs="Arial" w:eastAsia="Arial" w:hAnsi="Arial"/>
                <w:sz w:val="18"/>
                <w:szCs w:val="18"/>
                <w:color w:val="auto"/>
              </w:rPr>
              <w:t>(1) Included in other expenses on the condensed consolidated statements of earnings</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6"/>
        </w:trPr>
        <w:tc>
          <w:tcPr>
            <w:tcW w:w="8180" w:type="dxa"/>
            <w:vAlign w:val="bottom"/>
            <w:gridSpan w:val="2"/>
          </w:tcPr>
          <w:p>
            <w:pPr>
              <w:jc w:val="right"/>
              <w:ind w:right="2311"/>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7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5" w:name="page46"/>
    <w:bookmarkEnd w:id="45"/>
    <w:p>
      <w:pPr>
        <w:jc w:val="center"/>
        <w:spacing w:after="0" w:line="279"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3" w:lineRule="exact"/>
        <w:rPr>
          <w:sz w:val="20"/>
          <w:szCs w:val="20"/>
          <w:color w:val="auto"/>
        </w:rPr>
      </w:pPr>
    </w:p>
    <w:p>
      <w:pPr>
        <w:ind w:left="700" w:hanging="693"/>
        <w:spacing w:after="0"/>
        <w:tabs>
          <w:tab w:leader="none" w:pos="700"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Mortgage Servicing Rights</w:t>
      </w:r>
      <w:r>
        <w:rPr>
          <w:rFonts w:ascii="Arial" w:cs="Arial" w:eastAsia="Arial" w:hAnsi="Arial"/>
          <w:sz w:val="21"/>
          <w:szCs w:val="21"/>
          <w:color w:val="auto"/>
        </w:rPr>
        <w:t xml:space="preserve"> (Continued)</w:t>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Company’s estimate of future amortization of its existing MSRs carried at amortized cost:</w:t>
      </w:r>
    </w:p>
    <w:p>
      <w:pPr>
        <w:spacing w:after="0" w:line="299"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Estimated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MSR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Amortization</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1,945,702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2020</w:t>
            </w:r>
          </w:p>
        </w:tc>
        <w:tc>
          <w:tcPr>
            <w:tcW w:w="940" w:type="dxa"/>
            <w:vAlign w:val="bottom"/>
          </w:tcPr>
          <w:p>
            <w:pPr>
              <w:jc w:val="right"/>
              <w:spacing w:after="0"/>
              <w:rPr>
                <w:sz w:val="20"/>
                <w:szCs w:val="20"/>
                <w:color w:val="auto"/>
              </w:rPr>
            </w:pPr>
            <w:r>
              <w:rPr>
                <w:rFonts w:ascii="Arial" w:cs="Arial" w:eastAsia="Arial" w:hAnsi="Arial"/>
                <w:sz w:val="18"/>
                <w:szCs w:val="18"/>
                <w:color w:val="auto"/>
              </w:rPr>
              <w:t>2,240,020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1,933,267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2022</w:t>
            </w:r>
          </w:p>
        </w:tc>
        <w:tc>
          <w:tcPr>
            <w:tcW w:w="940" w:type="dxa"/>
            <w:vAlign w:val="bottom"/>
          </w:tcPr>
          <w:p>
            <w:pPr>
              <w:jc w:val="right"/>
              <w:spacing w:after="0"/>
              <w:rPr>
                <w:sz w:val="20"/>
                <w:szCs w:val="20"/>
                <w:color w:val="auto"/>
              </w:rPr>
            </w:pPr>
            <w:r>
              <w:rPr>
                <w:rFonts w:ascii="Arial" w:cs="Arial" w:eastAsia="Arial" w:hAnsi="Arial"/>
                <w:sz w:val="18"/>
                <w:szCs w:val="18"/>
                <w:color w:val="auto"/>
              </w:rPr>
              <w:t>1,656,072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8,303,862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$ 17,504,477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both"/>
        <w:ind w:right="20"/>
        <w:spacing w:after="0" w:line="294" w:lineRule="auto"/>
        <w:rPr>
          <w:sz w:val="20"/>
          <w:szCs w:val="20"/>
          <w:color w:val="auto"/>
        </w:rPr>
      </w:pPr>
      <w:r>
        <w:rPr>
          <w:rFonts w:ascii="Arial" w:cs="Arial" w:eastAsia="Arial" w:hAnsi="Arial"/>
          <w:sz w:val="21"/>
          <w:szCs w:val="21"/>
          <w:color w:val="auto"/>
        </w:rPr>
        <w:t>The Company collected the following contractual servicing fee income and late fee income as reported in other revenues on the condensed consolidated statement of earnings:</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6"/>
          </w:tcPr>
          <w:p>
            <w:pPr>
              <w:ind w:left="1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1920" w:type="dxa"/>
            <w:vAlign w:val="bottom"/>
            <w:gridSpan w:val="5"/>
          </w:tcPr>
          <w:p>
            <w:pPr>
              <w:ind w:left="1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1,858,599</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1,887,576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3,668,013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3,764,459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Late fees</w:t>
            </w:r>
          </w:p>
        </w:tc>
        <w:tc>
          <w:tcPr>
            <w:tcW w:w="16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87,291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116,350</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178,890</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228,098</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1,945,890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2,003,926</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3,846,903</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3,992,557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unpaid principal balances (“UPB”) of the servicing portfolio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center"/>
              <w:ind w:right="520"/>
              <w:spacing w:after="0"/>
              <w:rPr>
                <w:sz w:val="20"/>
                <w:szCs w:val="20"/>
                <w:color w:val="auto"/>
              </w:rPr>
            </w:pPr>
            <w:r>
              <w:rPr>
                <w:rFonts w:ascii="Arial" w:cs="Arial" w:eastAsia="Arial" w:hAnsi="Arial"/>
                <w:sz w:val="18"/>
                <w:szCs w:val="18"/>
                <w:color w:val="auto"/>
                <w:w w:val="97"/>
              </w:rPr>
              <w:t>As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jc w:val="center"/>
              <w:ind w:right="380"/>
              <w:spacing w:after="0"/>
              <w:rPr>
                <w:sz w:val="20"/>
                <w:szCs w:val="20"/>
                <w:color w:val="auto"/>
              </w:rPr>
            </w:pPr>
            <w:r>
              <w:rPr>
                <w:rFonts w:ascii="Arial" w:cs="Arial" w:eastAsia="Arial" w:hAnsi="Arial"/>
                <w:sz w:val="18"/>
                <w:szCs w:val="18"/>
                <w:color w:val="auto"/>
                <w:w w:val="87"/>
              </w:rPr>
              <w:t>June 30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91"/>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16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Servicing UPB</w:t>
            </w:r>
          </w:p>
        </w:tc>
        <w:tc>
          <w:tcPr>
            <w:tcW w:w="198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$2,794,077,226</w:t>
            </w:r>
          </w:p>
        </w:tc>
        <w:tc>
          <w:tcPr>
            <w:tcW w:w="12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87"/>
              </w:rPr>
              <w:t>$2,941,231,563</w:t>
            </w:r>
          </w:p>
        </w:tc>
        <w:tc>
          <w:tcPr>
            <w:tcW w:w="0" w:type="dxa"/>
            <w:vAlign w:val="bottom"/>
          </w:tcPr>
          <w:p>
            <w:pPr>
              <w:spacing w:after="0"/>
              <w:rPr>
                <w:sz w:val="1"/>
                <w:szCs w:val="1"/>
                <w:color w:val="auto"/>
              </w:rPr>
            </w:pPr>
          </w:p>
        </w:tc>
      </w:tr>
      <w:tr>
        <w:trPr>
          <w:trHeight w:val="530"/>
        </w:trPr>
        <w:tc>
          <w:tcPr>
            <w:tcW w:w="7100" w:type="dxa"/>
            <w:vAlign w:val="bottom"/>
            <w:gridSpan w:val="2"/>
          </w:tcPr>
          <w:p>
            <w:pPr>
              <w:spacing w:after="0"/>
              <w:rPr>
                <w:sz w:val="20"/>
                <w:szCs w:val="20"/>
                <w:color w:val="auto"/>
              </w:rPr>
            </w:pPr>
            <w:r>
              <w:rPr>
                <w:rFonts w:ascii="Arial" w:cs="Arial" w:eastAsia="Arial" w:hAnsi="Arial"/>
                <w:sz w:val="21"/>
                <w:szCs w:val="21"/>
                <w:color w:val="auto"/>
              </w:rPr>
              <w:t>The following key assumptions were used in determining MSR value:</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11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60" w:type="dxa"/>
            <w:vAlign w:val="bottom"/>
            <w:gridSpan w:val="3"/>
          </w:tcPr>
          <w:p>
            <w:pPr>
              <w:jc w:val="center"/>
              <w:ind w:right="71"/>
              <w:spacing w:after="0"/>
              <w:rPr>
                <w:sz w:val="20"/>
                <w:szCs w:val="20"/>
                <w:color w:val="auto"/>
              </w:rPr>
            </w:pPr>
            <w:r>
              <w:rPr>
                <w:rFonts w:ascii="Arial" w:cs="Arial" w:eastAsia="Arial" w:hAnsi="Arial"/>
                <w:sz w:val="18"/>
                <w:szCs w:val="18"/>
                <w:color w:val="auto"/>
                <w:w w:val="88"/>
              </w:rPr>
              <w:t>Prepayment</w:t>
            </w:r>
          </w:p>
        </w:tc>
        <w:tc>
          <w:tcPr>
            <w:tcW w:w="10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9"/>
              </w:rPr>
              <w:t>Average</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Discount</w:t>
            </w: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1"/>
              </w:rPr>
              <w:t>Speeds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Life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Rate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16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1000" w:type="dxa"/>
            <w:vAlign w:val="bottom"/>
            <w:gridSpan w:val="5"/>
          </w:tcPr>
          <w:p>
            <w:pPr>
              <w:spacing w:after="0"/>
              <w:rPr>
                <w:sz w:val="18"/>
                <w:szCs w:val="18"/>
                <w:color w:val="auto"/>
              </w:rPr>
            </w:pPr>
          </w:p>
        </w:tc>
        <w:tc>
          <w:tcPr>
            <w:tcW w:w="11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16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June 30, 2019</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December 31, 2018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3.86%</w:t>
            </w: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6.33</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13) </w:t>
      </w:r>
      <w:r>
        <w:rPr>
          <w:rFonts w:ascii="Arial" w:cs="Arial" w:eastAsia="Arial" w:hAnsi="Arial"/>
          <w:sz w:val="21"/>
          <w:szCs w:val="21"/>
          <w:u w:val="single" w:color="auto"/>
          <w:color w:val="auto"/>
        </w:rPr>
        <w:t>Income Taxes</w:t>
      </w:r>
    </w:p>
    <w:p>
      <w:pPr>
        <w:spacing w:after="0" w:line="291"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Company’s overall effective tax rate for the three months ended June 30, 2019 and 2018 was 24.7% and 22.2%, respectively, which resulted in a provision for income taxes of $1,144,000 and $924,000, respectively. The Company’s overall effective tax rate for the six months ended June 30, 2019 and 2018 was 23.3% and 20.5%, respectively, which resulted in a provision for income taxes of $1,646,000 and $5,185,000, respectively. The Company's effective tax rates differ from the U.S. federal statutory rate of 21% partially due to its provision for state income taxes. The effective tax rate in the current period increased when compared to the prior year period largely due to the Company’s provision for state income taxes.</w:t>
      </w:r>
    </w:p>
    <w:p>
      <w:pPr>
        <w:sectPr>
          <w:pgSz w:w="11900" w:h="16838" w:orient="portrait"/>
          <w:cols w:equalWidth="0" w:num="1">
            <w:col w:w="11420"/>
          </w:cols>
          <w:pgMar w:left="240" w:top="131" w:right="2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6" w:name="page47"/>
    <w:bookmarkEnd w:id="46"/>
    <w:p>
      <w:pPr>
        <w:jc w:val="center"/>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9" w:lineRule="exact"/>
        <w:rPr>
          <w:sz w:val="20"/>
          <w:szCs w:val="20"/>
          <w:color w:val="auto"/>
        </w:rPr>
      </w:pPr>
    </w:p>
    <w:p>
      <w:pPr>
        <w:ind w:left="340" w:hanging="333"/>
        <w:spacing w:after="0"/>
        <w:tabs>
          <w:tab w:leader="none" w:pos="340"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Revenues from Contracts with Customers</w:t>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The Company reports revenues from contracts with customers pursuant to ASC No. 606, Revenue from Contracts with Customers.</w:t>
      </w:r>
    </w:p>
    <w:p>
      <w:pPr>
        <w:spacing w:after="0" w:line="3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Information about Performance Obligations and Contract Balances</w:t>
      </w:r>
    </w:p>
    <w:p>
      <w:pPr>
        <w:spacing w:after="0" w:line="297"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The Company’s three types of future obligations are as follows:</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21"/>
          <w:szCs w:val="21"/>
          <w:i w:val="1"/>
          <w:iCs w:val="1"/>
          <w:u w:val="single" w:color="auto"/>
          <w:color w:val="auto"/>
        </w:rPr>
        <w:t>Pre-need Merchandise and Service Revenue</w:t>
      </w:r>
      <w:r>
        <w:rPr>
          <w:rFonts w:ascii="Arial" w:cs="Arial" w:eastAsia="Arial" w:hAnsi="Arial"/>
          <w:sz w:val="21"/>
          <w:szCs w:val="21"/>
          <w:color w:val="auto"/>
        </w:rPr>
        <w:t>: All pre-need merchandise and service revenue is deferred and the funds are placed in</w:t>
      </w:r>
      <w:r>
        <w:rPr>
          <w:rFonts w:ascii="Arial" w:cs="Arial" w:eastAsia="Arial" w:hAnsi="Arial"/>
          <w:sz w:val="21"/>
          <w:szCs w:val="21"/>
          <w:i w:val="1"/>
          <w:iCs w:val="1"/>
          <w:color w:val="auto"/>
        </w:rPr>
        <w:t xml:space="preserve"> </w:t>
      </w:r>
      <w:r>
        <w:rPr>
          <w:rFonts w:ascii="Arial" w:cs="Arial" w:eastAsia="Arial" w:hAnsi="Arial"/>
          <w:sz w:val="21"/>
          <w:szCs w:val="21"/>
          <w:color w:val="auto"/>
        </w:rPr>
        <w:t>trust until the need arises, the merchandise is received or the service is performed. The trust is then relieved, and the revenue and commissions are recognized.</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21"/>
          <w:szCs w:val="21"/>
          <w:i w:val="1"/>
          <w:iCs w:val="1"/>
          <w:u w:val="single" w:color="auto"/>
          <w:color w:val="auto"/>
        </w:rPr>
        <w:t>At-need Specialty Merchandise Revenue</w:t>
      </w:r>
      <w:r>
        <w:rPr>
          <w:rFonts w:ascii="Arial" w:cs="Arial" w:eastAsia="Arial" w:hAnsi="Arial"/>
          <w:sz w:val="21"/>
          <w:szCs w:val="21"/>
          <w:color w:val="auto"/>
        </w:rPr>
        <w:t>: At-need specialty merchandise revenue consists of customizable merchandise ordered from</w:t>
      </w:r>
      <w:r>
        <w:rPr>
          <w:rFonts w:ascii="Arial" w:cs="Arial" w:eastAsia="Arial" w:hAnsi="Arial"/>
          <w:sz w:val="21"/>
          <w:szCs w:val="21"/>
          <w:i w:val="1"/>
          <w:iCs w:val="1"/>
          <w:color w:val="auto"/>
        </w:rPr>
        <w:t xml:space="preserve"> </w:t>
      </w:r>
      <w:r>
        <w:rPr>
          <w:rFonts w:ascii="Arial" w:cs="Arial" w:eastAsia="Arial" w:hAnsi="Arial"/>
          <w:sz w:val="21"/>
          <w:szCs w:val="21"/>
          <w:color w:val="auto"/>
        </w:rPr>
        <w:t>a manufacturer such as markers and bases. When specialty merchandise is ordered, it can take time to manufacture and deliver the product. Revenue is deferred until the at-need merchandise is received.</w:t>
      </w:r>
    </w:p>
    <w:p>
      <w:pPr>
        <w:spacing w:after="0" w:line="223" w:lineRule="exact"/>
        <w:rPr>
          <w:sz w:val="20"/>
          <w:szCs w:val="20"/>
          <w:color w:val="auto"/>
        </w:rPr>
      </w:pPr>
    </w:p>
    <w:p>
      <w:pPr>
        <w:jc w:val="both"/>
        <w:spacing w:after="0" w:line="321" w:lineRule="auto"/>
        <w:rPr>
          <w:sz w:val="20"/>
          <w:szCs w:val="20"/>
          <w:color w:val="auto"/>
        </w:rPr>
      </w:pPr>
      <w:r>
        <w:rPr>
          <w:rFonts w:ascii="Arial" w:cs="Arial" w:eastAsia="Arial" w:hAnsi="Arial"/>
          <w:sz w:val="20"/>
          <w:szCs w:val="20"/>
          <w:i w:val="1"/>
          <w:iCs w:val="1"/>
          <w:u w:val="single" w:color="auto"/>
          <w:color w:val="auto"/>
        </w:rPr>
        <w:t>Deferred Pre-need Land Revenue</w:t>
      </w:r>
      <w:r>
        <w:rPr>
          <w:rFonts w:ascii="Arial" w:cs="Arial" w:eastAsia="Arial" w:hAnsi="Arial"/>
          <w:sz w:val="20"/>
          <w:szCs w:val="20"/>
          <w:color w:val="auto"/>
        </w:rPr>
        <w:t>: Deferred pre-need revenue and corresponding commissions are deferred until 10% of the funds are</w:t>
      </w:r>
      <w:r>
        <w:rPr>
          <w:rFonts w:ascii="Arial" w:cs="Arial" w:eastAsia="Arial" w:hAnsi="Arial"/>
          <w:sz w:val="20"/>
          <w:szCs w:val="20"/>
          <w:i w:val="1"/>
          <w:iCs w:val="1"/>
          <w:color w:val="auto"/>
        </w:rPr>
        <w:t xml:space="preserve"> </w:t>
      </w:r>
      <w:r>
        <w:rPr>
          <w:rFonts w:ascii="Arial" w:cs="Arial" w:eastAsia="Arial" w:hAnsi="Arial"/>
          <w:sz w:val="20"/>
          <w:szCs w:val="20"/>
          <w:color w:val="auto"/>
        </w:rPr>
        <w:t>received from the customer through regular monthly payments. Deferred pre-need land revenue is not placed in trust.</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The opening and closing balances of the Company’s receivables, contract assets and contract liabilities are as follows:</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2200" w:type="dxa"/>
            <w:vAlign w:val="bottom"/>
            <w:tcBorders>
              <w:bottom w:val="single" w:sz="8" w:color="auto"/>
            </w:tcBorders>
            <w:gridSpan w:val="6"/>
          </w:tcPr>
          <w:p>
            <w:pPr>
              <w:ind w:left="900"/>
              <w:spacing w:after="0"/>
              <w:rPr>
                <w:sz w:val="20"/>
                <w:szCs w:val="20"/>
                <w:color w:val="auto"/>
              </w:rPr>
            </w:pPr>
            <w:r>
              <w:rPr>
                <w:rFonts w:ascii="Arial" w:cs="Arial" w:eastAsia="Arial" w:hAnsi="Arial"/>
                <w:sz w:val="18"/>
                <w:szCs w:val="18"/>
                <w:color w:val="auto"/>
                <w:w w:val="87"/>
              </w:rPr>
              <w:t>Contract Balances</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020" w:type="dxa"/>
            <w:vAlign w:val="bottom"/>
            <w:gridSpan w:val="2"/>
          </w:tcPr>
          <w:p>
            <w:pPr>
              <w:ind w:left="40"/>
              <w:spacing w:after="0" w:line="201" w:lineRule="exact"/>
              <w:rPr>
                <w:sz w:val="20"/>
                <w:szCs w:val="20"/>
                <w:color w:val="auto"/>
              </w:rPr>
            </w:pPr>
            <w:r>
              <w:rPr>
                <w:rFonts w:ascii="Arial" w:cs="Arial" w:eastAsia="Arial" w:hAnsi="Arial"/>
                <w:sz w:val="18"/>
                <w:szCs w:val="18"/>
                <w:color w:val="auto"/>
                <w:w w:val="97"/>
              </w:rPr>
              <w:t>Receivables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Contract</w:t>
            </w:r>
          </w:p>
        </w:tc>
        <w:tc>
          <w:tcPr>
            <w:tcW w:w="900" w:type="dxa"/>
            <w:vAlign w:val="bottom"/>
          </w:tcPr>
          <w:p>
            <w:pPr>
              <w:jc w:val="right"/>
              <w:ind w:right="71"/>
              <w:spacing w:after="0" w:line="201" w:lineRule="exact"/>
              <w:rPr>
                <w:sz w:val="20"/>
                <w:szCs w:val="20"/>
                <w:color w:val="auto"/>
              </w:rPr>
            </w:pPr>
            <w:r>
              <w:rPr>
                <w:rFonts w:ascii="Arial" w:cs="Arial" w:eastAsia="Arial" w:hAnsi="Arial"/>
                <w:sz w:val="18"/>
                <w:szCs w:val="18"/>
                <w:color w:val="auto"/>
              </w:rPr>
              <w:t>Contract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Asset</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Liability</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Opening (1/1/2019)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2,816,225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$ 12,508,625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Closing (6/30/2019)</w:t>
            </w:r>
          </w:p>
        </w:tc>
        <w:tc>
          <w:tcPr>
            <w:tcW w:w="920" w:type="dxa"/>
            <w:vAlign w:val="bottom"/>
          </w:tcPr>
          <w:p>
            <w:pPr>
              <w:jc w:val="right"/>
              <w:spacing w:after="0"/>
              <w:rPr>
                <w:sz w:val="20"/>
                <w:szCs w:val="20"/>
                <w:color w:val="auto"/>
              </w:rPr>
            </w:pPr>
            <w:r>
              <w:rPr>
                <w:rFonts w:ascii="Arial" w:cs="Arial" w:eastAsia="Arial" w:hAnsi="Arial"/>
                <w:sz w:val="18"/>
                <w:szCs w:val="18"/>
                <w:color w:val="auto"/>
              </w:rPr>
              <w:t>2,891,181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12,730,705</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74,956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222,080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20" w:type="dxa"/>
            <w:vAlign w:val="bottom"/>
          </w:tcPr>
          <w:p>
            <w:pPr>
              <w:spacing w:after="0" w:line="194" w:lineRule="exact"/>
              <w:rPr>
                <w:sz w:val="20"/>
                <w:szCs w:val="20"/>
                <w:color w:val="auto"/>
              </w:rPr>
            </w:pPr>
            <w:r>
              <w:rPr>
                <w:rFonts w:ascii="Arial" w:cs="Arial" w:eastAsia="Arial" w:hAnsi="Arial"/>
                <w:sz w:val="18"/>
                <w:szCs w:val="18"/>
                <w:color w:val="auto"/>
              </w:rPr>
              <w:t>_______________</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940" w:type="dxa"/>
            <w:vAlign w:val="bottom"/>
            <w:gridSpan w:val="2"/>
          </w:tcPr>
          <w:p>
            <w:pPr>
              <w:spacing w:after="0"/>
              <w:rPr>
                <w:sz w:val="20"/>
                <w:szCs w:val="20"/>
                <w:color w:val="auto"/>
              </w:rPr>
            </w:pPr>
            <w:r>
              <w:rPr>
                <w:rFonts w:ascii="Arial" w:cs="Arial" w:eastAsia="Arial" w:hAnsi="Arial"/>
                <w:sz w:val="18"/>
                <w:szCs w:val="18"/>
                <w:color w:val="auto"/>
                <w:w w:val="93"/>
              </w:rPr>
              <w:t>(1) Included in Receivables, net on the condensed consolidated balance sheets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amount of revenue recognized and included in the opening contract liability balance for the three months ended June 30, 2019 and 2018 was $889,578 and $630,209, respectively, and for the six months ended June 30, 2019 and 2018 was $1,631,098 and $1,354,980, respectively.</w:t>
      </w:r>
    </w:p>
    <w:p>
      <w:pPr>
        <w:spacing w:after="0" w:line="223"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June 30, 2019 (Unaudited)</w:t>
      </w:r>
    </w:p>
    <w:p>
      <w:pPr>
        <w:spacing w:after="0" w:line="286" w:lineRule="exact"/>
        <w:rPr>
          <w:sz w:val="20"/>
          <w:szCs w:val="20"/>
          <w:color w:val="auto"/>
        </w:rPr>
      </w:pPr>
    </w:p>
    <w:p>
      <w:pPr>
        <w:ind w:left="340" w:hanging="333"/>
        <w:spacing w:after="0"/>
        <w:tabs>
          <w:tab w:leader="none" w:pos="340"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Revenues from Contracts with Customers</w:t>
      </w:r>
      <w:r>
        <w:rPr>
          <w:rFonts w:ascii="Arial" w:cs="Arial" w:eastAsia="Arial" w:hAnsi="Arial"/>
          <w:sz w:val="21"/>
          <w:szCs w:val="21"/>
          <w:color w:val="auto"/>
        </w:rPr>
        <w:t xml:space="preserve"> (Continued)</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Disaggregation of Revenue</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disaggregates revenue for the Company’s cemetery and mortuary contracts for the periods presented:</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ind w:left="1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18"/>
                <w:szCs w:val="18"/>
                <w:color w:val="auto"/>
              </w:rPr>
            </w:pPr>
          </w:p>
        </w:tc>
        <w:tc>
          <w:tcPr>
            <w:tcW w:w="1840" w:type="dxa"/>
            <w:vAlign w:val="bottom"/>
            <w:gridSpan w:val="4"/>
          </w:tcPr>
          <w:p>
            <w:pPr>
              <w:jc w:val="right"/>
              <w:ind w:right="491"/>
              <w:spacing w:after="0"/>
              <w:rPr>
                <w:sz w:val="20"/>
                <w:szCs w:val="20"/>
                <w:color w:val="auto"/>
              </w:rPr>
            </w:pPr>
            <w:r>
              <w:rPr>
                <w:rFonts w:ascii="Arial" w:cs="Arial" w:eastAsia="Arial" w:hAnsi="Arial"/>
                <w:sz w:val="18"/>
                <w:szCs w:val="18"/>
                <w:color w:val="auto"/>
              </w:rPr>
              <w:t>Six Months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8"/>
                <w:szCs w:val="18"/>
                <w:color w:val="auto"/>
              </w:rPr>
              <w:t>Ended June 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840" w:type="dxa"/>
            <w:vAlign w:val="bottom"/>
            <w:gridSpan w:val="4"/>
          </w:tcPr>
          <w:p>
            <w:pPr>
              <w:spacing w:after="0" w:line="173" w:lineRule="exact"/>
              <w:rPr>
                <w:sz w:val="20"/>
                <w:szCs w:val="20"/>
                <w:color w:val="auto"/>
              </w:rPr>
            </w:pPr>
            <w:r>
              <w:rPr>
                <w:rFonts w:ascii="Arial" w:cs="Arial" w:eastAsia="Arial" w:hAnsi="Arial"/>
                <w:sz w:val="18"/>
                <w:szCs w:val="18"/>
                <w:b w:val="1"/>
                <w:bCs w:val="1"/>
                <w:color w:val="auto"/>
              </w:rPr>
              <w:t>Major goods/service lines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At-need</w:t>
            </w:r>
          </w:p>
        </w:tc>
        <w:tc>
          <w:tcPr>
            <w:tcW w:w="2920" w:type="dxa"/>
            <w:vAlign w:val="bottom"/>
            <w:gridSpan w:val="2"/>
            <w:shd w:val="clear" w:color="auto" w:fill="CCEEFF"/>
          </w:tcPr>
          <w:p>
            <w:pPr>
              <w:spacing w:after="0"/>
              <w:rPr>
                <w:sz w:val="20"/>
                <w:szCs w:val="20"/>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3,025,783</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2,463,070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5,994,850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5,200,695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Pre-need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974,947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1,088,039</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1,684,508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1,583,143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4,000,730</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3,551,109</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7,679,358</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6,783,838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0" w:type="dxa"/>
            <w:vAlign w:val="bottom"/>
            <w:vMerge w:val="continue"/>
          </w:tcPr>
          <w:p>
            <w:pPr>
              <w:spacing w:after="0"/>
              <w:rPr>
                <w:sz w:val="15"/>
                <w:szCs w:val="15"/>
                <w:color w:val="auto"/>
              </w:rPr>
            </w:pPr>
          </w:p>
        </w:tc>
        <w:tc>
          <w:tcPr>
            <w:tcW w:w="4820" w:type="dxa"/>
            <w:vAlign w:val="bottom"/>
            <w:gridSpan w:val="3"/>
            <w:shd w:val="clear" w:color="auto" w:fill="CCEEFF"/>
          </w:tcPr>
          <w:p>
            <w:pPr>
              <w:spacing w:after="0" w:line="173" w:lineRule="exact"/>
              <w:rPr>
                <w:sz w:val="20"/>
                <w:szCs w:val="20"/>
                <w:color w:val="auto"/>
              </w:rPr>
            </w:pPr>
            <w:r>
              <w:rPr>
                <w:rFonts w:ascii="Arial" w:cs="Arial" w:eastAsia="Arial" w:hAnsi="Arial"/>
                <w:sz w:val="18"/>
                <w:szCs w:val="18"/>
                <w:b w:val="1"/>
                <w:bCs w:val="1"/>
                <w:color w:val="auto"/>
              </w:rPr>
              <w:t>Timing of Revenue Recognition</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9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Goods transferred at a point in time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2,754,230</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2,413,657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5,144,840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4,486,138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Services transferred at a point in time</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1,246,500</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1,137,452</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2,534,518</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2,297,700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4,000,730</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3,551,109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7,679,358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6,783,838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revenues from cemetery and mortuary contracts to Note 7 – Business Segment Information for the</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Cemetery/Mortuary Segment for the periods presented: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gridSpan w:val="5"/>
          </w:tcPr>
          <w:p>
            <w:pPr>
              <w:jc w:val="center"/>
              <w:ind w:right="160"/>
              <w:spacing w:after="0"/>
              <w:rPr>
                <w:sz w:val="20"/>
                <w:szCs w:val="20"/>
                <w:color w:val="auto"/>
              </w:rPr>
            </w:pPr>
            <w:r>
              <w:rPr>
                <w:rFonts w:ascii="Arial" w:cs="Arial" w:eastAsia="Arial" w:hAnsi="Arial"/>
                <w:sz w:val="18"/>
                <w:szCs w:val="18"/>
                <w:color w:val="auto"/>
                <w:w w:val="89"/>
              </w:rPr>
              <w:t>Three Months Ended</w:t>
            </w:r>
          </w:p>
        </w:tc>
        <w:tc>
          <w:tcPr>
            <w:tcW w:w="2060" w:type="dxa"/>
            <w:vAlign w:val="bottom"/>
            <w:gridSpan w:val="5"/>
          </w:tcPr>
          <w:p>
            <w:pPr>
              <w:jc w:val="center"/>
              <w:ind w:right="80"/>
              <w:spacing w:after="0"/>
              <w:rPr>
                <w:sz w:val="20"/>
                <w:szCs w:val="20"/>
                <w:color w:val="auto"/>
              </w:rPr>
            </w:pPr>
            <w:r>
              <w:rPr>
                <w:rFonts w:ascii="Arial" w:cs="Arial" w:eastAsia="Arial" w:hAnsi="Arial"/>
                <w:sz w:val="18"/>
                <w:szCs w:val="18"/>
                <w:color w:val="auto"/>
                <w:w w:val="91"/>
              </w:rPr>
              <w:t>Six Months Ended</w:t>
            </w:r>
          </w:p>
        </w:tc>
        <w:tc>
          <w:tcPr>
            <w:tcW w:w="1140" w:type="dxa"/>
            <w:vAlign w:val="bottom"/>
          </w:tcPr>
          <w:p>
            <w:pPr>
              <w:spacing w:after="0"/>
              <w:rPr>
                <w:sz w:val="18"/>
                <w:szCs w:val="18"/>
                <w:color w:val="auto"/>
              </w:rPr>
            </w:pPr>
          </w:p>
        </w:tc>
      </w:tr>
      <w:tr>
        <w:trPr>
          <w:trHeight w:val="232"/>
        </w:trPr>
        <w:tc>
          <w:tcPr>
            <w:tcW w:w="11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Borders>
              <w:bottom w:val="single" w:sz="8" w:color="auto"/>
            </w:tcBorders>
            <w:gridSpan w:val="3"/>
          </w:tcPr>
          <w:p>
            <w:pPr>
              <w:jc w:val="center"/>
              <w:ind w:left="651"/>
              <w:spacing w:after="0"/>
              <w:rPr>
                <w:sz w:val="20"/>
                <w:szCs w:val="20"/>
                <w:color w:val="auto"/>
              </w:rPr>
            </w:pPr>
            <w:r>
              <w:rPr>
                <w:rFonts w:ascii="Arial" w:cs="Arial" w:eastAsia="Arial" w:hAnsi="Arial"/>
                <w:sz w:val="18"/>
                <w:szCs w:val="18"/>
                <w:color w:val="auto"/>
                <w:w w:val="84"/>
              </w:rPr>
              <w:t>June 30</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8"/>
                <w:szCs w:val="18"/>
                <w:color w:val="auto"/>
                <w:w w:val="84"/>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0"/>
        </w:trPr>
        <w:tc>
          <w:tcPr>
            <w:tcW w:w="1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3"/>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4,000,730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3,551,109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$ 7,679,358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6,783,838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Gains on investments and other assets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354,500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1,676,165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853,097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2,085,253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11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36,129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275,371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99,601</w:t>
            </w:r>
          </w:p>
        </w:tc>
        <w:tc>
          <w:tcPr>
            <w:tcW w:w="114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revenues</w:t>
            </w:r>
          </w:p>
        </w:tc>
        <w:tc>
          <w:tcPr>
            <w:tcW w:w="2380" w:type="dxa"/>
            <w:vAlign w:val="bottom"/>
            <w:gridSpan w:val="3"/>
          </w:tcPr>
          <w:p>
            <w:pPr>
              <w:jc w:val="right"/>
              <w:ind w:right="180"/>
              <w:spacing w:after="0"/>
              <w:rPr>
                <w:sz w:val="20"/>
                <w:szCs w:val="20"/>
                <w:color w:val="auto"/>
              </w:rPr>
            </w:pPr>
            <w:r>
              <w:rPr>
                <w:rFonts w:ascii="Arial" w:cs="Arial" w:eastAsia="Arial" w:hAnsi="Arial"/>
                <w:sz w:val="18"/>
                <w:szCs w:val="18"/>
                <w:color w:val="auto"/>
              </w:rPr>
              <w:t>25,215</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17,602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94,466</w:t>
            </w: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82,722</w:t>
            </w:r>
          </w:p>
        </w:tc>
        <w:tc>
          <w:tcPr>
            <w:tcW w:w="1140" w:type="dxa"/>
            <w:vAlign w:val="bottom"/>
          </w:tcPr>
          <w:p>
            <w:pPr>
              <w:spacing w:after="0"/>
              <w:rPr>
                <w:sz w:val="19"/>
                <w:szCs w:val="19"/>
                <w:color w:val="auto"/>
              </w:rPr>
            </w:pPr>
          </w:p>
        </w:tc>
      </w:tr>
      <w:tr>
        <w:trPr>
          <w:trHeight w:val="253"/>
        </w:trPr>
        <w:tc>
          <w:tcPr>
            <w:tcW w:w="1160" w:type="dxa"/>
            <w:vAlign w:val="bottom"/>
          </w:tcPr>
          <w:p>
            <w:pPr>
              <w:spacing w:after="0"/>
              <w:rPr>
                <w:sz w:val="22"/>
                <w:szCs w:val="22"/>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4,543,007</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5,281,005</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8,902,292</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9,051,414</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595"/>
        </w:trPr>
        <w:tc>
          <w:tcPr>
            <w:tcW w:w="11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color w:val="auto"/>
              </w:rPr>
              <w:t>45</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18" w:right="239" w:bottom="1440" w:gutter="0" w:footer="0" w:header="0"/>
        </w:sectPr>
      </w:pPr>
    </w:p>
    <w:bookmarkStart w:id="48" w:name="page49"/>
    <w:bookmarkEnd w:id="48"/>
    <w:p>
      <w:pPr>
        <w:jc w:val="center"/>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00" w:lineRule="exact"/>
        <w:rPr>
          <w:sz w:val="20"/>
          <w:szCs w:val="20"/>
          <w:color w:val="auto"/>
        </w:rPr>
      </w:pPr>
    </w:p>
    <w:p>
      <w:pPr>
        <w:spacing w:after="0" w:line="295" w:lineRule="exact"/>
        <w:rPr>
          <w:sz w:val="20"/>
          <w:szCs w:val="20"/>
          <w:color w:val="auto"/>
        </w:rPr>
      </w:pPr>
    </w:p>
    <w:p>
      <w:pPr>
        <w:ind w:left="340" w:hanging="333"/>
        <w:spacing w:after="0"/>
        <w:tabs>
          <w:tab w:leader="none" w:pos="340"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Acquisitions</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Probst Family Funerals and Cremations and Heber Valley Funeral Home</w:t>
      </w: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 For the year ended December 31, 2018, Probst Family Funerals and Heber Valley Funeral Home had combined revenues of $1,055,634 and a combined net pre-tax income of $179,613. As of December 31, 2018, Probst Family Funerals and Heber Valley Funeral Home had combined assets of $1,161,029 and a combined total equity of $18,052.</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Under the terms of the transaction, as set forth in the Asset Purchase Agreement, dated February 15, 2019, by and among SN Probst, a wholly owned subsidiary of Memorial Mortuary, and Probst Family Funerals, Heber Valley Funeral Home, Joe T. Probst, Clinton Wayne Probst, Calle J. Probst, and Marsha L. Probst, Memorial Mortuary, through its wholly owned subsidiary SN Probst, paid a net purchase price of $3,315,647 for the business and assets of Probst Family Funerals and Heber Valley Funeral Home, subject to a $150,000 holdback. At the closing, Probst Funeral Homes and Heber Valley Funeral Home paid off the $907,407 principal balance and $4,340 in interest on a loan at Zions Bank that was secured by the Heber Valley Funeral Home. Also, at the closing, Probst Funeral Homes and Heber Valley Funeral Home paid off the $157,148 loan with Utah Community Credit Union and the $32,987 line of credit with Zions Bank.</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color w:val="auto"/>
        </w:rPr>
        <w:t>The estimated fair values of the assets acquired and liabilities assumed as of the date of acquisition were as follows:</w:t>
      </w:r>
    </w:p>
    <w:p>
      <w:pPr>
        <w:spacing w:after="0" w:line="299"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53,859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2,475,526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754,018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3,318,823</w:t>
            </w: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Fair value of net assets acquired/consideration paid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3,315,647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The estimated fair values of buildings, land and warehouses included in property and equipment are based on independent appraisals using a sales comparison approach which are considered to be Level 3 under the fair value hierarchy. The Company determined that the estimated fair value of the remaining assets and liabilities acquired approximated their book values.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jc w:val="center"/>
        <w:spacing w:after="0" w:line="273" w:lineRule="auto"/>
        <w:rPr>
          <w:sz w:val="20"/>
          <w:szCs w:val="20"/>
          <w:color w:val="auto"/>
        </w:rPr>
      </w:pPr>
      <w:r>
        <w:rPr>
          <w:rFonts w:ascii="Arial" w:cs="Arial" w:eastAsia="Arial" w:hAnsi="Arial"/>
          <w:sz w:val="21"/>
          <w:szCs w:val="21"/>
          <w:color w:val="auto"/>
        </w:rPr>
        <w:t>SECURITY NATIONAL FINANCIAL CORPORATION AND SUBSIDIARIES Notes to Condensed Consolidated Financial Statements June 30, 2019 (Unaudited)</w:t>
      </w:r>
    </w:p>
    <w:p>
      <w:pPr>
        <w:spacing w:after="0" w:line="229" w:lineRule="exact"/>
        <w:rPr>
          <w:sz w:val="20"/>
          <w:szCs w:val="20"/>
          <w:color w:val="auto"/>
        </w:rPr>
      </w:pPr>
    </w:p>
    <w:p>
      <w:pPr>
        <w:ind w:left="340" w:hanging="333"/>
        <w:spacing w:after="0"/>
        <w:tabs>
          <w:tab w:leader="none" w:pos="340"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Acquisitions</w:t>
      </w:r>
      <w:r>
        <w:rPr>
          <w:rFonts w:ascii="Arial" w:cs="Arial" w:eastAsia="Arial" w:hAnsi="Arial"/>
          <w:sz w:val="21"/>
          <w:szCs w:val="21"/>
          <w:color w:val="auto"/>
        </w:rPr>
        <w:t xml:space="preserve"> (Continued)</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Beta Capital Corp</w:t>
      </w:r>
    </w:p>
    <w:p>
      <w:pPr>
        <w:spacing w:after="0" w:line="29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w:t>
      </w:r>
    </w:p>
    <w:p>
      <w:pPr>
        <w:spacing w:after="0" w:line="229"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Under the terms of the transaction, as set forth in the Stock Purchase Agreement dated June 1, 2018, by and among the Company, Beta Capital and Maxson, the Company paid Maxson the purchase consideration at the closing of the transaction equal to the sum of</w:t>
      </w:r>
    </w:p>
    <w:p>
      <w:pPr>
        <w:spacing w:after="0" w:line="1" w:lineRule="exact"/>
        <w:rPr>
          <w:sz w:val="20"/>
          <w:szCs w:val="20"/>
          <w:color w:val="auto"/>
        </w:rPr>
      </w:pPr>
    </w:p>
    <w:p>
      <w:pPr>
        <w:jc w:val="both"/>
        <w:ind w:firstLine="7"/>
        <w:spacing w:after="0" w:line="270" w:lineRule="auto"/>
        <w:tabs>
          <w:tab w:leader="none" w:pos="312" w:val="left"/>
        </w:tabs>
        <w:numPr>
          <w:ilvl w:val="0"/>
          <w:numId w:val="52"/>
        </w:numPr>
        <w:rPr>
          <w:rFonts w:ascii="Arial" w:cs="Arial" w:eastAsia="Arial" w:hAnsi="Arial"/>
          <w:sz w:val="21"/>
          <w:szCs w:val="21"/>
          <w:color w:val="auto"/>
        </w:rPr>
      </w:pPr>
      <w:r>
        <w:rPr>
          <w:rFonts w:ascii="Arial" w:cs="Arial" w:eastAsia="Arial" w:hAnsi="Arial"/>
          <w:sz w:val="21"/>
          <w:szCs w:val="21"/>
          <w:color w:val="auto"/>
        </w:rPr>
        <w:t>$890,000 in cash plus (ii) the accounts receivable value of $2,515,783, representing the total amount of the Company's outstanding receivables as of the closing date of June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The estimated fair values of the assets acquired as of the date of acquisition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 insurance assignments</w:t>
            </w:r>
          </w:p>
        </w:tc>
        <w:tc>
          <w:tcPr>
            <w:tcW w:w="4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2,515,783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 customer list intangible asset</w:t>
            </w:r>
          </w:p>
        </w:tc>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890,000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0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3,405,783</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w w:val="98"/>
              </w:rPr>
              <w:t>Fair value of net assets acquired/consideration paid</w:t>
            </w:r>
          </w:p>
        </w:tc>
        <w:tc>
          <w:tcPr>
            <w:tcW w:w="4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3,405,783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60" w:type="dxa"/>
            <w:vAlign w:val="bottom"/>
            <w:vMerge w:val="restart"/>
          </w:tcPr>
          <w:p>
            <w:pPr>
              <w:jc w:val="right"/>
              <w:ind w:right="3417"/>
              <w:spacing w:after="0"/>
              <w:rPr>
                <w:sz w:val="20"/>
                <w:szCs w:val="20"/>
                <w:color w:val="auto"/>
              </w:rPr>
            </w:pPr>
            <w:r>
              <w:rPr>
                <w:rFonts w:ascii="Arial" w:cs="Arial" w:eastAsia="Arial" w:hAnsi="Arial"/>
                <w:sz w:val="14"/>
                <w:szCs w:val="14"/>
                <w:color w:val="auto"/>
              </w:rPr>
              <w:t>47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0" w:name="page51"/>
    <w:bookmarkEnd w:id="50"/>
    <w:p>
      <w:pPr>
        <w:spacing w:after="0"/>
        <w:tabs>
          <w:tab w:leader="none" w:pos="840" w:val="left"/>
        </w:tabs>
        <w:rPr>
          <w:sz w:val="20"/>
          <w:szCs w:val="20"/>
          <w:color w:val="auto"/>
        </w:rPr>
      </w:pPr>
      <w:r>
        <w:rPr>
          <w:rFonts w:ascii="Arial" w:cs="Arial" w:eastAsia="Arial" w:hAnsi="Arial"/>
          <w:sz w:val="21"/>
          <w:szCs w:val="21"/>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The Company’s operations over the last several years generally reflect three trends or events which the Company expects to continue:</w:t>
      </w:r>
    </w:p>
    <w:p>
      <w:pPr>
        <w:spacing w:after="0" w:line="53" w:lineRule="exact"/>
        <w:rPr>
          <w:sz w:val="20"/>
          <w:szCs w:val="20"/>
          <w:color w:val="auto"/>
        </w:rPr>
      </w:pPr>
    </w:p>
    <w:p>
      <w:pPr>
        <w:ind w:left="260" w:hanging="253"/>
        <w:spacing w:after="0"/>
        <w:tabs>
          <w:tab w:leader="none" w:pos="2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increased attention to “niche” insurance products, such as the Company’s funeral plan policies and traditional whole life products;</w:t>
      </w:r>
    </w:p>
    <w:p>
      <w:pPr>
        <w:spacing w:after="0" w:line="47" w:lineRule="exact"/>
        <w:rPr>
          <w:rFonts w:ascii="Arial" w:cs="Arial" w:eastAsia="Arial" w:hAnsi="Arial"/>
          <w:sz w:val="19"/>
          <w:szCs w:val="19"/>
          <w:color w:val="auto"/>
        </w:rPr>
      </w:pPr>
    </w:p>
    <w:p>
      <w:pPr>
        <w:ind w:firstLine="7"/>
        <w:spacing w:after="0" w:line="289" w:lineRule="auto"/>
        <w:tabs>
          <w:tab w:leader="none" w:pos="339" w:val="left"/>
        </w:tabs>
        <w:numPr>
          <w:ilvl w:val="0"/>
          <w:numId w:val="53"/>
        </w:numPr>
        <w:rPr>
          <w:rFonts w:ascii="Arial" w:cs="Arial" w:eastAsia="Arial" w:hAnsi="Arial"/>
          <w:sz w:val="21"/>
          <w:szCs w:val="21"/>
          <w:color w:val="auto"/>
        </w:rPr>
      </w:pPr>
      <w:r>
        <w:rPr>
          <w:rFonts w:ascii="Arial" w:cs="Arial" w:eastAsia="Arial" w:hAnsi="Arial"/>
          <w:sz w:val="21"/>
          <w:szCs w:val="21"/>
          <w:color w:val="auto"/>
        </w:rPr>
        <w:t>emphasis on cemetery and mortuary business; and (iii) capitalizing on an improving housing market by originating mortgage loans.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Insurance Operations</w:t>
      </w:r>
    </w:p>
    <w:p>
      <w:pPr>
        <w:spacing w:after="0" w:line="297"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A funeral plan is a small face value life insurance policy that generally has face coverage of up to $25,000.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235"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following table shows the condensed financial results of the insurance operations for three and six months ended June 30, 2019 and 2018. See Note 7 to the condensed consolidated financial statements.</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8"/>
          </w:tcPr>
          <w:p>
            <w:pPr>
              <w:jc w:val="center"/>
              <w:ind w:right="380"/>
              <w:spacing w:after="0"/>
              <w:rPr>
                <w:sz w:val="20"/>
                <w:szCs w:val="20"/>
                <w:color w:val="auto"/>
              </w:rPr>
            </w:pPr>
            <w:r>
              <w:rPr>
                <w:rFonts w:ascii="Arial" w:cs="Arial" w:eastAsia="Arial" w:hAnsi="Arial"/>
                <w:sz w:val="18"/>
                <w:szCs w:val="18"/>
                <w:color w:val="auto"/>
                <w:w w:val="86"/>
              </w:rPr>
              <w:t>Three months ended June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8"/>
          </w:tcPr>
          <w:p>
            <w:pPr>
              <w:jc w:val="center"/>
              <w:ind w:right="400"/>
              <w:spacing w:after="0"/>
              <w:rPr>
                <w:sz w:val="20"/>
                <w:szCs w:val="20"/>
                <w:color w:val="auto"/>
              </w:rPr>
            </w:pPr>
            <w:r>
              <w:rPr>
                <w:rFonts w:ascii="Arial" w:cs="Arial" w:eastAsia="Arial" w:hAnsi="Arial"/>
                <w:sz w:val="18"/>
                <w:szCs w:val="18"/>
                <w:color w:val="auto"/>
                <w:w w:val="87"/>
              </w:rPr>
              <w:t>Six months ended June 30</w:t>
            </w:r>
          </w:p>
        </w:tc>
      </w:tr>
      <w:tr>
        <w:trPr>
          <w:trHeight w:val="232"/>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(in thousands of dollars)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(in thousands of dollars)</w:t>
            </w:r>
          </w:p>
        </w:tc>
      </w:tr>
      <w:tr>
        <w:trPr>
          <w:trHeight w:val="201"/>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 Increase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 Increase</w:t>
            </w:r>
          </w:p>
        </w:tc>
        <w:tc>
          <w:tcPr>
            <w:tcW w:w="22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1"/>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center"/>
              <w:ind w:right="111"/>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(Decrease)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1"/>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91"/>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(Decrease)</w:t>
            </w:r>
          </w:p>
        </w:tc>
      </w:tr>
      <w:tr>
        <w:trPr>
          <w:trHeight w:val="212"/>
        </w:trPr>
        <w:tc>
          <w:tcPr>
            <w:tcW w:w="2560" w:type="dxa"/>
            <w:vAlign w:val="bottom"/>
            <w:gridSpan w:val="2"/>
          </w:tcPr>
          <w:p>
            <w:pPr>
              <w:spacing w:after="0"/>
              <w:rPr>
                <w:sz w:val="20"/>
                <w:szCs w:val="20"/>
                <w:color w:val="auto"/>
              </w:rPr>
            </w:pPr>
            <w:r>
              <w:rPr>
                <w:rFonts w:ascii="Arial" w:cs="Arial" w:eastAsia="Arial" w:hAnsi="Arial"/>
                <w:sz w:val="18"/>
                <w:szCs w:val="18"/>
                <w:color w:val="auto"/>
                <w:w w:val="90"/>
              </w:rPr>
              <w:t>Revenues from external customers</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19,191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38,002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3"/>
        </w:trPr>
        <w:tc>
          <w:tcPr>
            <w:tcW w:w="2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9,416</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19,872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19,199</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01"/>
        </w:trPr>
        <w:tc>
          <w:tcPr>
            <w:tcW w:w="20" w:type="dxa"/>
            <w:vAlign w:val="bottom"/>
          </w:tcPr>
          <w:p>
            <w:pPr>
              <w:spacing w:after="0"/>
              <w:rPr>
                <w:sz w:val="17"/>
                <w:szCs w:val="17"/>
                <w:color w:val="auto"/>
              </w:rPr>
            </w:pPr>
          </w:p>
        </w:tc>
        <w:tc>
          <w:tcPr>
            <w:tcW w:w="25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8"/>
              </w:rPr>
              <w:t>Gains (losses) on investments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and other assets</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22,320</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r>
      <w:tr>
        <w:trPr>
          <w:trHeight w:val="220"/>
        </w:trPr>
        <w:tc>
          <w:tcPr>
            <w:tcW w:w="20" w:type="dxa"/>
            <w:vAlign w:val="bottom"/>
          </w:tcPr>
          <w:p>
            <w:pPr>
              <w:spacing w:after="0"/>
              <w:rPr>
                <w:sz w:val="19"/>
                <w:szCs w:val="19"/>
                <w:color w:val="auto"/>
              </w:rPr>
            </w:pPr>
          </w:p>
        </w:tc>
        <w:tc>
          <w:tcPr>
            <w:tcW w:w="254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53"/>
        </w:trPr>
        <w:tc>
          <w:tcPr>
            <w:tcW w:w="20" w:type="dxa"/>
            <w:vAlign w:val="bottom"/>
          </w:tcPr>
          <w:p>
            <w:pPr>
              <w:spacing w:after="0"/>
              <w:rPr>
                <w:sz w:val="22"/>
                <w:szCs w:val="22"/>
                <w:color w:val="auto"/>
              </w:rPr>
            </w:pPr>
          </w:p>
        </w:tc>
        <w:tc>
          <w:tcPr>
            <w:tcW w:w="25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29,371</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59,112</w:t>
            </w:r>
          </w:p>
        </w:tc>
        <w:tc>
          <w:tcPr>
            <w:tcW w:w="1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80,237</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06"/>
        </w:trPr>
        <w:tc>
          <w:tcPr>
            <w:tcW w:w="2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Intersegment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988</w:t>
            </w:r>
          </w:p>
        </w:tc>
        <w:tc>
          <w:tcPr>
            <w:tcW w:w="1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1,807</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0"/>
        </w:trPr>
        <w:tc>
          <w:tcPr>
            <w:tcW w:w="25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26,649</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r>
    </w:tbl>
    <w:p>
      <w:pPr>
        <w:spacing w:after="0" w:line="258"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Intersegment revenues are primarily interest income from the warehouse line provided to SecurityNational Mortgage Company (“SecurityNational Mortgage”). Profitability in the three and six months ended June 30, 2019 had decreased due to the $22,252,000 gain that was realized on the sale of Dry Creek at East Village Apartments in the first quarter of 2018.</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Cemetery and Mortuary Operations</w:t>
      </w:r>
    </w:p>
    <w:p>
      <w:pPr>
        <w:spacing w:after="0" w:line="297"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1" w:name="page52"/>
    <w:bookmarkEnd w:id="51"/>
    <w:p>
      <w:pPr>
        <w:jc w:val="both"/>
        <w:spacing w:after="0" w:line="294" w:lineRule="auto"/>
        <w:rPr>
          <w:sz w:val="20"/>
          <w:szCs w:val="20"/>
          <w:color w:val="auto"/>
        </w:rPr>
      </w:pPr>
      <w:r>
        <w:rPr>
          <w:rFonts w:ascii="Arial" w:cs="Arial" w:eastAsia="Arial" w:hAnsi="Arial"/>
          <w:sz w:val="21"/>
          <w:szCs w:val="21"/>
          <w:color w:val="auto"/>
        </w:rPr>
        <w:t>The following table shows the condensed financial results of the cemetery and mortuary operations for the three and six months ended June 30, 2019 and 2018. See Note 7 to the condensed consolidated financial statements.</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7"/>
          </w:tcPr>
          <w:p>
            <w:pPr>
              <w:jc w:val="center"/>
              <w:ind w:right="380"/>
              <w:spacing w:after="0"/>
              <w:rPr>
                <w:sz w:val="20"/>
                <w:szCs w:val="20"/>
                <w:color w:val="auto"/>
              </w:rPr>
            </w:pPr>
            <w:r>
              <w:rPr>
                <w:rFonts w:ascii="Arial" w:cs="Arial" w:eastAsia="Arial" w:hAnsi="Arial"/>
                <w:sz w:val="18"/>
                <w:szCs w:val="18"/>
                <w:color w:val="auto"/>
                <w:w w:val="86"/>
              </w:rPr>
              <w:t>Three months ended June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8"/>
          </w:tcPr>
          <w:p>
            <w:pPr>
              <w:jc w:val="center"/>
              <w:ind w:right="400"/>
              <w:spacing w:after="0"/>
              <w:rPr>
                <w:sz w:val="20"/>
                <w:szCs w:val="20"/>
                <w:color w:val="auto"/>
              </w:rPr>
            </w:pPr>
            <w:r>
              <w:rPr>
                <w:rFonts w:ascii="Arial" w:cs="Arial" w:eastAsia="Arial" w:hAnsi="Arial"/>
                <w:sz w:val="18"/>
                <w:szCs w:val="18"/>
                <w:color w:val="auto"/>
                <w:w w:val="87"/>
              </w:rPr>
              <w:t>Six months ended June 30</w:t>
            </w:r>
          </w:p>
        </w:tc>
      </w:tr>
      <w:tr>
        <w:trPr>
          <w:trHeight w:val="232"/>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90"/>
              </w:rPr>
              <w:t>(in thousands of dollars)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(in thousands of dollars)</w:t>
            </w:r>
          </w:p>
        </w:tc>
      </w:tr>
      <w:tr>
        <w:trPr>
          <w:trHeight w:val="201"/>
        </w:trPr>
        <w:tc>
          <w:tcPr>
            <w:tcW w:w="25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 Increase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 Increase</w:t>
            </w:r>
          </w:p>
        </w:tc>
        <w:tc>
          <w:tcPr>
            <w:tcW w:w="220" w:type="dxa"/>
            <w:vAlign w:val="bottom"/>
          </w:tcPr>
          <w:p>
            <w:pPr>
              <w:spacing w:after="0"/>
              <w:rPr>
                <w:sz w:val="17"/>
                <w:szCs w:val="17"/>
                <w:color w:val="auto"/>
              </w:rPr>
            </w:pPr>
          </w:p>
        </w:tc>
      </w:tr>
      <w:tr>
        <w:trPr>
          <w:trHeight w:val="232"/>
        </w:trPr>
        <w:tc>
          <w:tcPr>
            <w:tcW w:w="2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center"/>
              <w:ind w:right="111"/>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(Decrease)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1"/>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91"/>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(Decrease)</w:t>
            </w:r>
          </w:p>
        </w:tc>
      </w:tr>
      <w:tr>
        <w:trPr>
          <w:trHeight w:val="212"/>
        </w:trPr>
        <w:tc>
          <w:tcPr>
            <w:tcW w:w="2560" w:type="dxa"/>
            <w:vAlign w:val="bottom"/>
          </w:tcPr>
          <w:p>
            <w:pPr>
              <w:spacing w:after="0"/>
              <w:rPr>
                <w:sz w:val="20"/>
                <w:szCs w:val="20"/>
                <w:color w:val="auto"/>
              </w:rPr>
            </w:pPr>
            <w:r>
              <w:rPr>
                <w:rFonts w:ascii="Arial" w:cs="Arial" w:eastAsia="Arial" w:hAnsi="Arial"/>
                <w:sz w:val="18"/>
                <w:szCs w:val="18"/>
                <w:color w:val="auto"/>
                <w:w w:val="90"/>
              </w:rPr>
              <w:t>Revenues from external customers</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2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Mortuary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2,659</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13"/>
        </w:trPr>
        <w:tc>
          <w:tcPr>
            <w:tcW w:w="2560" w:type="dxa"/>
            <w:vAlign w:val="bottom"/>
          </w:tcPr>
          <w:p>
            <w:pPr>
              <w:ind w:left="160"/>
              <w:spacing w:after="0"/>
              <w:rPr>
                <w:sz w:val="20"/>
                <w:szCs w:val="20"/>
                <w:color w:val="auto"/>
              </w:rPr>
            </w:pPr>
            <w:r>
              <w:rPr>
                <w:rFonts w:ascii="Arial" w:cs="Arial" w:eastAsia="Arial" w:hAnsi="Arial"/>
                <w:sz w:val="18"/>
                <w:szCs w:val="18"/>
                <w:color w:val="auto"/>
              </w:rPr>
              <w:t>Cemetery revenues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2,283</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4,125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3"/>
        </w:trPr>
        <w:tc>
          <w:tcPr>
            <w:tcW w:w="2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r>
      <w:tr>
        <w:trPr>
          <w:trHeight w:val="201"/>
        </w:trPr>
        <w:tc>
          <w:tcPr>
            <w:tcW w:w="2560" w:type="dxa"/>
            <w:vAlign w:val="bottom"/>
          </w:tcPr>
          <w:p>
            <w:pPr>
              <w:ind w:left="160"/>
              <w:spacing w:after="0" w:line="201" w:lineRule="exact"/>
              <w:rPr>
                <w:sz w:val="20"/>
                <w:szCs w:val="20"/>
                <w:color w:val="auto"/>
              </w:rPr>
            </w:pPr>
            <w:r>
              <w:rPr>
                <w:rFonts w:ascii="Arial" w:cs="Arial" w:eastAsia="Arial" w:hAnsi="Arial"/>
                <w:sz w:val="18"/>
                <w:szCs w:val="18"/>
                <w:color w:val="auto"/>
                <w:w w:val="93"/>
              </w:rPr>
              <w:t>Gains on investments and 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5"/>
        </w:trPr>
        <w:tc>
          <w:tcPr>
            <w:tcW w:w="256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1,676</w:t>
            </w: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2,085</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14"/>
        </w:trPr>
        <w:tc>
          <w:tcPr>
            <w:tcW w:w="2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7"/>
        </w:trPr>
        <w:tc>
          <w:tcPr>
            <w:tcW w:w="25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r>
      <w:tr>
        <w:trPr>
          <w:trHeight w:val="213"/>
        </w:trPr>
        <w:tc>
          <w:tcPr>
            <w:tcW w:w="2560" w:type="dxa"/>
            <w:vAlign w:val="bottom"/>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4,543</w:t>
            </w:r>
          </w:p>
        </w:tc>
        <w:tc>
          <w:tcPr>
            <w:tcW w:w="16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5,281</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8,902</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9,051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2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r>
      <w:tr>
        <w:trPr>
          <w:trHeight w:val="246"/>
        </w:trPr>
        <w:tc>
          <w:tcPr>
            <w:tcW w:w="2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258"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Included in Net investment income was rental income from residential and commercial properties purchased from Security National Life. Memorial Estates purchased these properties from financing provided by Security National Life. The rental income is offset by property insurance, taxes, maintenance expenses and depreciation. Memorial Estates has recorded depreciation on these properties of $129,000 and $155,000 for the three months ended June 30, 2019 and 2018, respectively, and $263,000 and $309,000 for the six months ended June 30, 2019 and 2018, respectively. Profitability in the six months ended June 30, 2019 has decreased due to a realized gain recognized on the sale of assets of Deseret Mortuary in 2018. This decrease was partially offset by increases in cemetery preneed sales and mortuary and cemetery at-need sales in 2019.</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Mortgage Operations</w:t>
      </w:r>
    </w:p>
    <w:p>
      <w:pPr>
        <w:spacing w:after="0" w:line="297"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The Company’s wholly owned subsidiaries, SecurityNational Mortgage and EverLEND Mortgage Company (formerly known as Green Street Mortgage Services, Inc.),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and unaffiliated financial institutions.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12% of its loan origination volume. These mortgage loans are serviced by either SecurityNational Mortgage or an approved third-party sub-servicer.</w:t>
      </w:r>
    </w:p>
    <w:p>
      <w:pPr>
        <w:spacing w:after="0" w:line="235"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For the six months ended June 30, 2019 and 2018, SecurityNational Mortgage originated 4,605 loans ($1,021,464,000 total volume) and 5,183 loans ($1,072,863,000 total volume), respectively. For the six months ended June 30, 2019 and 2018, EverLEND Mortgage originated 110 loans ($28,792,000 total volume) and 80 loans ($22,510,000 total volume),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line="99"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following table shows the condensed financial results of the mortgage operations for the three and six months ended June 30, 2019 and 2018. See Note 7 to the condensed consolidated financial statements.</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7"/>
          </w:tcPr>
          <w:p>
            <w:pPr>
              <w:jc w:val="center"/>
              <w:ind w:right="380"/>
              <w:spacing w:after="0"/>
              <w:rPr>
                <w:sz w:val="20"/>
                <w:szCs w:val="20"/>
                <w:color w:val="auto"/>
              </w:rPr>
            </w:pPr>
            <w:r>
              <w:rPr>
                <w:rFonts w:ascii="Arial" w:cs="Arial" w:eastAsia="Arial" w:hAnsi="Arial"/>
                <w:sz w:val="18"/>
                <w:szCs w:val="18"/>
                <w:color w:val="auto"/>
                <w:w w:val="86"/>
              </w:rPr>
              <w:t>Three months ended June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60" w:type="dxa"/>
            <w:vAlign w:val="bottom"/>
            <w:gridSpan w:val="8"/>
          </w:tcPr>
          <w:p>
            <w:pPr>
              <w:jc w:val="center"/>
              <w:ind w:right="400"/>
              <w:spacing w:after="0"/>
              <w:rPr>
                <w:sz w:val="20"/>
                <w:szCs w:val="20"/>
                <w:color w:val="auto"/>
              </w:rPr>
            </w:pPr>
            <w:r>
              <w:rPr>
                <w:rFonts w:ascii="Arial" w:cs="Arial" w:eastAsia="Arial" w:hAnsi="Arial"/>
                <w:sz w:val="18"/>
                <w:szCs w:val="18"/>
                <w:color w:val="auto"/>
                <w:w w:val="87"/>
              </w:rPr>
              <w:t>Six months ended June 30</w:t>
            </w:r>
          </w:p>
        </w:tc>
      </w:tr>
      <w:tr>
        <w:trPr>
          <w:trHeight w:val="232"/>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90"/>
              </w:rPr>
              <w:t>(in thousands of dollars)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(in thousands of dollars)</w:t>
            </w:r>
          </w:p>
        </w:tc>
      </w:tr>
      <w:tr>
        <w:trPr>
          <w:trHeight w:val="201"/>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 Increase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 Increase</w:t>
            </w:r>
          </w:p>
        </w:tc>
        <w:tc>
          <w:tcPr>
            <w:tcW w:w="22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1"/>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center"/>
              <w:ind w:right="111"/>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(Decrease)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1"/>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91"/>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(Decrease)</w:t>
            </w:r>
          </w:p>
        </w:tc>
      </w:tr>
      <w:tr>
        <w:trPr>
          <w:trHeight w:val="212"/>
        </w:trPr>
        <w:tc>
          <w:tcPr>
            <w:tcW w:w="2560" w:type="dxa"/>
            <w:vAlign w:val="bottom"/>
            <w:gridSpan w:val="2"/>
          </w:tcPr>
          <w:p>
            <w:pPr>
              <w:spacing w:after="0"/>
              <w:rPr>
                <w:sz w:val="20"/>
                <w:szCs w:val="20"/>
                <w:color w:val="auto"/>
              </w:rPr>
            </w:pPr>
            <w:r>
              <w:rPr>
                <w:rFonts w:ascii="Arial" w:cs="Arial" w:eastAsia="Arial" w:hAnsi="Arial"/>
                <w:sz w:val="18"/>
                <w:szCs w:val="18"/>
                <w:color w:val="auto"/>
                <w:w w:val="90"/>
              </w:rPr>
              <w:t>Revenues from external customers</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loan originations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20,851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3"/>
        </w:trPr>
        <w:tc>
          <w:tcPr>
            <w:tcW w:w="2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Arial" w:cs="Arial" w:eastAsia="Arial" w:hAnsi="Arial"/>
                <w:sz w:val="18"/>
                <w:szCs w:val="18"/>
                <w:color w:val="auto"/>
                <w:w w:val="94"/>
              </w:rPr>
              <w:t>Secondary gains from investors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21,766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38,585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36,318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3"/>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01"/>
        </w:trPr>
        <w:tc>
          <w:tcPr>
            <w:tcW w:w="20" w:type="dxa"/>
            <w:vAlign w:val="bottom"/>
          </w:tcPr>
          <w:p>
            <w:pPr>
              <w:spacing w:after="0"/>
              <w:rPr>
                <w:sz w:val="17"/>
                <w:szCs w:val="17"/>
                <w:color w:val="auto"/>
              </w:rPr>
            </w:pPr>
          </w:p>
        </w:tc>
        <w:tc>
          <w:tcPr>
            <w:tcW w:w="2540" w:type="dxa"/>
            <w:vAlign w:val="bottom"/>
          </w:tcPr>
          <w:p>
            <w:pPr>
              <w:spacing w:after="0" w:line="201" w:lineRule="exact"/>
              <w:rPr>
                <w:sz w:val="20"/>
                <w:szCs w:val="20"/>
                <w:color w:val="auto"/>
              </w:rPr>
            </w:pPr>
            <w:r>
              <w:rPr>
                <w:rFonts w:ascii="Arial" w:cs="Arial" w:eastAsia="Arial" w:hAnsi="Arial"/>
                <w:sz w:val="18"/>
                <w:szCs w:val="18"/>
                <w:color w:val="auto"/>
                <w:w w:val="99"/>
              </w:rPr>
              <w:t>Gains on investments and 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4"/>
        </w:trPr>
        <w:tc>
          <w:tcPr>
            <w:tcW w:w="25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21"/>
        </w:trPr>
        <w:tc>
          <w:tcPr>
            <w:tcW w:w="20" w:type="dxa"/>
            <w:vAlign w:val="bottom"/>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213"/>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35,295</w:t>
            </w:r>
          </w:p>
        </w:tc>
        <w:tc>
          <w:tcPr>
            <w:tcW w:w="16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34,214</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61,924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61,653</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0"/>
        </w:trPr>
        <w:tc>
          <w:tcPr>
            <w:tcW w:w="25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bl>
    <w:p>
      <w:pPr>
        <w:spacing w:after="0" w:line="258"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Included in other revenues is service fee income. The increase in earnings for the six months ended June 30, 2019 was due to the efforts to reduce costs and restructure internal processes.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Mortgage Loan Loss Settlements</w:t>
      </w:r>
    </w:p>
    <w:p>
      <w:pPr>
        <w:spacing w:after="0" w:line="29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June 30, 2019 and December 31, 2018, the balances were $3,712,000 and $3,605,000, respectively.</w:t>
      </w:r>
    </w:p>
    <w:p>
      <w:pPr>
        <w:spacing w:after="0" w:line="229"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Mortgage Loan Loss Litigation</w:t>
      </w:r>
    </w:p>
    <w:p>
      <w:pPr>
        <w:spacing w:after="0" w:line="291"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For a description of the litigation involving SecurityNational Mortgage and Lehman Brothers Holdings, see Part I, Item 1. Notes to Condensed Consolidated Financial Statements (unaudited) in Note 11.</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Three Months Ended June 30, 2019 Compared to Three Months Ended June 30, 2018</w:t>
      </w:r>
    </w:p>
    <w:p>
      <w:pPr>
        <w:spacing w:after="0" w:line="29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Total revenues decreased by $420,000, or 0.6%, to $68,445,000 for the three months ended June 30, 2019, from $68,865,000 for the comparable period in 2018. Contributing to this decrease in total revenues was a $3,354,000 decrease in gains on investments and other assets and a $6,000 decrease in other revenues. This decrease in total revenues was partially offset by a $1,237,000 increase in mortgage fee income, a $799,000 increase in net investment income, a $454,000 increase in insurance premiums and other considerations, and a $450,000 increase in net mortuary and cemetery sales.</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Insurance premiums and other considerations increased by $454,000, or 2.4%, to $19,645,000 for the three months ended June 30, 2019, from $19,191,000 for the comparable period in 2018. This increase was primarily due to an increase in renewal premiums due to the growth of the Company in recent years, particularly in whole life products, which resulted in more premium paying business in force.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Net investment income increased by $799,000, or 8.2%, to $10,541,000 for the three months ended June 30, 2019, from $9,742,000 for the comparable period in 2018. This increase was primarily attributable to a $474,000 increase in rental income from real estate held for investment, a $395,000 increase in insurance assignment income, a $226,000 increase in interest on cash and cash equivalents, a $37,000 decrease in investment expenses, a $21,000 increase in equity securities income, and an $18,000 increase in fixed maturity securities income. This increase was partially offset by a $346,000 decrease in mortgage loan interest, and a $24,000 decrease in other investment income.</w:t>
      </w:r>
    </w:p>
    <w:p>
      <w:pPr>
        <w:spacing w:after="0" w:line="235" w:lineRule="exact"/>
        <w:rPr>
          <w:sz w:val="20"/>
          <w:szCs w:val="20"/>
          <w:color w:val="auto"/>
        </w:rPr>
      </w:pPr>
    </w:p>
    <w:p>
      <w:pPr>
        <w:jc w:val="both"/>
        <w:spacing w:after="0" w:line="321" w:lineRule="auto"/>
        <w:rPr>
          <w:sz w:val="20"/>
          <w:szCs w:val="20"/>
          <w:color w:val="auto"/>
        </w:rPr>
      </w:pPr>
      <w:r>
        <w:rPr>
          <w:rFonts w:ascii="Arial" w:cs="Arial" w:eastAsia="Arial" w:hAnsi="Arial"/>
          <w:sz w:val="19"/>
          <w:szCs w:val="19"/>
          <w:color w:val="auto"/>
        </w:rPr>
        <w:t>Net mortuary and cemetery sales increased by $450,000, or 12.7%, to $4,001,000 for the three months ended June 30, 2019, from $3,551,000 for the comparable period in 2018. This increase was primarily due to a $328,000 increase in mortuary at-need sales and a $232,000 increase in cemetery at-need sales. The increase was partially offset by a $110,000 decrease in cemetery preneed sales.</w:t>
      </w:r>
    </w:p>
    <w:p>
      <w:pPr>
        <w:spacing w:after="0" w:line="189"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Gains on investments and other assets decreased by $3,354,000, or 144.1%, to losses of $1,026,000 for the three months ended June 30, 2019, from gains of $2,328,000 for the comparable period in 2018. This decrease in gains on investments and other assets was primarily due to an impairment loss of $1,867,000 recognized on a commercial real estate property held for investment. The Company elected to conduct a review of the property’s value after it received an unsolicited offer to buy. This decrease was also the result of a realized gain of $1,556,000 recognized in the second quarter of 2018 on the sale of assets of Deseret Mortuary, and a $64,000 decrease in gains on equity securities mostly attributable to decreases in the fair value of these equity securities. Due to the</w:t>
      </w:r>
    </w:p>
    <w:p>
      <w:pPr>
        <w:sectPr>
          <w:pgSz w:w="11900" w:h="16937" w:orient="portrait"/>
          <w:cols w:equalWidth="0" w:num="1">
            <w:col w:w="11420"/>
          </w:cols>
          <w:pgMar w:left="240" w:top="131" w:right="239" w:bottom="0" w:gutter="0" w:footer="0" w:header="0"/>
        </w:sectPr>
      </w:pPr>
    </w:p>
    <w:bookmarkStart w:id="53" w:name="page54"/>
    <w:bookmarkEnd w:id="53"/>
    <w:p>
      <w:pPr>
        <w:jc w:val="both"/>
        <w:spacing w:after="0" w:line="299" w:lineRule="auto"/>
        <w:rPr>
          <w:sz w:val="20"/>
          <w:szCs w:val="20"/>
          <w:color w:val="auto"/>
        </w:rPr>
      </w:pPr>
      <w:r>
        <w:rPr>
          <w:rFonts w:ascii="Arial" w:cs="Arial" w:eastAsia="Arial" w:hAnsi="Arial"/>
          <w:sz w:val="20"/>
          <w:szCs w:val="20"/>
          <w:color w:val="auto"/>
        </w:rPr>
        <w:t>adoption of Accounting Standards Update (“ASU”) 2016-01 on January 1, 2018, these changes in fair value are now recognized in earnings instead of other comprehensive income. This decrease in gains on investments and other assets was partially offset by a $95,000 decrease in losses on fixed maturity securities and a $38,000 increase in gains on other assets.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jc w:val="both"/>
        <w:spacing w:after="0" w:line="312" w:lineRule="auto"/>
        <w:rPr>
          <w:sz w:val="20"/>
          <w:szCs w:val="20"/>
          <w:color w:val="auto"/>
        </w:rPr>
      </w:pPr>
      <w:r>
        <w:rPr>
          <w:rFonts w:ascii="Arial" w:cs="Arial" w:eastAsia="Arial" w:hAnsi="Arial"/>
          <w:sz w:val="19"/>
          <w:szCs w:val="19"/>
          <w:color w:val="auto"/>
        </w:rPr>
        <w:t>Mortgage fee income increased by $1,237,000, or 3.9%, to $32,946,000, for the three months ended June 30, 2019, from $31,709,000 for the comparable period in 2018. This increase was primarily due to an increase of $884,000 in loan fees and interest income, an increase of $768,000 in the fair value of loans held for sale and loan commitments, and a $150,000 decrease in the provision for loan loss reserve. This increase was partially offset by a $565,000 decrease in secondary gains from loans sold to third-party investors.</w:t>
      </w:r>
    </w:p>
    <w:p>
      <w:pPr>
        <w:spacing w:after="0" w:line="196"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Other revenues decreased by $6,000, or 0.3%, to $2,338,000 for the three months ended June 30, 2019, from $2,344,000 for the comparable period in 2018. This decrease was primarily attributable to a decrease in servicing fee revenue.</w:t>
      </w:r>
    </w:p>
    <w:p>
      <w:pPr>
        <w:spacing w:after="0" w:line="208"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Total benefits and expenses were $63,821,000, or 93.2% of total revenues, for the three months ended June 30, 2019, as compared to $64,703,000, or 94.0% of total revenues, for the comparable period in 2018.</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Death benefits, surrenders and other policy benefits, and future policy benefits decreased by an aggregate of $511,000 or 3.2%, to $15,689,000 for the three months ended June 30, 2019, from $16,200,000 for the comparable period in 2018. This decrease was primarily the result of a $106,000 decrease in death benefits and a $473,000 decrease in future policy benefits. This decrease was partially offset by a $68,000 increase in surrender and other policy benefits.</w:t>
      </w:r>
    </w:p>
    <w:p>
      <w:pPr>
        <w:spacing w:after="0" w:line="229"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Amortization of deferred policy and pre-need acquisition costs and value of business acquired increased by $963,000, or 45.6%, to $3,073,000 for the three months ended June 30, 2019, from $2,110,000 for the comparable period in 2018. This increase was primarily due to an increase in the average outstanding balance of deferred policy and pre-need acquisition costs.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Selling, general and administrative expenses decreased by $1,576,000, or 3.6%, to $42,586,000 for the three months ended June 30, 2019, from $44,162,000 for the comparable period in 2018. This decrease was primarily the result of a $1,206,000 decrease in personnel expenses, a $606,000 decrease in commissions, a $486,000 decrease in costs related to funding mortgage loans, a $205,000 decrease in rent and rent related expenses, a $69,000 decrease in depreciation on property and equipment, and a $22,000 decrease in advertising expenses. This decrease was partially offset by a $1,018,000 increase in other expenses. The decreases in commissions and personnel expenses are primarily a result of the efforts of the Mortgage segment to reduce costs and restructure internal processes.</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Interest expense increased by $103,000, or 6.1%, to $1,783,000 for the three months ended June 30, 2019, from $1,680,000 for the comparable period in 2018. This increase was primarily due to an increase in interest expense on bank loans for real estate held for investment.</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Cost of goods and services sold-mortuaries and cemeteries increased by $140,000, or 25.5%, to $690,000 for the three months ended June 30, 2019, from $550,000 for the comparable period in 2018. This increase was primarily due to increases in both mortuary and cemetery at-need sales and cemetery preneed sales.</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Six Months Ended June 30, 2019 Compared to Six Months Ended June 30, 2018</w:t>
      </w:r>
    </w:p>
    <w:p>
      <w:pPr>
        <w:spacing w:after="0" w:line="297"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Total revenues decreased by $21,002,000, or 13.9%, to $129,939,000 for the six months ended June 30, 2019, from $150,941,000 for the comparable period in 2018. Contributing to this decrease in total revenues was a $23,568,000 decrease in gains on investments and other assets and a $22,000 decrease in other revenues. This decrease in total revenues was partially offset by a $895,000 increase in net mortuary and cemetery sales, a $766,000 increase in net investment income, a $671,000 increase in insurance premiums and other considerations, and a $256,000 increase in mortgage fee income.</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Insurance premiums and other considerations increased by $671,000, or 1.8%, to $38,672,000 for the six months ended June 30, 2019, from $38,001,000 for the comparable period in 2018. This increase was primarily due to an increase in renewal premiums due to the growth of the Company in recent years, particularly in whole life products, which resulted in more premium paying business in force.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jc w:val="both"/>
        <w:spacing w:after="0" w:line="269" w:lineRule="auto"/>
        <w:rPr>
          <w:sz w:val="20"/>
          <w:szCs w:val="20"/>
          <w:color w:val="auto"/>
        </w:rPr>
      </w:pPr>
      <w:r>
        <w:rPr>
          <w:rFonts w:ascii="Arial" w:cs="Arial" w:eastAsia="Arial" w:hAnsi="Arial"/>
          <w:sz w:val="21"/>
          <w:szCs w:val="21"/>
          <w:color w:val="auto"/>
        </w:rPr>
        <w:t>Net investment income increased by $766,000, or 3.9%, to $20,582,000 for the six months ended June 30, 2019, from $19,816,000 for the comparable period in 2018. This increase was primarily attributable to an $878,000 decrease in investment expenses, a $746,000 increase in insurance assignment income due to higher volume, a $588,000 increase interest on cash and cash equivalents due to higher invested balances and slight increases in interest rates, and a $41,000 increase in equity securities income. This increase was partially offset by a $1,147,000 decrease in mortgage loan interest, a $293,000 decrease in rental income from real estate held for investment, a $23,000 decrease in other investment income, a $16,000 decrease in policy loan income, and an $8,000 decrease in fixed maturity securities income.</w:t>
      </w:r>
    </w:p>
    <w:p>
      <w:pPr>
        <w:spacing w:after="0" w:line="237"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Net mortuary and cemetery sales increased by $895,000, or 13.2%, to $7,679,000 for the six months ended June 30, 2019, from $6,784,000 for the comparable period in 2018. This increase was primarily due to a $578,000 increase in mortuary at-need sales, a $216,000 increase in cemetery at-need sales, and a $101,000 increase in cemetery preneed sales, driven in large measure by the acquisition of Probst Family Funerals and Cremations and Heber Valley Funeral Home.</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Gains on investments and other assets decreased by $23,568,000, or 96.8%, to $781,000 for the six months ended June 30, 2019, from $24,349,000 for the comparable period in 2018. This decrease in gains on investments and other assets was primarily attributable to the $22,252,000 gain that was realized on the sale of Dry Creek at East Village Apartments in the first quarter of 2018, an impairment loss of $1,867,000 recognized on a commercial real estate property held for investment. The Company elected to conduct a review of the property’s value after it received an unsolicited offer to buy. This decrease was also the result of a $1,556,000 gain that was realized on the sale of assets of Deseret Mortuary in the second quarter of 2018. This decrease was partially offset by and a $1,066,000 increase in gains on equity securities mostly attributable to increases in the fair value of these securities. Due to the adoption of Accounting Standards Update (“ASU”) 2016-01 on January 1, 2018, these changes in fair value are now recognized in earnings instead of other comprehensive income. This decrease was also partially offset by a $426,000 decrease in losses on fixed maturity securities and a $615,000 increase in gains on other assets.</w:t>
      </w:r>
    </w:p>
    <w:p>
      <w:pPr>
        <w:spacing w:after="0" w:line="228"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Mortgage fee income increased by $256,000, or 0.4%, to $57,425,000, for the six months ended June 30, 2019, from $57,169,000 for the comparable period in 2018. This increase was primarily due to $2,267,000 increase in secondary gains on loans sold to third-party investors, a $398,000 decrease in the provision for loan loss reserve, and a $48,000 increase in other loan fees and interest income. This increase was partially offset by a net decrease of $2,457,000 in the fair value of loans held for sale and loan commitments.</w:t>
      </w:r>
    </w:p>
    <w:p>
      <w:pPr>
        <w:spacing w:after="0" w:line="23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Other revenues decreased by $22,000, or 0.5%, to $4,799,000 for the six months ended June 31, 2019, from $4,821,000 for the comparable period in 2018. This increase was primarily attributable to an increase in the cemetery and mortuary segment primarily due to the acquisition of Probst Family Funerals and Cremations and Heber Valley Funeral Home. This was partially offset by a decrease in servicing fee revenue.</w:t>
      </w:r>
    </w:p>
    <w:p>
      <w:pPr>
        <w:spacing w:after="0" w:line="229"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Total benefits and expenses were $122,883,000, or 94.6% of total revenues, for the six months ended June 30, 2019, as compared to $125,592,000, or 83.2% of total revenues, for the comparable period in 2018.</w:t>
      </w:r>
    </w:p>
    <w:p>
      <w:pPr>
        <w:spacing w:after="0" w:line="20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Death benefits, surrenders and other policy benefits, and future policy benefits increased by an aggregate of $181,000 or 0.6%, to $32,384,000 for the six months ended June 30, 2019, from $32,203,000 for the comparable period in 2018. This increase was primarily the result of a $364,000 increase in death benefits and a $124,000 increase in surrender and other policy benefits. This increase was partially offset by a $307,000 decrease in future policy benefits.</w:t>
      </w:r>
    </w:p>
    <w:p>
      <w:pPr>
        <w:spacing w:after="0" w:line="229" w:lineRule="exact"/>
        <w:rPr>
          <w:sz w:val="20"/>
          <w:szCs w:val="20"/>
          <w:color w:val="auto"/>
        </w:rPr>
      </w:pPr>
    </w:p>
    <w:p>
      <w:pPr>
        <w:jc w:val="both"/>
        <w:ind w:right="20"/>
        <w:spacing w:after="0" w:line="299" w:lineRule="auto"/>
        <w:rPr>
          <w:sz w:val="20"/>
          <w:szCs w:val="20"/>
          <w:color w:val="auto"/>
        </w:rPr>
      </w:pPr>
      <w:r>
        <w:rPr>
          <w:rFonts w:ascii="Arial" w:cs="Arial" w:eastAsia="Arial" w:hAnsi="Arial"/>
          <w:sz w:val="20"/>
          <w:szCs w:val="20"/>
          <w:color w:val="auto"/>
        </w:rPr>
        <w:t>Amortization of deferred policy and pre-need acquisition costs and value of business acquired increased by $981,000, or 18.8%, to $6,202,000 for the six months ended June 30, 2019, from $5,221,000 for the comparable period in 2018. This increase was primarily due to an increase in the average outstanding balance of deferred policy and pre-need acquisition costs.</w:t>
      </w:r>
    </w:p>
    <w:p>
      <w:pPr>
        <w:spacing w:after="0" w:line="206"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Selling, general and administrative expenses decreased by $3,981,000, or 4.8%, to $79,679,000 for the six months ended June 30, 2019, from $83,660,000 for the comparable period in 2018. This decrease was primarily the result of a $2,742,000 decrease in personnel expenses, a $2,213,000 decrease in commissions, a $500,000 decrease in costs related to funding mortgage loans, a $264,000 decrease in rent and rent related expenses, a $96,000 decrease in depreciation on property and equipment, and a $19,000 decrease in advertising expenses. This decrease was partially offset by a $1,853,000 increase in other expenses. The decreases in commissions and personnel expenses are primarily a result of the efforts of the Mortgage segment to reduce costs and restructure internal processes.</w:t>
      </w:r>
    </w:p>
    <w:p>
      <w:pPr>
        <w:sectPr>
          <w:pgSz w:w="11900" w:h="16838" w:orient="portrait"/>
          <w:cols w:equalWidth="0" w:num="1">
            <w:col w:w="11420"/>
          </w:cols>
          <w:pgMar w:left="240" w:top="131" w:right="239"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6" w:name="page57"/>
    <w:bookmarkEnd w:id="56"/>
    <w:p>
      <w:pPr>
        <w:jc w:val="both"/>
        <w:spacing w:after="0" w:line="274" w:lineRule="auto"/>
        <w:rPr>
          <w:sz w:val="20"/>
          <w:szCs w:val="20"/>
          <w:color w:val="auto"/>
        </w:rPr>
      </w:pPr>
      <w:r>
        <w:rPr>
          <w:rFonts w:ascii="Arial" w:cs="Arial" w:eastAsia="Arial" w:hAnsi="Arial"/>
          <w:sz w:val="21"/>
          <w:szCs w:val="21"/>
          <w:color w:val="auto"/>
        </w:rPr>
        <w:t>Interest expense decreased by $167,000, or 4.9%, to $3,274,000 for the six months ended June 30, 2019, from $3,441,000 for the comparable period in 2018. This decrease was primarily due to a decrease in interest expense on bank loans for real estate held for investment due to the sale of the Dry Creek Apartments at East Village in the first quarter 2018 and a decrease in interest expense on warehouse lines.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Cost of goods and services sold-mortuaries and cemeteries increased by $278,000, or 26.0%, to $1,344,000 for the six months ended June 30, 2019, from $1,066,000 for the comparable period in 2018. This increase was primarily due to increases in both mortuary and cemetery at-need sales and cemetery preneed sales.</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97"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of held to maturity investments or sale of other investments. The mortgage subsidiaries realize cash flow from fees generated by originating and refinancing mortgage loans, and fees earned from mortgage loans held for sale that are sold to investors.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w:t>
      </w:r>
    </w:p>
    <w:p>
      <w:pPr>
        <w:spacing w:after="0" w:line="232"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During the six months ended June 30, 2019 and 2018, the Company's operations used cash of $40,726,000 and $27,787,000, respectively. This increase was due primarily to originations of mortgage loans held for sale.</w:t>
      </w:r>
    </w:p>
    <w:p>
      <w:pPr>
        <w:spacing w:after="0" w:line="208"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their fair values.</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21"/>
          <w:szCs w:val="21"/>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230" w:lineRule="exact"/>
        <w:rPr>
          <w:sz w:val="20"/>
          <w:szCs w:val="20"/>
          <w:color w:val="auto"/>
        </w:rPr>
      </w:pPr>
    </w:p>
    <w:p>
      <w:pPr>
        <w:jc w:val="both"/>
        <w:spacing w:after="0" w:line="267" w:lineRule="exact"/>
        <w:rPr>
          <w:sz w:val="20"/>
          <w:szCs w:val="20"/>
          <w:color w:val="auto"/>
        </w:rPr>
      </w:pPr>
      <w:r>
        <w:rPr>
          <w:rFonts w:ascii="Arial" w:cs="Arial" w:eastAsia="Arial" w:hAnsi="Arial"/>
          <w:sz w:val="19"/>
          <w:szCs w:val="19"/>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amounted to $222,721,000 and $231,976,000 as of June 30, 2019 and December 31, 2018, respectively. This represents 37.7% and 38.9% of the total investments as of June 30, 2019 and December 31, 2018, respectively. Generally, all bonds owned by the life insurance subsidiaries are rated by the National Association of Insurance Commissioners. Under this rating system, there are nine categories used for rating bonds. At June 30, 2019, 3.59% (or $7,990,000) and at December 31, 2018, 3.6% (or $8,413,000) of the Company’s total bond investments were invested in bonds in rating categories three through nine, which were considered non</w:t>
      </w:r>
      <w:r>
        <w:rPr>
          <w:rFonts w:ascii="MS PGothic" w:cs="MS PGothic" w:eastAsia="MS PGothic" w:hAnsi="MS PGothic"/>
          <w:sz w:val="19"/>
          <w:szCs w:val="19"/>
          <w:color w:val="auto"/>
        </w:rPr>
        <w:t>‑</w:t>
      </w:r>
      <w:r>
        <w:rPr>
          <w:rFonts w:ascii="Arial" w:cs="Arial" w:eastAsia="Arial" w:hAnsi="Arial"/>
          <w:sz w:val="19"/>
          <w:szCs w:val="19"/>
          <w:color w:val="auto"/>
        </w:rPr>
        <w:t>investment grade.</w:t>
      </w:r>
    </w:p>
    <w:p>
      <w:pPr>
        <w:spacing w:after="0" w:line="264" w:lineRule="exact"/>
        <w:rPr>
          <w:sz w:val="20"/>
          <w:szCs w:val="20"/>
          <w:color w:val="auto"/>
        </w:rPr>
      </w:pPr>
    </w:p>
    <w:p>
      <w:pPr>
        <w:jc w:val="both"/>
        <w:spacing w:after="0" w:line="299" w:lineRule="auto"/>
        <w:rPr>
          <w:sz w:val="20"/>
          <w:szCs w:val="20"/>
          <w:color w:val="auto"/>
        </w:rPr>
      </w:pPr>
      <w:r>
        <w:rPr>
          <w:rFonts w:ascii="Arial" w:cs="Arial" w:eastAsia="Arial" w:hAnsi="Arial"/>
          <w:sz w:val="20"/>
          <w:szCs w:val="20"/>
          <w:color w:val="auto"/>
        </w:rPr>
        <w:t>The Company has classified its fixed income securities as held to maturity. Notwithstanding, business conditions may develop in the future which may indicate a need for a higher level of liquidity in the investment portfolio. In that event, the Company believes it could sell short-term investment grade securities before liquidating higher yielding longer-term securities.</w:t>
      </w:r>
    </w:p>
    <w:p>
      <w:pPr>
        <w:spacing w:after="0" w:line="206"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 Company is subject to risk-based capital guidelines established by statutory regulators requiring minimum capital levels based on the perceived risk of assets, liabilities, disintermediation, and business risk. At June 30, 2019 and December 31, 2018, the life insurance subsidiaries were in compliance with the regulatory criteria.</w:t>
      </w:r>
    </w:p>
    <w:p>
      <w:pPr>
        <w:sectPr>
          <w:pgSz w:w="11900" w:h="16838" w:orient="portrait"/>
          <w:cols w:equalWidth="0" w:num="1">
            <w:col w:w="11420"/>
          </w:cols>
          <w:pgMar w:left="240" w:top="131" w:right="239"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2485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7" w:name="page58"/>
    <w:bookmarkEnd w:id="57"/>
    <w:p>
      <w:pPr>
        <w:jc w:val="both"/>
        <w:spacing w:after="0" w:line="279" w:lineRule="auto"/>
        <w:rPr>
          <w:sz w:val="20"/>
          <w:szCs w:val="20"/>
          <w:color w:val="auto"/>
        </w:rPr>
      </w:pPr>
      <w:r>
        <w:rPr>
          <w:rFonts w:ascii="Arial" w:cs="Arial" w:eastAsia="Arial" w:hAnsi="Arial"/>
          <w:sz w:val="21"/>
          <w:szCs w:val="21"/>
          <w:color w:val="auto"/>
        </w:rPr>
        <w:t>The Company’s total capitalization of stockholders’ equity, bank and other loans payable was $393,945,000 as of June 30, 2019, as compared to $359,172,000 as of December 31, 2018. Stockholders’ equity as a percent of total capitalization was 45.1% and 47.8% as of June 30, 2019 and December 31, 2018, respectively.</w:t>
      </w:r>
    </w:p>
    <w:p>
      <w:pPr>
        <w:spacing w:after="0" w:line="223" w:lineRule="exact"/>
        <w:rPr>
          <w:sz w:val="20"/>
          <w:szCs w:val="20"/>
          <w:color w:val="auto"/>
        </w:rPr>
      </w:pPr>
    </w:p>
    <w:p>
      <w:pPr>
        <w:jc w:val="both"/>
        <w:spacing w:after="0" w:line="351" w:lineRule="auto"/>
        <w:rPr>
          <w:sz w:val="20"/>
          <w:szCs w:val="20"/>
          <w:color w:val="auto"/>
        </w:rPr>
      </w:pPr>
      <w:r>
        <w:rPr>
          <w:rFonts w:ascii="Arial" w:cs="Arial" w:eastAsia="Arial" w:hAnsi="Arial"/>
          <w:sz w:val="19"/>
          <w:szCs w:val="19"/>
          <w:color w:val="auto"/>
        </w:rPr>
        <w:t>Lapse rates measure the amount of insurance terminated during a particular period. The Company’s lapse rate for life insurance in 2018 was 9.9% as compared to a rate of 10.6% for 2017. The 2019 lapse rate to date has been approximately the same as 2018.</w:t>
      </w:r>
    </w:p>
    <w:p>
      <w:pPr>
        <w:spacing w:after="0" w:line="160" w:lineRule="exact"/>
        <w:rPr>
          <w:sz w:val="20"/>
          <w:szCs w:val="20"/>
          <w:color w:val="auto"/>
        </w:rPr>
      </w:pPr>
    </w:p>
    <w:p>
      <w:pPr>
        <w:jc w:val="both"/>
        <w:spacing w:after="0" w:line="321" w:lineRule="auto"/>
        <w:rPr>
          <w:sz w:val="20"/>
          <w:szCs w:val="20"/>
          <w:color w:val="auto"/>
        </w:rPr>
      </w:pPr>
      <w:r>
        <w:rPr>
          <w:rFonts w:ascii="Arial" w:cs="Arial" w:eastAsia="Arial" w:hAnsi="Arial"/>
          <w:sz w:val="20"/>
          <w:szCs w:val="20"/>
          <w:color w:val="auto"/>
        </w:rPr>
        <w:t>At June 30, 2019, the combined statutory capital and surplus of the Company’s life insurance subsidiaries was $56,591,000. The life insurance subsidiaries cannot pay a dividend to its parent company without approval of state insurance regulatory authorities.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rPr>
        <w:t>As a smaller reporting company, the Company is not required to provide information typically disclosed under this item.</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Disclosure Controls and Procedures</w:t>
      </w:r>
    </w:p>
    <w:p>
      <w:pPr>
        <w:spacing w:after="0" w:line="291"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As of June 30, 2019,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June 30, 2019,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Changes in Internal Control over Financial Reporting</w:t>
      </w:r>
    </w:p>
    <w:p>
      <w:pPr>
        <w:spacing w:after="0" w:line="291"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There have been no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II </w:t>
      </w:r>
      <w:r>
        <w:rPr>
          <w:rFonts w:ascii="Arial" w:cs="Arial" w:eastAsia="Arial" w:hAnsi="Arial"/>
          <w:sz w:val="14"/>
          <w:szCs w:val="14"/>
          <w:b w:val="1"/>
          <w:bCs w:val="1"/>
          <w:color w:val="auto"/>
        </w:rPr>
        <w:t>-</w:t>
      </w:r>
      <w:r>
        <w:rPr>
          <w:rFonts w:ascii="Arial" w:cs="Arial" w:eastAsia="Arial" w:hAnsi="Arial"/>
          <w:sz w:val="18"/>
          <w:szCs w:val="18"/>
          <w:b w:val="1"/>
          <w:bCs w:val="1"/>
          <w:color w:val="auto"/>
        </w:rPr>
        <w:t xml:space="preserve"> Other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r>
        <w:rPr>
          <w:rFonts w:ascii="Arial" w:cs="Arial" w:eastAsia="Arial" w:hAnsi="Arial"/>
          <w:sz w:val="21"/>
          <w:szCs w:val="21"/>
          <w:color w:val="auto"/>
        </w:rPr>
        <w:t>.</w:t>
      </w:r>
    </w:p>
    <w:p>
      <w:pPr>
        <w:spacing w:after="0" w:line="297"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For a description of the litigation involving SecurityNational Mortgage and Lehman Brothers Holdings, see Part I, Item 1. Notes to Condensed Consolidated Financial Statements (unaudited) in Note 11.</w:t>
      </w:r>
    </w:p>
    <w:p>
      <w:pPr>
        <w:spacing w:after="0" w:line="208" w:lineRule="exact"/>
        <w:rPr>
          <w:sz w:val="20"/>
          <w:szCs w:val="20"/>
          <w:color w:val="auto"/>
        </w:rPr>
      </w:pPr>
    </w:p>
    <w:p>
      <w:pPr>
        <w:jc w:val="both"/>
        <w:spacing w:after="0" w:line="351" w:lineRule="auto"/>
        <w:rPr>
          <w:sz w:val="20"/>
          <w:szCs w:val="20"/>
          <w:color w:val="auto"/>
        </w:rPr>
      </w:pPr>
      <w:r>
        <w:rPr>
          <w:rFonts w:ascii="Arial" w:cs="Arial" w:eastAsia="Arial" w:hAnsi="Arial"/>
          <w:sz w:val="19"/>
          <w:szCs w:val="19"/>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rPr>
        <w:t>As a smaller reporting company, the Company is not required to provide information typically disclosed under this item.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Sales of Unregistered Securities and Use of Proceeds from Registered Securities</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Issuer Purchases of Equity Securities</w:t>
      </w:r>
    </w:p>
    <w:p>
      <w:pPr>
        <w:spacing w:after="0" w:line="297"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On September 7, 2018, the Board of Directors of the Company approved a Stock Repurchase Plan that authorized the repurchase of 300,000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229" w:lineRule="exact"/>
        <w:rPr>
          <w:sz w:val="20"/>
          <w:szCs w:val="20"/>
          <w:color w:val="auto"/>
        </w:rPr>
      </w:pPr>
    </w:p>
    <w:p>
      <w:pPr>
        <w:jc w:val="both"/>
        <w:spacing w:after="0" w:line="294" w:lineRule="auto"/>
        <w:rPr>
          <w:sz w:val="20"/>
          <w:szCs w:val="20"/>
          <w:color w:val="auto"/>
        </w:rPr>
      </w:pPr>
      <w:r>
        <w:rPr>
          <w:rFonts w:ascii="Arial" w:cs="Arial" w:eastAsia="Arial" w:hAnsi="Arial"/>
          <w:sz w:val="21"/>
          <w:szCs w:val="21"/>
          <w:color w:val="auto"/>
        </w:rPr>
        <w:t>The following table shows the Company's repurchase activity during the three months ended June 30, 2019 under the Stock Repurchase Plan.</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Maximum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Number (or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(c) Total</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Dollar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Class A</w:t>
            </w: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Value)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Class 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3"/>
              </w:rPr>
              <w:t>Purchased</w:t>
            </w: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 that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 Total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as Part of</w:t>
            </w: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May Yet Be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Number of</w:t>
            </w:r>
          </w:p>
        </w:tc>
        <w:tc>
          <w:tcPr>
            <w:tcW w:w="80" w:type="dxa"/>
            <w:vAlign w:val="bottom"/>
          </w:tcPr>
          <w:p>
            <w:pPr>
              <w:spacing w:after="0"/>
              <w:rPr>
                <w:sz w:val="18"/>
                <w:szCs w:val="18"/>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(b) Average</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Purchased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Class 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Price Paid</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Announced</w:t>
            </w: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Under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per Class A</w:t>
            </w: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Plan or</w:t>
            </w:r>
          </w:p>
        </w:tc>
        <w:tc>
          <w:tcPr>
            <w:tcW w:w="160" w:type="dxa"/>
            <w:vAlign w:val="bottom"/>
          </w:tcPr>
          <w:p>
            <w:pPr>
              <w:spacing w:after="0"/>
              <w:rPr>
                <w:sz w:val="18"/>
                <w:szCs w:val="18"/>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Plan or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Purchased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color w:val="auto"/>
                <w:w w:val="83"/>
              </w:rPr>
              <w:t>Share</w:t>
            </w:r>
          </w:p>
        </w:tc>
        <w:tc>
          <w:tcPr>
            <w:tcW w:w="880" w:type="dxa"/>
            <w:vAlign w:val="bottom"/>
          </w:tcPr>
          <w:p>
            <w:pPr>
              <w:jc w:val="center"/>
              <w:spacing w:after="0"/>
              <w:rPr>
                <w:sz w:val="20"/>
                <w:szCs w:val="20"/>
                <w:color w:val="auto"/>
              </w:rPr>
            </w:pPr>
            <w:r>
              <w:rPr>
                <w:rFonts w:ascii="Arial" w:cs="Arial" w:eastAsia="Arial" w:hAnsi="Arial"/>
                <w:sz w:val="18"/>
                <w:szCs w:val="18"/>
                <w:color w:val="auto"/>
                <w:w w:val="86"/>
              </w:rPr>
              <w:t>Program</w:t>
            </w:r>
          </w:p>
        </w:tc>
        <w:tc>
          <w:tcPr>
            <w:tcW w:w="160" w:type="dxa"/>
            <w:vAlign w:val="bottom"/>
          </w:tcPr>
          <w:p>
            <w:pPr>
              <w:spacing w:after="0"/>
              <w:rPr>
                <w:sz w:val="20"/>
                <w:szCs w:val="20"/>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Program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4/1/2019-4/30/2019</w:t>
            </w: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w w:val="90"/>
              </w:rPr>
              <w:t>5/1/2019-5/31/2019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5.53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220,620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6/1/2019-6/30/2019</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210,620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1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210,620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Defaults Upon Senior Securities.</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Mine Safety Disclosures.</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5. Other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Acquisition of Probst Family Funerals and Cremations and Heber Valley Funeral Home</w:t>
      </w:r>
    </w:p>
    <w:p>
      <w:pPr>
        <w:spacing w:after="0" w:line="29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 For the year ended December 31, 2018, Probst Family Funerals and Heber Valley Funeral Home had combined revenues of $1,055,634 and a combined net pre-tax income of $179,613. As of December 31, 2018, Probst Family Funerals and Heber Valley Funeral Home had combined assets of $1,161,029 and a combined total equity of $18,052.</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Under the terms of the transaction, as set forth in the Asset Purchase Agreement, dated February 15, 2019, by and among SN Probst, a wholly owned subsidiary of Memorial Mortuary, and Probst Family Funerals, Heber Valley Funeral Home, Joe T. Probst, Clinton Wayne Probst, Calle J. Probst, and Marsha L. Probst, Memorial Mortuary, through its wholly owned subsidiary SN Probst, paid a net purchase price of $3,315,647 for the business and assets of Probst Family Funerals and Heber Valley Funeral Home, subject to a $150,000 holdback. At the closing, Probst Funeral Homes and Heber Valley Funeral Home paid off the $907,407 principal balance and $4,340 in interest on a loan at Zions Bank that was secured by the Heber Valley Funeral Home. Also, at the closing, Probst Funeral Homes and Heber Valley Funeral Home paid off the $157,148 loan with Utah Community Credit Union and the $32,987 line of credit with Zions Bank.</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Acquisition of Beta Capital Corp.</w:t>
      </w:r>
    </w:p>
    <w:p>
      <w:pPr>
        <w:sectPr>
          <w:pgSz w:w="11900" w:h="16838" w:orient="portrait"/>
          <w:cols w:equalWidth="0" w:num="1">
            <w:col w:w="11420"/>
          </w:cols>
          <w:pgMar w:left="240" w:top="125" w:right="239" w:bottom="0" w:gutter="0" w:footer="0" w:header="0"/>
        </w:sectPr>
      </w:pPr>
    </w:p>
    <w:bookmarkStart w:id="59" w:name="page60"/>
    <w:bookmarkEnd w:id="59"/>
    <w:p>
      <w:pPr>
        <w:jc w:val="both"/>
        <w:spacing w:after="0" w:line="270" w:lineRule="auto"/>
        <w:rPr>
          <w:sz w:val="20"/>
          <w:szCs w:val="20"/>
          <w:color w:val="auto"/>
        </w:rPr>
      </w:pPr>
      <w:r>
        <w:rPr>
          <w:rFonts w:ascii="Arial" w:cs="Arial" w:eastAsia="Arial" w:hAnsi="Arial"/>
          <w:sz w:val="21"/>
          <w:szCs w:val="21"/>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 For the year ended December 31, 2017, Beta Capital had revenues of $1,208,000 with a net pre-tax income of $204,000. As of December 31, 2017, the total assets of Beta Capital were $3,270,000 and total equity was $1,832,000.</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jc w:val="both"/>
        <w:spacing w:after="0" w:line="269" w:lineRule="auto"/>
        <w:rPr>
          <w:sz w:val="20"/>
          <w:szCs w:val="20"/>
          <w:color w:val="auto"/>
        </w:rPr>
      </w:pPr>
      <w:r>
        <w:rPr>
          <w:rFonts w:ascii="Arial" w:cs="Arial" w:eastAsia="Arial" w:hAnsi="Arial"/>
          <w:sz w:val="21"/>
          <w:szCs w:val="21"/>
          <w:color w:val="auto"/>
        </w:rPr>
        <w:t>Under the terms of the transaction, as set forth in the Stock Purchase Agreement dated September 1, 2018 (the "Purchase Agreement"),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September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Sale of Dry Creek at East Village Apartments</w:t>
      </w:r>
    </w:p>
    <w:p>
      <w:pPr>
        <w:spacing w:after="0" w:line="297"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On March 29, 2018, the Company through its wholly owned subsidiary, Security National Life Insurance Company (“Security National Life”), completed the sale of the Dry Creek at East Village (“Dry Creek”) apartments to a subsidiary of Dinapoli Capital Partners, LLC (“Dinapoli Capital”) pursuant to the terms of the Purchase and Sale Agreement, dated February 14, 2018, between Security National Life and Dinapoli Capital. The purchase price paid for the Dry Creek apartments was $57,000,000. From the proceeds that Security National Life received from the sale of the apartment complex, $26,802,904 was used to pay off an existing loan at Zions First National Bank, N.A., which was secured by a security interest in the apartment complex. A brokerage commission of $285,000 and legal fees and related costs were also paid from the purchase proceeds. The Company’s book basis in Dry Creek was approximately $34,400,000, and the Company recognized the gain net of tax effects from the sale in the first quarter of 2018.</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Dry Creek apartments consist of 282 units, with a mixture of one, two, and three-bedroom units. The construction of Dry Creek was completed in December 2015. As of December 31, 2017, the apartments were 95% leased. Also, rental rates in the market had increased by 9.8% over pro forma rents, and effective (achieved) rates net of concessions increased. The Company had owned the land for the development since 1991, when the Company purchased the land, along with the cemetery and mortuary that are adjacent to the property. The Company continues to operate the cemetery and mortuary.</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 Financial Statements Schedules and Reports on Form 8-K.</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(a)(1)  </w:t>
      </w:r>
      <w:r>
        <w:rPr>
          <w:rFonts w:ascii="Arial" w:cs="Arial" w:eastAsia="Arial" w:hAnsi="Arial"/>
          <w:sz w:val="21"/>
          <w:szCs w:val="21"/>
          <w:u w:val="single" w:color="auto"/>
          <w:color w:val="auto"/>
        </w:rPr>
        <w:t>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See “Table of Contents – Part I – Financial Information” under page 2 above</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(a)(2)  </w:t>
      </w:r>
      <w:r>
        <w:rPr>
          <w:rFonts w:ascii="Arial" w:cs="Arial" w:eastAsia="Arial" w:hAnsi="Arial"/>
          <w:sz w:val="21"/>
          <w:szCs w:val="21"/>
          <w:u w:val="single" w:color="auto"/>
          <w:color w:val="auto"/>
        </w:rPr>
        <w:t>Financial Statement Schedules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color w:val="auto"/>
        </w:rPr>
        <w:t>None</w:t>
      </w:r>
    </w:p>
    <w:p>
      <w:pPr>
        <w:spacing w:after="0" w:line="291" w:lineRule="exact"/>
        <w:rPr>
          <w:sz w:val="20"/>
          <w:szCs w:val="20"/>
          <w:color w:val="auto"/>
        </w:rPr>
      </w:pPr>
    </w:p>
    <w:p>
      <w:pPr>
        <w:jc w:val="both"/>
        <w:ind w:right="20"/>
        <w:spacing w:after="0" w:line="269" w:lineRule="exact"/>
        <w:rPr>
          <w:sz w:val="20"/>
          <w:szCs w:val="20"/>
          <w:color w:val="auto"/>
        </w:rPr>
      </w:pPr>
      <w:r>
        <w:rPr>
          <w:rFonts w:ascii="Arial" w:cs="Arial" w:eastAsia="Arial" w:hAnsi="Arial"/>
          <w:sz w:val="21"/>
          <w:szCs w:val="21"/>
          <w:color w:val="auto"/>
        </w:rPr>
        <w:t>All other schedules to the consolidated financial statements required by Article 7 of Regulation S</w:t>
      </w:r>
      <w:r>
        <w:rPr>
          <w:rFonts w:ascii="MS PGothic" w:cs="MS PGothic" w:eastAsia="MS PGothic" w:hAnsi="MS PGothic"/>
          <w:sz w:val="21"/>
          <w:szCs w:val="21"/>
          <w:color w:val="auto"/>
        </w:rPr>
        <w:t>‑</w:t>
      </w:r>
      <w:r>
        <w:rPr>
          <w:rFonts w:ascii="Arial" w:cs="Arial" w:eastAsia="Arial" w:hAnsi="Arial"/>
          <w:sz w:val="21"/>
          <w:szCs w:val="21"/>
          <w:color w:val="auto"/>
        </w:rPr>
        <w:t>X are not required under the related instructions or are inapplicable and therefore have been omitted.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sz w:val="20"/>
          <w:szCs w:val="20"/>
          <w:color w:val="auto"/>
        </w:rPr>
      </w:pPr>
      <w:r>
        <w:rPr>
          <w:rFonts w:ascii="Arial" w:cs="Arial" w:eastAsia="Arial" w:hAnsi="Arial"/>
          <w:sz w:val="21"/>
          <w:szCs w:val="21"/>
          <w:color w:val="auto"/>
        </w:rPr>
        <w:t xml:space="preserve">(a)(3)  </w:t>
      </w:r>
      <w:r>
        <w:rPr>
          <w:rFonts w:ascii="Arial" w:cs="Arial" w:eastAsia="Arial" w:hAnsi="Arial"/>
          <w:sz w:val="21"/>
          <w:szCs w:val="21"/>
          <w:u w:val="single" w:color="auto"/>
          <w:color w:val="auto"/>
        </w:rPr>
        <w:t>Exhibits</w:t>
      </w:r>
    </w:p>
    <w:p>
      <w:pPr>
        <w:spacing w:after="0" w:line="291" w:lineRule="exact"/>
        <w:rPr>
          <w:sz w:val="20"/>
          <w:szCs w:val="20"/>
          <w:color w:val="auto"/>
        </w:rPr>
      </w:pPr>
    </w:p>
    <w:p>
      <w:pPr>
        <w:ind w:right="640"/>
        <w:spacing w:after="0" w:line="269" w:lineRule="exact"/>
        <w:rPr>
          <w:sz w:val="20"/>
          <w:szCs w:val="20"/>
          <w:color w:val="auto"/>
        </w:rPr>
      </w:pPr>
      <w:r>
        <w:rPr>
          <w:rFonts w:ascii="Arial" w:cs="Arial" w:eastAsia="Arial" w:hAnsi="Arial"/>
          <w:sz w:val="21"/>
          <w:szCs w:val="21"/>
          <w:color w:val="auto"/>
        </w:rPr>
        <w:t>The following Exhibits are filed herewith pursuant to Rule 601 of Regulation S</w:t>
      </w:r>
      <w:r>
        <w:rPr>
          <w:rFonts w:ascii="MS PGothic" w:cs="MS PGothic" w:eastAsia="MS PGothic" w:hAnsi="MS PGothic"/>
          <w:sz w:val="21"/>
          <w:szCs w:val="21"/>
          <w:color w:val="auto"/>
        </w:rPr>
        <w:t>‑</w:t>
      </w:r>
      <w:r>
        <w:rPr>
          <w:rFonts w:ascii="Arial" w:cs="Arial" w:eastAsia="Arial" w:hAnsi="Arial"/>
          <w:sz w:val="21"/>
          <w:szCs w:val="21"/>
          <w:color w:val="auto"/>
        </w:rPr>
        <w:t>K or are incorporated by reference to previous filings.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0040" w:type="dxa"/>
            <w:vAlign w:val="bottom"/>
            <w:gridSpan w:val="9"/>
            <w:shd w:val="clear" w:color="auto" w:fill="CCEEFF"/>
          </w:tcPr>
          <w:p>
            <w:pPr>
              <w:spacing w:after="0"/>
              <w:rPr>
                <w:rFonts w:ascii="Arial" w:cs="Arial" w:eastAsia="Arial" w:hAnsi="Arial"/>
                <w:sz w:val="18"/>
                <w:szCs w:val="18"/>
                <w:color w:val="0000EE"/>
              </w:rPr>
            </w:pPr>
            <w:hyperlink r:id="rId59">
              <w:r>
                <w:rPr>
                  <w:rFonts w:ascii="Arial" w:cs="Arial" w:eastAsia="Arial" w:hAnsi="Arial"/>
                  <w:sz w:val="18"/>
                  <w:szCs w:val="18"/>
                  <w:color w:val="0000EE"/>
                </w:rPr>
                <w:t>Articles of Incorporation, as amendment and restated (6)</w:t>
              </w:r>
            </w:hyperlink>
          </w:p>
        </w:tc>
      </w:tr>
      <w:tr>
        <w:trPr>
          <w:trHeight w:val="213"/>
        </w:trPr>
        <w:tc>
          <w:tcPr>
            <w:tcW w:w="138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3"/>
        </w:trPr>
        <w:tc>
          <w:tcPr>
            <w:tcW w:w="138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3.2</w:t>
            </w:r>
          </w:p>
        </w:tc>
        <w:tc>
          <w:tcPr>
            <w:tcW w:w="10040" w:type="dxa"/>
            <w:vAlign w:val="bottom"/>
            <w:gridSpan w:val="9"/>
            <w:shd w:val="clear" w:color="auto" w:fill="CCEEFF"/>
          </w:tcPr>
          <w:p>
            <w:pPr>
              <w:spacing w:after="0" w:line="173" w:lineRule="exact"/>
              <w:rPr>
                <w:rFonts w:ascii="Arial" w:cs="Arial" w:eastAsia="Arial" w:hAnsi="Arial"/>
                <w:sz w:val="18"/>
                <w:szCs w:val="18"/>
                <w:color w:val="0000EE"/>
              </w:rPr>
            </w:pPr>
            <w:hyperlink r:id="rId60">
              <w:r>
                <w:rPr>
                  <w:rFonts w:ascii="Arial" w:cs="Arial" w:eastAsia="Arial" w:hAnsi="Arial"/>
                  <w:sz w:val="18"/>
                  <w:szCs w:val="18"/>
                  <w:color w:val="0000EE"/>
                </w:rPr>
                <w:t>Bylaws, as amended and restated (10)</w:t>
              </w:r>
            </w:hyperlink>
          </w:p>
        </w:tc>
      </w:tr>
      <w:tr>
        <w:trPr>
          <w:trHeight w:val="213"/>
        </w:trPr>
        <w:tc>
          <w:tcPr>
            <w:tcW w:w="138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213"/>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00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Specimen Class A Stock Certificate (1)</w:t>
            </w:r>
          </w:p>
        </w:tc>
      </w:tr>
      <w:tr>
        <w:trPr>
          <w:trHeight w:val="213"/>
        </w:trPr>
        <w:tc>
          <w:tcPr>
            <w:tcW w:w="1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100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Specimen Class C Stock Certificate (1)</w:t>
            </w:r>
          </w:p>
        </w:tc>
      </w:tr>
      <w:tr>
        <w:trPr>
          <w:trHeight w:val="213"/>
        </w:trPr>
        <w:tc>
          <w:tcPr>
            <w:tcW w:w="1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100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Specimen Preferred Stock Certificate and Certificate of Designation of Preferred Stock (1)</w:t>
            </w:r>
          </w:p>
        </w:tc>
      </w:tr>
      <w:tr>
        <w:trPr>
          <w:trHeight w:val="213"/>
        </w:trPr>
        <w:tc>
          <w:tcPr>
            <w:tcW w:w="1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00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Employee Stock Ownership Plan (ESOP) and Trust Agreement, as amended and restated (1)</w:t>
            </w:r>
          </w:p>
        </w:tc>
      </w:tr>
      <w:tr>
        <w:trPr>
          <w:trHeight w:val="213"/>
        </w:trPr>
        <w:tc>
          <w:tcPr>
            <w:tcW w:w="1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3"/>
        </w:trPr>
        <w:tc>
          <w:tcPr>
            <w:tcW w:w="138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10.2</w:t>
            </w:r>
          </w:p>
        </w:tc>
        <w:tc>
          <w:tcPr>
            <w:tcW w:w="10040" w:type="dxa"/>
            <w:vAlign w:val="bottom"/>
            <w:gridSpan w:val="9"/>
            <w:shd w:val="clear" w:color="auto" w:fill="CCEEFF"/>
          </w:tcPr>
          <w:p>
            <w:pPr>
              <w:spacing w:after="0" w:line="173" w:lineRule="exact"/>
              <w:rPr>
                <w:rFonts w:ascii="Arial" w:cs="Arial" w:eastAsia="Arial" w:hAnsi="Arial"/>
                <w:sz w:val="18"/>
                <w:szCs w:val="18"/>
                <w:color w:val="0000EE"/>
              </w:rPr>
            </w:pPr>
            <w:hyperlink r:id="rId61">
              <w:r>
                <w:rPr>
                  <w:rFonts w:ascii="Arial" w:cs="Arial" w:eastAsia="Arial" w:hAnsi="Arial"/>
                  <w:sz w:val="18"/>
                  <w:szCs w:val="18"/>
                  <w:color w:val="0000EE"/>
                </w:rPr>
                <w:t>2013 Stock Option and Other Equity Incentive Awards Plan, as amended and restated (4)</w:t>
              </w:r>
            </w:hyperlink>
          </w:p>
        </w:tc>
      </w:tr>
      <w:tr>
        <w:trPr>
          <w:trHeight w:val="213"/>
        </w:trPr>
        <w:tc>
          <w:tcPr>
            <w:tcW w:w="138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3"/>
        </w:trPr>
        <w:tc>
          <w:tcPr>
            <w:tcW w:w="138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10.3</w:t>
            </w:r>
          </w:p>
        </w:tc>
        <w:tc>
          <w:tcPr>
            <w:tcW w:w="10040" w:type="dxa"/>
            <w:vAlign w:val="bottom"/>
            <w:gridSpan w:val="9"/>
            <w:shd w:val="clear" w:color="auto" w:fill="CCEEFF"/>
          </w:tcPr>
          <w:p>
            <w:pPr>
              <w:spacing w:after="0" w:line="173" w:lineRule="exact"/>
              <w:rPr>
                <w:rFonts w:ascii="Arial" w:cs="Arial" w:eastAsia="Arial" w:hAnsi="Arial"/>
                <w:sz w:val="18"/>
                <w:szCs w:val="18"/>
                <w:color w:val="0000EE"/>
              </w:rPr>
            </w:pPr>
            <w:hyperlink r:id="rId62">
              <w:r>
                <w:rPr>
                  <w:rFonts w:ascii="Arial" w:cs="Arial" w:eastAsia="Arial" w:hAnsi="Arial"/>
                  <w:sz w:val="18"/>
                  <w:szCs w:val="18"/>
                  <w:color w:val="0000EE"/>
                </w:rPr>
                <w:t>2014 Director Stock Option Plan (2)</w:t>
              </w:r>
            </w:hyperlink>
          </w:p>
        </w:tc>
      </w:tr>
      <w:tr>
        <w:trPr>
          <w:trHeight w:val="213"/>
        </w:trPr>
        <w:tc>
          <w:tcPr>
            <w:tcW w:w="138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3"/>
        </w:trPr>
        <w:tc>
          <w:tcPr>
            <w:tcW w:w="138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10.4</w:t>
            </w:r>
          </w:p>
        </w:tc>
        <w:tc>
          <w:tcPr>
            <w:tcW w:w="10040" w:type="dxa"/>
            <w:vAlign w:val="bottom"/>
            <w:gridSpan w:val="9"/>
            <w:shd w:val="clear" w:color="auto" w:fill="CCEEFF"/>
          </w:tcPr>
          <w:p>
            <w:pPr>
              <w:spacing w:after="0" w:line="173" w:lineRule="exact"/>
              <w:rPr>
                <w:rFonts w:ascii="Arial" w:cs="Arial" w:eastAsia="Arial" w:hAnsi="Arial"/>
                <w:sz w:val="18"/>
                <w:szCs w:val="18"/>
                <w:color w:val="0000EE"/>
              </w:rPr>
            </w:pPr>
            <w:hyperlink r:id="rId63">
              <w:r>
                <w:rPr>
                  <w:rFonts w:ascii="Arial" w:cs="Arial" w:eastAsia="Arial" w:hAnsi="Arial"/>
                  <w:sz w:val="18"/>
                  <w:szCs w:val="18"/>
                  <w:color w:val="0000EE"/>
                </w:rPr>
                <w:t>Employment Agreement with Scott M. Quist (3)</w:t>
              </w:r>
            </w:hyperlink>
          </w:p>
        </w:tc>
      </w:tr>
      <w:tr>
        <w:trPr>
          <w:trHeight w:val="213"/>
        </w:trPr>
        <w:tc>
          <w:tcPr>
            <w:tcW w:w="138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3"/>
        </w:trPr>
        <w:tc>
          <w:tcPr>
            <w:tcW w:w="138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10.5</w:t>
            </w:r>
          </w:p>
        </w:tc>
        <w:tc>
          <w:tcPr>
            <w:tcW w:w="10040" w:type="dxa"/>
            <w:vAlign w:val="bottom"/>
            <w:gridSpan w:val="9"/>
            <w:shd w:val="clear" w:color="auto" w:fill="CCEEFF"/>
          </w:tcPr>
          <w:p>
            <w:pPr>
              <w:spacing w:after="0" w:line="173" w:lineRule="exact"/>
              <w:rPr>
                <w:rFonts w:ascii="Arial" w:cs="Arial" w:eastAsia="Arial" w:hAnsi="Arial"/>
                <w:sz w:val="18"/>
                <w:szCs w:val="18"/>
                <w:color w:val="0000EE"/>
              </w:rPr>
            </w:pPr>
            <w:hyperlink r:id="rId64">
              <w:r>
                <w:rPr>
                  <w:rFonts w:ascii="Arial" w:cs="Arial" w:eastAsia="Arial" w:hAnsi="Arial"/>
                  <w:sz w:val="18"/>
                  <w:szCs w:val="18"/>
                  <w:color w:val="0000EE"/>
                </w:rPr>
                <w:t>Stock Purchase Agreement among Security National Financial Corporation, Beta Capital Corp., and Ronald D. Maxson (7)</w:t>
              </w:r>
            </w:hyperlink>
          </w:p>
        </w:tc>
      </w:tr>
      <w:tr>
        <w:trPr>
          <w:trHeight w:val="213"/>
        </w:trPr>
        <w:tc>
          <w:tcPr>
            <w:tcW w:w="138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24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93"/>
        </w:trPr>
        <w:tc>
          <w:tcPr>
            <w:tcW w:w="138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10.6</w:t>
            </w:r>
          </w:p>
        </w:tc>
        <w:tc>
          <w:tcPr>
            <w:tcW w:w="10040" w:type="dxa"/>
            <w:vAlign w:val="bottom"/>
            <w:gridSpan w:val="9"/>
            <w:shd w:val="clear" w:color="auto" w:fill="CCEEFF"/>
          </w:tcPr>
          <w:p>
            <w:pPr>
              <w:spacing w:after="0" w:line="173" w:lineRule="exact"/>
              <w:rPr>
                <w:rFonts w:ascii="Arial" w:cs="Arial" w:eastAsia="Arial" w:hAnsi="Arial"/>
                <w:sz w:val="18"/>
                <w:szCs w:val="18"/>
                <w:color w:val="0000EE"/>
              </w:rPr>
            </w:pPr>
            <w:hyperlink r:id="rId65">
              <w:r>
                <w:rPr>
                  <w:rFonts w:ascii="Arial" w:cs="Arial" w:eastAsia="Arial" w:hAnsi="Arial"/>
                  <w:sz w:val="18"/>
                  <w:szCs w:val="18"/>
                  <w:color w:val="0000EE"/>
                </w:rPr>
                <w:t>Stock Repurchase Plan (8)</w:t>
              </w:r>
            </w:hyperlink>
          </w:p>
        </w:tc>
      </w:tr>
      <w:tr>
        <w:trPr>
          <w:trHeight w:val="213"/>
        </w:trPr>
        <w:tc>
          <w:tcPr>
            <w:tcW w:w="1380" w:type="dxa"/>
            <w:vAlign w:val="bottom"/>
            <w:tcBorders>
              <w:top w:val="single" w:sz="8" w:color="CCEEFF"/>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173"/>
        </w:trPr>
        <w:tc>
          <w:tcPr>
            <w:tcW w:w="1380" w:type="dxa"/>
            <w:vAlign w:val="bottom"/>
            <w:tcBorders>
              <w:bottom w:val="single" w:sz="8" w:color="CCEEFF"/>
            </w:tcBorders>
            <w:shd w:val="clear" w:color="auto" w:fill="CCEEFF"/>
          </w:tcPr>
          <w:p>
            <w:pPr>
              <w:spacing w:after="0" w:line="173" w:lineRule="exact"/>
              <w:rPr>
                <w:sz w:val="20"/>
                <w:szCs w:val="20"/>
                <w:color w:val="auto"/>
              </w:rPr>
            </w:pPr>
            <w:r>
              <w:rPr>
                <w:rFonts w:ascii="Arial" w:cs="Arial" w:eastAsia="Arial" w:hAnsi="Arial"/>
                <w:sz w:val="18"/>
                <w:szCs w:val="18"/>
                <w:color w:val="auto"/>
              </w:rPr>
              <w:t>10.7</w:t>
            </w:r>
          </w:p>
        </w:tc>
        <w:tc>
          <w:tcPr>
            <w:tcW w:w="10040" w:type="dxa"/>
            <w:vAlign w:val="bottom"/>
            <w:tcBorders>
              <w:bottom w:val="single" w:sz="8" w:color="0000EE"/>
            </w:tcBorders>
            <w:gridSpan w:val="9"/>
            <w:shd w:val="clear" w:color="auto" w:fill="CCEEFF"/>
          </w:tcPr>
          <w:p>
            <w:pPr>
              <w:spacing w:after="0" w:line="173" w:lineRule="exact"/>
              <w:rPr>
                <w:rFonts w:ascii="Arial" w:cs="Arial" w:eastAsia="Arial" w:hAnsi="Arial"/>
                <w:sz w:val="18"/>
                <w:szCs w:val="18"/>
                <w:color w:val="0000EE"/>
                <w:w w:val="89"/>
              </w:rPr>
            </w:pPr>
            <w:hyperlink r:id="rId66">
              <w:r>
                <w:rPr>
                  <w:rFonts w:ascii="Arial" w:cs="Arial" w:eastAsia="Arial" w:hAnsi="Arial"/>
                  <w:sz w:val="18"/>
                  <w:szCs w:val="18"/>
                  <w:color w:val="0000EE"/>
                  <w:w w:val="89"/>
                </w:rPr>
                <w:t>Asset Purchase Agreement among SN Probst LLC, Probst Family Funerals and Cremations, L.L.C, Heber Valley Funeral Home, Inc., Joe T.</w:t>
              </w:r>
            </w:hyperlink>
          </w:p>
        </w:tc>
      </w:tr>
      <w:tr>
        <w:trPr>
          <w:trHeight w:val="213"/>
        </w:trPr>
        <w:tc>
          <w:tcPr>
            <w:tcW w:w="138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0000EE"/>
            </w:tcBorders>
            <w:gridSpan w:val="6"/>
            <w:shd w:val="clear" w:color="auto" w:fill="CCEEFF"/>
          </w:tcPr>
          <w:p>
            <w:pPr>
              <w:spacing w:after="0" w:line="193"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Probst, Clinton Wayne Probst, Calle J. Probst, and Marsha J. Probst (9)</w:t>
              </w:r>
            </w:hyperlink>
          </w:p>
        </w:tc>
        <w:tc>
          <w:tcPr>
            <w:tcW w:w="4980" w:type="dxa"/>
            <w:vAlign w:val="bottom"/>
            <w:tcBorders>
              <w:bottom w:val="single" w:sz="8" w:color="CCEEFF"/>
            </w:tcBorders>
            <w:gridSpan w:val="3"/>
            <w:shd w:val="clear" w:color="auto" w:fill="CCEEFF"/>
          </w:tcPr>
          <w:p>
            <w:pPr>
              <w:spacing w:after="0"/>
              <w:rPr>
                <w:sz w:val="18"/>
                <w:szCs w:val="18"/>
                <w:color w:val="auto"/>
              </w:rPr>
            </w:pPr>
          </w:p>
        </w:tc>
      </w:tr>
    </w:tbl>
    <w:p>
      <w:pPr>
        <w:spacing w:after="0" w:line="201" w:lineRule="exact"/>
        <w:rPr>
          <w:sz w:val="20"/>
          <w:szCs w:val="20"/>
          <w:color w:val="auto"/>
        </w:rPr>
      </w:pPr>
    </w:p>
    <w:p>
      <w:pPr>
        <w:ind w:left="1380" w:hanging="1373"/>
        <w:spacing w:after="0"/>
        <w:tabs>
          <w:tab w:leader="none" w:pos="1380" w:val="left"/>
        </w:tabs>
        <w:numPr>
          <w:ilvl w:val="0"/>
          <w:numId w:val="54"/>
        </w:numPr>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Code of Business Conduct and Ethics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7248525" cy="135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199" w:lineRule="exact"/>
        <w:rPr>
          <w:sz w:val="20"/>
          <w:szCs w:val="20"/>
          <w:color w:val="auto"/>
        </w:rPr>
      </w:pPr>
    </w:p>
    <w:p>
      <w:pPr>
        <w:ind w:left="1380" w:hanging="1373"/>
        <w:spacing w:after="0"/>
        <w:tabs>
          <w:tab w:leader="none" w:pos="1380" w:val="left"/>
        </w:tabs>
        <w:numPr>
          <w:ilvl w:val="0"/>
          <w:numId w:val="55"/>
        </w:numPr>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Subsidiaries of the Registrant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7248525" cy="135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440" w:type="dxa"/>
            <w:vAlign w:val="bottom"/>
            <w:gridSpan w:val="5"/>
            <w:shd w:val="clear" w:color="auto" w:fill="CCEEFF"/>
          </w:tcPr>
          <w:p>
            <w:pPr>
              <w:ind w:left="400"/>
              <w:spacing w:after="0"/>
              <w:rPr>
                <w:rFonts w:ascii="Arial" w:cs="Arial" w:eastAsia="Arial" w:hAnsi="Arial"/>
                <w:sz w:val="18"/>
                <w:szCs w:val="18"/>
                <w:color w:val="0000EE"/>
              </w:rPr>
            </w:pPr>
            <w:hyperlink r:id="rId71">
              <w:r>
                <w:rPr>
                  <w:rFonts w:ascii="Arial" w:cs="Arial" w:eastAsia="Arial" w:hAnsi="Arial"/>
                  <w:sz w:val="18"/>
                  <w:szCs w:val="18"/>
                  <w:color w:val="0000EE"/>
                </w:rPr>
                <w:t>Consent of Eide Bailly LLP (5)</w:t>
              </w:r>
            </w:hyperlink>
          </w:p>
        </w:tc>
      </w:tr>
      <w:tr>
        <w:trPr>
          <w:trHeight w:val="213"/>
        </w:trPr>
        <w:tc>
          <w:tcPr>
            <w:tcW w:w="9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40" w:type="dxa"/>
            <w:vAlign w:val="bottom"/>
            <w:tcBorders>
              <w:top w:val="single" w:sz="8" w:color="0000EE"/>
            </w:tcBorders>
            <w:gridSpan w:val="2"/>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r>
      <w:tr>
        <w:trPr>
          <w:trHeight w:val="193"/>
        </w:trPr>
        <w:tc>
          <w:tcPr>
            <w:tcW w:w="980" w:type="dxa"/>
            <w:vAlign w:val="bottom"/>
            <w:shd w:val="clear" w:color="auto" w:fill="CCEEFF"/>
          </w:tcPr>
          <w:p>
            <w:pPr>
              <w:spacing w:after="0" w:line="173" w:lineRule="exact"/>
              <w:rPr>
                <w:sz w:val="20"/>
                <w:szCs w:val="20"/>
                <w:color w:val="auto"/>
              </w:rPr>
            </w:pPr>
            <w:r>
              <w:rPr>
                <w:rFonts w:ascii="Arial" w:cs="Arial" w:eastAsia="Arial" w:hAnsi="Arial"/>
                <w:sz w:val="18"/>
                <w:szCs w:val="18"/>
                <w:color w:val="auto"/>
              </w:rPr>
              <w:t>23.2</w:t>
            </w:r>
          </w:p>
        </w:tc>
        <w:tc>
          <w:tcPr>
            <w:tcW w:w="10440" w:type="dxa"/>
            <w:vAlign w:val="bottom"/>
            <w:gridSpan w:val="5"/>
            <w:shd w:val="clear" w:color="auto" w:fill="CCEEFF"/>
          </w:tcPr>
          <w:p>
            <w:pPr>
              <w:ind w:left="400"/>
              <w:spacing w:after="0" w:line="173" w:lineRule="exact"/>
              <w:rPr>
                <w:rFonts w:ascii="Arial" w:cs="Arial" w:eastAsia="Arial" w:hAnsi="Arial"/>
                <w:sz w:val="18"/>
                <w:szCs w:val="18"/>
                <w:color w:val="0000EE"/>
              </w:rPr>
            </w:pPr>
            <w:hyperlink r:id="rId72">
              <w:r>
                <w:rPr>
                  <w:rFonts w:ascii="Arial" w:cs="Arial" w:eastAsia="Arial" w:hAnsi="Arial"/>
                  <w:sz w:val="18"/>
                  <w:szCs w:val="18"/>
                  <w:color w:val="0000EE"/>
                </w:rPr>
                <w:t>Consent of Mackey Price &amp; Mecham (5)</w:t>
              </w:r>
            </w:hyperlink>
          </w:p>
        </w:tc>
      </w:tr>
      <w:tr>
        <w:trPr>
          <w:trHeight w:val="213"/>
        </w:trPr>
        <w:tc>
          <w:tcPr>
            <w:tcW w:w="9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40" w:type="dxa"/>
            <w:vAlign w:val="bottom"/>
            <w:tcBorders>
              <w:top w:val="single" w:sz="8" w:color="0000EE"/>
            </w:tcBorders>
            <w:gridSpan w:val="2"/>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7140" w:type="dxa"/>
            <w:vAlign w:val="bottom"/>
            <w:tcBorders>
              <w:top w:val="single" w:sz="8" w:color="CCEEFF"/>
            </w:tcBorders>
          </w:tcPr>
          <w:p>
            <w:pPr>
              <w:spacing w:after="0"/>
              <w:rPr>
                <w:sz w:val="18"/>
                <w:szCs w:val="18"/>
                <w:color w:val="auto"/>
              </w:rPr>
            </w:pPr>
          </w:p>
        </w:tc>
      </w:tr>
      <w:tr>
        <w:trPr>
          <w:trHeight w:val="21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044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Certification pursuant to 18 U.S.C. Section 1350, as enacted by Section 302 of the Sarbanes-Oxley Act of 2002</w:t>
            </w:r>
          </w:p>
        </w:tc>
      </w:tr>
      <w:tr>
        <w:trPr>
          <w:trHeight w:val="213"/>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2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1"/>
              </w:rPr>
              <w:t>Certification pursuant to 18</w:t>
            </w:r>
          </w:p>
        </w:tc>
        <w:tc>
          <w:tcPr>
            <w:tcW w:w="8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U.S.C. Section 1350, as enacted by Section 302 of the Sarbanes-Oxley Act of 2002</w:t>
            </w:r>
          </w:p>
        </w:tc>
      </w:tr>
      <w:tr>
        <w:trPr>
          <w:trHeight w:val="213"/>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32.1</w:t>
            </w:r>
          </w:p>
        </w:tc>
        <w:tc>
          <w:tcPr>
            <w:tcW w:w="2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1"/>
              </w:rPr>
              <w:t>Certification pursuant to 18</w:t>
            </w:r>
          </w:p>
        </w:tc>
        <w:tc>
          <w:tcPr>
            <w:tcW w:w="8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U.S.C. Section 1350, as adopted pursuant to Section 906 of the Sarbanes-Oxley Act of 2002</w:t>
            </w:r>
          </w:p>
        </w:tc>
      </w:tr>
      <w:tr>
        <w:trPr>
          <w:trHeight w:val="213"/>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32.2</w:t>
            </w:r>
          </w:p>
        </w:tc>
        <w:tc>
          <w:tcPr>
            <w:tcW w:w="2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1"/>
              </w:rPr>
              <w:t>Certification pursuant to 18</w:t>
            </w:r>
          </w:p>
        </w:tc>
        <w:tc>
          <w:tcPr>
            <w:tcW w:w="8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U.S.C. Section 1350, as adopted pursuant to Section 906 of the Sarbanes-Oxley Act of 2002</w:t>
            </w:r>
          </w:p>
        </w:tc>
      </w:tr>
      <w:tr>
        <w:trPr>
          <w:trHeight w:val="213"/>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101.xml</w:t>
            </w:r>
          </w:p>
        </w:tc>
        <w:tc>
          <w:tcPr>
            <w:tcW w:w="2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Instance Document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140" w:type="dxa"/>
            <w:vAlign w:val="bottom"/>
            <w:shd w:val="clear" w:color="auto" w:fill="CCEEFF"/>
          </w:tcPr>
          <w:p>
            <w:pPr>
              <w:spacing w:after="0"/>
              <w:rPr>
                <w:sz w:val="18"/>
                <w:szCs w:val="18"/>
                <w:color w:val="auto"/>
              </w:rPr>
            </w:pPr>
          </w:p>
        </w:tc>
      </w:tr>
      <w:tr>
        <w:trPr>
          <w:trHeight w:val="213"/>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101.xsd</w:t>
            </w:r>
          </w:p>
        </w:tc>
        <w:tc>
          <w:tcPr>
            <w:tcW w:w="1044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Taxonomy Extension Schema Document</w:t>
            </w:r>
          </w:p>
        </w:tc>
      </w:tr>
      <w:tr>
        <w:trPr>
          <w:trHeight w:val="213"/>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4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Taxonomy Extension Calculation Linkbase Document</w:t>
            </w:r>
          </w:p>
        </w:tc>
      </w:tr>
      <w:tr>
        <w:trPr>
          <w:trHeight w:val="213"/>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44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Taxonomy Extension Definition Linkbase Document</w:t>
            </w:r>
          </w:p>
        </w:tc>
      </w:tr>
      <w:tr>
        <w:trPr>
          <w:trHeight w:val="213"/>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4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Taxonomy Extension Label Linkbase Document</w:t>
            </w:r>
          </w:p>
        </w:tc>
      </w:tr>
      <w:tr>
        <w:trPr>
          <w:trHeight w:val="213"/>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7140" w:type="dxa"/>
            <w:vAlign w:val="bottom"/>
          </w:tcPr>
          <w:p>
            <w:pPr>
              <w:spacing w:after="0"/>
              <w:rPr>
                <w:sz w:val="18"/>
                <w:szCs w:val="18"/>
                <w:color w:val="auto"/>
              </w:rPr>
            </w:pPr>
          </w:p>
        </w:tc>
      </w:tr>
      <w:tr>
        <w:trPr>
          <w:trHeight w:val="213"/>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440" w:type="dxa"/>
            <w:vAlign w:val="bottom"/>
            <w:gridSpan w:val="5"/>
            <w:shd w:val="clear" w:color="auto" w:fill="CCEEFF"/>
          </w:tcPr>
          <w:p>
            <w:pPr>
              <w:ind w:left="400"/>
              <w:spacing w:after="0"/>
              <w:rPr>
                <w:sz w:val="20"/>
                <w:szCs w:val="20"/>
                <w:color w:val="auto"/>
              </w:rPr>
            </w:pPr>
            <w:r>
              <w:rPr>
                <w:rFonts w:ascii="Arial" w:cs="Arial" w:eastAsia="Arial" w:hAnsi="Arial"/>
                <w:sz w:val="18"/>
                <w:szCs w:val="18"/>
                <w:color w:val="auto"/>
              </w:rPr>
              <w:t>Taxonomy Extension Presentation Linkbase Document</w:t>
            </w:r>
          </w:p>
        </w:tc>
      </w:tr>
      <w:tr>
        <w:trPr>
          <w:trHeight w:val="575"/>
        </w:trPr>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60" w:type="dxa"/>
            <w:vAlign w:val="bottom"/>
            <w:gridSpan w:val="3"/>
          </w:tcPr>
          <w:p>
            <w:pPr>
              <w:jc w:val="right"/>
              <w:ind w:right="5640"/>
              <w:spacing w:after="0"/>
              <w:rPr>
                <w:sz w:val="20"/>
                <w:szCs w:val="20"/>
                <w:color w:val="auto"/>
              </w:rPr>
            </w:pPr>
            <w:r>
              <w:rPr>
                <w:rFonts w:ascii="Arial" w:cs="Arial" w:eastAsia="Arial" w:hAnsi="Arial"/>
                <w:sz w:val="14"/>
                <w:szCs w:val="14"/>
                <w:color w:val="auto"/>
              </w:rPr>
              <w:t>57</w:t>
            </w:r>
          </w:p>
        </w:tc>
      </w:tr>
      <w:tr>
        <w:trPr>
          <w:trHeight w:val="45"/>
        </w:trPr>
        <w:tc>
          <w:tcPr>
            <w:tcW w:w="9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31" w:right="239" w:bottom="1440" w:gutter="0" w:footer="0" w:header="0"/>
        </w:sectPr>
      </w:pPr>
    </w:p>
    <w:bookmarkStart w:id="62" w:name="page63"/>
    <w:bookmarkEnd w:id="62"/>
    <w:p>
      <w:pPr>
        <w:spacing w:after="0"/>
        <w:rPr>
          <w:sz w:val="20"/>
          <w:szCs w:val="20"/>
          <w:color w:val="auto"/>
        </w:rPr>
      </w:pPr>
      <w:r>
        <w:rPr>
          <w:rFonts w:ascii="Arial" w:cs="Arial" w:eastAsia="Arial" w:hAnsi="Arial"/>
          <w:sz w:val="21"/>
          <w:szCs w:val="2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248525" cy="135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 w:lineRule="exact"/>
        <w:rPr>
          <w:sz w:val="20"/>
          <w:szCs w:val="20"/>
          <w:color w:val="auto"/>
        </w:rPr>
      </w:pPr>
    </w:p>
    <w:p>
      <w:pPr>
        <w:ind w:left="1380" w:hanging="1373"/>
        <w:spacing w:after="0" w:line="207" w:lineRule="exact"/>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as filed on June 29, 1987</w:t>
      </w:r>
    </w:p>
    <w:p>
      <w:pPr>
        <w:spacing w:after="0" w:line="3" w:lineRule="exact"/>
        <w:rPr>
          <w:rFonts w:ascii="Arial" w:cs="Arial" w:eastAsia="Arial" w:hAnsi="Arial"/>
          <w:sz w:val="18"/>
          <w:szCs w:val="18"/>
          <w:color w:val="auto"/>
        </w:rPr>
      </w:pPr>
    </w:p>
    <w:p>
      <w:pPr>
        <w:ind w:left="1380" w:hanging="1373"/>
        <w:spacing w:after="0" w:line="247" w:lineRule="auto"/>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from Schedule 14A Definitive Proxy Statement, as filed on June 2, 2014, related to Company’s Annual Meeting of Stockholders</w:t>
      </w:r>
    </w:p>
    <w:p>
      <w:pPr>
        <w:ind w:left="1380" w:hanging="1373"/>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2015</w:t>
      </w:r>
    </w:p>
    <w:p>
      <w:pPr>
        <w:spacing w:after="0" w:line="6" w:lineRule="exact"/>
        <w:rPr>
          <w:rFonts w:ascii="Arial" w:cs="Arial" w:eastAsia="Arial" w:hAnsi="Arial"/>
          <w:sz w:val="18"/>
          <w:szCs w:val="18"/>
          <w:color w:val="auto"/>
        </w:rPr>
      </w:pPr>
    </w:p>
    <w:p>
      <w:pPr>
        <w:ind w:left="1380" w:hanging="1373"/>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15, 2016</w:t>
      </w:r>
    </w:p>
    <w:p>
      <w:pPr>
        <w:spacing w:after="0" w:line="6" w:lineRule="exact"/>
        <w:rPr>
          <w:rFonts w:ascii="Arial" w:cs="Arial" w:eastAsia="Arial" w:hAnsi="Arial"/>
          <w:sz w:val="18"/>
          <w:szCs w:val="18"/>
          <w:color w:val="auto"/>
        </w:rPr>
      </w:pPr>
    </w:p>
    <w:p>
      <w:pPr>
        <w:ind w:left="1380" w:hanging="1373"/>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S-8, as filed on September 7, 2016</w:t>
      </w:r>
    </w:p>
    <w:p>
      <w:pPr>
        <w:spacing w:after="0" w:line="6" w:lineRule="exact"/>
        <w:rPr>
          <w:rFonts w:ascii="Arial" w:cs="Arial" w:eastAsia="Arial" w:hAnsi="Arial"/>
          <w:sz w:val="18"/>
          <w:szCs w:val="18"/>
          <w:color w:val="auto"/>
        </w:rPr>
      </w:pPr>
    </w:p>
    <w:p>
      <w:pPr>
        <w:ind w:left="1380" w:hanging="1373"/>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from Report on Form 10-K, as filed on March 31, 2017</w:t>
      </w:r>
    </w:p>
    <w:p>
      <w:pPr>
        <w:spacing w:after="0" w:line="6" w:lineRule="exact"/>
        <w:rPr>
          <w:rFonts w:ascii="Arial" w:cs="Arial" w:eastAsia="Arial" w:hAnsi="Arial"/>
          <w:sz w:val="18"/>
          <w:szCs w:val="18"/>
          <w:color w:val="auto"/>
        </w:rPr>
      </w:pPr>
    </w:p>
    <w:p>
      <w:pPr>
        <w:ind w:left="1380" w:hanging="1373"/>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June 6, 2018</w:t>
      </w:r>
    </w:p>
    <w:p>
      <w:pPr>
        <w:spacing w:after="0" w:line="6" w:lineRule="exact"/>
        <w:rPr>
          <w:rFonts w:ascii="Arial" w:cs="Arial" w:eastAsia="Arial" w:hAnsi="Arial"/>
          <w:sz w:val="18"/>
          <w:szCs w:val="18"/>
          <w:color w:val="auto"/>
        </w:rPr>
      </w:pPr>
    </w:p>
    <w:p>
      <w:pPr>
        <w:ind w:left="1380" w:hanging="1373"/>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2018</w:t>
      </w:r>
    </w:p>
    <w:p>
      <w:pPr>
        <w:spacing w:after="0" w:line="6" w:lineRule="exact"/>
        <w:rPr>
          <w:rFonts w:ascii="Arial" w:cs="Arial" w:eastAsia="Arial" w:hAnsi="Arial"/>
          <w:sz w:val="18"/>
          <w:szCs w:val="18"/>
          <w:color w:val="auto"/>
        </w:rPr>
      </w:pPr>
    </w:p>
    <w:p>
      <w:pPr>
        <w:ind w:left="1380" w:hanging="1373"/>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February 28, 2019</w:t>
      </w:r>
    </w:p>
    <w:p>
      <w:pPr>
        <w:spacing w:after="0" w:line="6" w:lineRule="exact"/>
        <w:rPr>
          <w:rFonts w:ascii="Arial" w:cs="Arial" w:eastAsia="Arial" w:hAnsi="Arial"/>
          <w:sz w:val="18"/>
          <w:szCs w:val="18"/>
          <w:color w:val="auto"/>
        </w:rPr>
      </w:pPr>
    </w:p>
    <w:p>
      <w:pPr>
        <w:ind w:left="1380" w:hanging="1373"/>
        <w:spacing w:after="0"/>
        <w:tabs>
          <w:tab w:leader="none" w:pos="1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May 15,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-1076960</wp:posOffset>
            </wp:positionV>
            <wp:extent cx="7248525" cy="135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-806450</wp:posOffset>
            </wp:positionV>
            <wp:extent cx="7248525" cy="135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-535940</wp:posOffset>
            </wp:positionV>
            <wp:extent cx="7248525" cy="135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-265430</wp:posOffset>
            </wp:positionV>
            <wp:extent cx="7248525" cy="135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2485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1"/>
          <w:szCs w:val="21"/>
          <w:b w:val="1"/>
          <w:bCs w:val="1"/>
          <w:color w:val="auto"/>
        </w:rPr>
        <w:t>SIGNATURES</w:t>
      </w:r>
    </w:p>
    <w:p>
      <w:pPr>
        <w:spacing w:after="0" w:line="285" w:lineRule="exact"/>
        <w:rPr>
          <w:sz w:val="20"/>
          <w:szCs w:val="20"/>
          <w:color w:val="auto"/>
        </w:rPr>
      </w:pPr>
    </w:p>
    <w:p>
      <w:pPr>
        <w:spacing w:after="0" w:line="29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380" w:type="dxa"/>
            <w:vAlign w:val="bottom"/>
            <w:gridSpan w:val="4"/>
          </w:tcPr>
          <w:p>
            <w:pPr>
              <w:jc w:val="center"/>
              <w:ind w:right="4040"/>
              <w:spacing w:after="0"/>
              <w:rPr>
                <w:sz w:val="20"/>
                <w:szCs w:val="20"/>
                <w:color w:val="auto"/>
              </w:rPr>
            </w:pPr>
            <w:r>
              <w:rPr>
                <w:rFonts w:ascii="Arial" w:cs="Arial" w:eastAsia="Arial" w:hAnsi="Arial"/>
                <w:sz w:val="21"/>
                <w:szCs w:val="21"/>
                <w:b w:val="1"/>
                <w:bCs w:val="1"/>
                <w:i w:val="1"/>
                <w:iCs w:val="1"/>
                <w:color w:val="auto"/>
                <w:w w:val="98"/>
              </w:rPr>
              <w:t>REGISTRANT</w:t>
            </w:r>
          </w:p>
        </w:tc>
      </w:tr>
      <w:tr>
        <w:trPr>
          <w:trHeight w:val="482"/>
        </w:trPr>
        <w:tc>
          <w:tcPr>
            <w:tcW w:w="3060" w:type="dxa"/>
            <w:vAlign w:val="bottom"/>
          </w:tcPr>
          <w:p>
            <w:pPr>
              <w:spacing w:after="0"/>
              <w:rPr>
                <w:sz w:val="24"/>
                <w:szCs w:val="24"/>
                <w:color w:val="auto"/>
              </w:rPr>
            </w:pPr>
          </w:p>
        </w:tc>
        <w:tc>
          <w:tcPr>
            <w:tcW w:w="8360" w:type="dxa"/>
            <w:vAlign w:val="bottom"/>
            <w:gridSpan w:val="6"/>
          </w:tcPr>
          <w:p>
            <w:pPr>
              <w:jc w:val="center"/>
              <w:ind w:right="3040"/>
              <w:spacing w:after="0"/>
              <w:rPr>
                <w:sz w:val="20"/>
                <w:szCs w:val="20"/>
                <w:color w:val="auto"/>
              </w:rPr>
            </w:pPr>
            <w:r>
              <w:rPr>
                <w:rFonts w:ascii="Arial" w:cs="Arial" w:eastAsia="Arial" w:hAnsi="Arial"/>
                <w:sz w:val="21"/>
                <w:szCs w:val="21"/>
                <w:color w:val="auto"/>
                <w:w w:val="99"/>
              </w:rPr>
              <w:t>SECURITY NATIONAL FINANCIAL CORPORATION</w:t>
            </w:r>
          </w:p>
        </w:tc>
      </w:tr>
      <w:tr>
        <w:trPr>
          <w:trHeight w:val="297"/>
        </w:trPr>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gridSpan w:val="2"/>
          </w:tcPr>
          <w:p>
            <w:pPr>
              <w:jc w:val="center"/>
              <w:ind w:right="1980"/>
              <w:spacing w:after="0"/>
              <w:rPr>
                <w:sz w:val="20"/>
                <w:szCs w:val="20"/>
                <w:color w:val="auto"/>
              </w:rPr>
            </w:pPr>
            <w:r>
              <w:rPr>
                <w:rFonts w:ascii="Arial" w:cs="Arial" w:eastAsia="Arial" w:hAnsi="Arial"/>
                <w:sz w:val="21"/>
                <w:szCs w:val="21"/>
                <w:color w:val="auto"/>
                <w:w w:val="91"/>
              </w:rPr>
              <w:t>Registrant</w:t>
            </w:r>
          </w:p>
        </w:tc>
        <w:tc>
          <w:tcPr>
            <w:tcW w:w="3240" w:type="dxa"/>
            <w:vAlign w:val="bottom"/>
          </w:tcPr>
          <w:p>
            <w:pPr>
              <w:spacing w:after="0"/>
              <w:rPr>
                <w:sz w:val="24"/>
                <w:szCs w:val="24"/>
                <w:color w:val="auto"/>
              </w:rPr>
            </w:pPr>
          </w:p>
        </w:tc>
      </w:tr>
      <w:tr>
        <w:trPr>
          <w:trHeight w:val="709"/>
        </w:trPr>
        <w:tc>
          <w:tcPr>
            <w:tcW w:w="3060" w:type="dxa"/>
            <w:vAlign w:val="bottom"/>
          </w:tcPr>
          <w:p>
            <w:pPr>
              <w:ind w:left="1180"/>
              <w:spacing w:after="0"/>
              <w:rPr>
                <w:sz w:val="20"/>
                <w:szCs w:val="20"/>
                <w:color w:val="auto"/>
              </w:rPr>
            </w:pPr>
            <w:r>
              <w:rPr>
                <w:rFonts w:ascii="Arial" w:cs="Arial" w:eastAsia="Arial" w:hAnsi="Arial"/>
                <w:sz w:val="18"/>
                <w:szCs w:val="18"/>
                <w:color w:val="auto"/>
                <w:w w:val="98"/>
              </w:rPr>
              <w:t>Dated: August 14, 2019</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/s/ Scott M. Quist</w:t>
            </w:r>
          </w:p>
        </w:tc>
        <w:tc>
          <w:tcPr>
            <w:tcW w:w="6120" w:type="dxa"/>
            <w:vAlign w:val="bottom"/>
            <w:gridSpan w:val="2"/>
          </w:tcPr>
          <w:p>
            <w:pPr>
              <w:spacing w:after="0"/>
              <w:rPr>
                <w:sz w:val="24"/>
                <w:szCs w:val="24"/>
                <w:color w:val="auto"/>
              </w:rPr>
            </w:pPr>
          </w:p>
        </w:tc>
      </w:tr>
      <w:tr>
        <w:trPr>
          <w:trHeight w:val="221"/>
        </w:trPr>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Scott M. Quist</w:t>
            </w:r>
          </w:p>
        </w:tc>
      </w:tr>
      <w:tr>
        <w:trPr>
          <w:trHeight w:val="213"/>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24"/>
        </w:trPr>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(Principal Executive Officer)</w:t>
            </w:r>
          </w:p>
        </w:tc>
      </w:tr>
      <w:tr>
        <w:trPr>
          <w:trHeight w:val="654"/>
        </w:trPr>
        <w:tc>
          <w:tcPr>
            <w:tcW w:w="3060" w:type="dxa"/>
            <w:vAlign w:val="bottom"/>
          </w:tcPr>
          <w:p>
            <w:pPr>
              <w:ind w:left="1180"/>
              <w:spacing w:after="0"/>
              <w:rPr>
                <w:sz w:val="20"/>
                <w:szCs w:val="20"/>
                <w:color w:val="auto"/>
              </w:rPr>
            </w:pPr>
            <w:r>
              <w:rPr>
                <w:rFonts w:ascii="Arial" w:cs="Arial" w:eastAsia="Arial" w:hAnsi="Arial"/>
                <w:sz w:val="18"/>
                <w:szCs w:val="18"/>
                <w:color w:val="auto"/>
                <w:w w:val="98"/>
              </w:rPr>
              <w:t>Dated: August 14, 2019</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Garrett S. Sill</w:t>
            </w:r>
          </w:p>
        </w:tc>
        <w:tc>
          <w:tcPr>
            <w:tcW w:w="6180" w:type="dxa"/>
            <w:vAlign w:val="bottom"/>
            <w:gridSpan w:val="3"/>
          </w:tcPr>
          <w:p>
            <w:pPr>
              <w:spacing w:after="0"/>
              <w:rPr>
                <w:sz w:val="24"/>
                <w:szCs w:val="24"/>
                <w:color w:val="auto"/>
              </w:rPr>
            </w:pPr>
          </w:p>
        </w:tc>
      </w:tr>
      <w:tr>
        <w:trPr>
          <w:trHeight w:val="221"/>
        </w:trPr>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Garrett S. Sill</w:t>
            </w:r>
          </w:p>
        </w:tc>
      </w:tr>
      <w:tr>
        <w:trPr>
          <w:trHeight w:val="213"/>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Chief Financial Officer and Treasurer</w:t>
            </w:r>
          </w:p>
        </w:tc>
      </w:tr>
      <w:tr>
        <w:trPr>
          <w:trHeight w:val="224"/>
        </w:trPr>
        <w:tc>
          <w:tcPr>
            <w:tcW w:w="3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380" w:type="dxa"/>
            <w:vAlign w:val="bottom"/>
            <w:gridSpan w:val="4"/>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709"/>
        </w:trPr>
        <w:tc>
          <w:tcPr>
            <w:tcW w:w="3060" w:type="dxa"/>
            <w:vAlign w:val="bottom"/>
          </w:tcPr>
          <w:p>
            <w:pPr>
              <w:spacing w:after="0"/>
              <w:rPr>
                <w:sz w:val="24"/>
                <w:szCs w:val="24"/>
                <w:color w:val="auto"/>
              </w:rPr>
            </w:pPr>
          </w:p>
        </w:tc>
        <w:tc>
          <w:tcPr>
            <w:tcW w:w="5120" w:type="dxa"/>
            <w:vAlign w:val="bottom"/>
            <w:gridSpan w:val="5"/>
          </w:tcPr>
          <w:p>
            <w:pPr>
              <w:jc w:val="center"/>
              <w:ind w:left="91"/>
              <w:spacing w:after="0"/>
              <w:rPr>
                <w:sz w:val="20"/>
                <w:szCs w:val="20"/>
                <w:color w:val="auto"/>
              </w:rPr>
            </w:pPr>
            <w:r>
              <w:rPr>
                <w:rFonts w:ascii="Arial" w:cs="Arial" w:eastAsia="Arial" w:hAnsi="Arial"/>
                <w:sz w:val="14"/>
                <w:szCs w:val="14"/>
                <w:color w:val="auto"/>
                <w:w w:val="89"/>
              </w:rPr>
              <w:t>59</w:t>
            </w:r>
          </w:p>
        </w:tc>
        <w:tc>
          <w:tcPr>
            <w:tcW w:w="3240" w:type="dxa"/>
            <w:vAlign w:val="bottom"/>
          </w:tcPr>
          <w:p>
            <w:pPr>
              <w:spacing w:after="0"/>
              <w:rPr>
                <w:sz w:val="24"/>
                <w:szCs w:val="24"/>
                <w:color w:val="auto"/>
              </w:rPr>
            </w:pPr>
          </w:p>
        </w:tc>
      </w:tr>
      <w:tr>
        <w:trPr>
          <w:trHeight w:val="111"/>
        </w:trPr>
        <w:tc>
          <w:tcPr>
            <w:tcW w:w="30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2" w:right="239" w:bottom="1440" w:gutter="0" w:footer="0" w:header="0"/>
        </w:sectPr>
      </w:pPr>
    </w:p>
    <w:bookmarkStart w:id="64" w:name="page65"/>
    <w:bookmarkEnd w:id="64"/>
    <w:p>
      <w:pPr>
        <w:ind w:left="10060"/>
        <w:spacing w:after="0"/>
        <w:rPr>
          <w:sz w:val="20"/>
          <w:szCs w:val="20"/>
          <w:color w:val="auto"/>
        </w:rPr>
      </w:pPr>
      <w:r>
        <w:rPr>
          <w:rFonts w:ascii="Arial" w:cs="Arial" w:eastAsia="Arial" w:hAnsi="Arial"/>
          <w:sz w:val="21"/>
          <w:szCs w:val="21"/>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7240270" cy="33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240270"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210820</wp:posOffset>
            </wp:positionV>
            <wp:extent cx="72402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240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OF CHIEF EXECUTIVE OFFICER,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REQUIRED BY SECTION 302 OF THE SARBANES-OXLEY ACT OF 2002</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I, Scott M. Quist, certify that:</w:t>
      </w:r>
    </w:p>
    <w:p>
      <w:pPr>
        <w:spacing w:after="0" w:line="291" w:lineRule="exact"/>
        <w:rPr>
          <w:sz w:val="20"/>
          <w:szCs w:val="20"/>
          <w:color w:val="auto"/>
        </w:rPr>
      </w:pPr>
    </w:p>
    <w:p>
      <w:pPr>
        <w:ind w:left="220" w:hanging="213"/>
        <w:spacing w:after="0"/>
        <w:tabs>
          <w:tab w:leader="none" w:pos="220" w:val="left"/>
        </w:tabs>
        <w:numPr>
          <w:ilvl w:val="0"/>
          <w:numId w:val="57"/>
        </w:numPr>
        <w:rPr>
          <w:rFonts w:ascii="Arial" w:cs="Arial" w:eastAsia="Arial" w:hAnsi="Arial"/>
          <w:sz w:val="21"/>
          <w:szCs w:val="21"/>
          <w:color w:val="auto"/>
        </w:rPr>
      </w:pPr>
      <w:r>
        <w:rPr>
          <w:rFonts w:ascii="Arial" w:cs="Arial" w:eastAsia="Arial" w:hAnsi="Arial"/>
          <w:sz w:val="21"/>
          <w:szCs w:val="21"/>
          <w:color w:val="auto"/>
        </w:rPr>
        <w:t>I have reviewed this report on Form 10-Q of Security National Financial Corporation;</w:t>
      </w:r>
    </w:p>
    <w:p>
      <w:pPr>
        <w:spacing w:after="0" w:line="291" w:lineRule="exact"/>
        <w:rPr>
          <w:rFonts w:ascii="Arial" w:cs="Arial" w:eastAsia="Arial" w:hAnsi="Arial"/>
          <w:sz w:val="21"/>
          <w:szCs w:val="21"/>
          <w:color w:val="auto"/>
        </w:rPr>
      </w:pPr>
    </w:p>
    <w:p>
      <w:pPr>
        <w:jc w:val="both"/>
        <w:ind w:firstLine="7"/>
        <w:spacing w:after="0" w:line="279" w:lineRule="auto"/>
        <w:tabs>
          <w:tab w:leader="none" w:pos="245" w:val="left"/>
        </w:tabs>
        <w:numPr>
          <w:ilvl w:val="0"/>
          <w:numId w:val="57"/>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3" w:lineRule="exact"/>
        <w:rPr>
          <w:rFonts w:ascii="Arial" w:cs="Arial" w:eastAsia="Arial" w:hAnsi="Arial"/>
          <w:sz w:val="21"/>
          <w:szCs w:val="21"/>
          <w:color w:val="auto"/>
        </w:rPr>
      </w:pPr>
    </w:p>
    <w:p>
      <w:pPr>
        <w:jc w:val="both"/>
        <w:ind w:firstLine="7"/>
        <w:spacing w:after="0" w:line="279" w:lineRule="auto"/>
        <w:tabs>
          <w:tab w:leader="none" w:pos="243" w:val="left"/>
        </w:tabs>
        <w:numPr>
          <w:ilvl w:val="0"/>
          <w:numId w:val="57"/>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3" w:lineRule="exact"/>
        <w:rPr>
          <w:rFonts w:ascii="Arial" w:cs="Arial" w:eastAsia="Arial" w:hAnsi="Arial"/>
          <w:sz w:val="21"/>
          <w:szCs w:val="21"/>
          <w:color w:val="auto"/>
        </w:rPr>
      </w:pPr>
    </w:p>
    <w:p>
      <w:pPr>
        <w:jc w:val="both"/>
        <w:ind w:firstLine="7"/>
        <w:spacing w:after="0" w:line="279" w:lineRule="auto"/>
        <w:tabs>
          <w:tab w:leader="none" w:pos="214"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Arial" w:cs="Arial" w:eastAsia="Arial" w:hAnsi="Arial"/>
          <w:sz w:val="21"/>
          <w:szCs w:val="21"/>
          <w:color w:val="auto"/>
        </w:rPr>
      </w:pPr>
    </w:p>
    <w:p>
      <w:pPr>
        <w:jc w:val="both"/>
        <w:ind w:firstLine="433"/>
        <w:spacing w:after="0" w:line="321" w:lineRule="auto"/>
        <w:tabs>
          <w:tab w:leader="none" w:pos="1115" w:val="left"/>
        </w:tabs>
        <w:numPr>
          <w:ilvl w:val="2"/>
          <w:numId w:val="57"/>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8" w:lineRule="exact"/>
        <w:rPr>
          <w:rFonts w:ascii="Arial" w:cs="Arial" w:eastAsia="Arial" w:hAnsi="Arial"/>
          <w:sz w:val="19"/>
          <w:szCs w:val="19"/>
          <w:color w:val="auto"/>
        </w:rPr>
      </w:pPr>
    </w:p>
    <w:p>
      <w:pPr>
        <w:jc w:val="both"/>
        <w:ind w:firstLine="433"/>
        <w:spacing w:after="0" w:line="279" w:lineRule="auto"/>
        <w:tabs>
          <w:tab w:leader="none" w:pos="1128" w:val="left"/>
        </w:tabs>
        <w:numPr>
          <w:ilvl w:val="2"/>
          <w:numId w:val="57"/>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21"/>
          <w:szCs w:val="21"/>
          <w:color w:val="auto"/>
        </w:rPr>
      </w:pPr>
    </w:p>
    <w:p>
      <w:pPr>
        <w:jc w:val="both"/>
        <w:ind w:firstLine="433"/>
        <w:spacing w:after="0" w:line="279" w:lineRule="auto"/>
        <w:tabs>
          <w:tab w:leader="none" w:pos="1115" w:val="left"/>
        </w:tabs>
        <w:numPr>
          <w:ilvl w:val="2"/>
          <w:numId w:val="57"/>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3" w:lineRule="exact"/>
        <w:rPr>
          <w:rFonts w:ascii="Arial" w:cs="Arial" w:eastAsia="Arial" w:hAnsi="Arial"/>
          <w:sz w:val="21"/>
          <w:szCs w:val="21"/>
          <w:color w:val="auto"/>
        </w:rPr>
      </w:pPr>
    </w:p>
    <w:p>
      <w:pPr>
        <w:jc w:val="both"/>
        <w:ind w:firstLine="433"/>
        <w:spacing w:after="0" w:line="299" w:lineRule="auto"/>
        <w:tabs>
          <w:tab w:leader="none" w:pos="1128" w:val="left"/>
        </w:tabs>
        <w:numPr>
          <w:ilvl w:val="2"/>
          <w:numId w:val="5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20"/>
          <w:szCs w:val="20"/>
          <w:color w:val="auto"/>
        </w:rPr>
      </w:pPr>
    </w:p>
    <w:p>
      <w:pPr>
        <w:jc w:val="both"/>
        <w:ind w:firstLine="7"/>
        <w:spacing w:after="0" w:line="279" w:lineRule="auto"/>
        <w:tabs>
          <w:tab w:leader="none" w:pos="248"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3" w:lineRule="exact"/>
        <w:rPr>
          <w:rFonts w:ascii="Arial" w:cs="Arial" w:eastAsia="Arial" w:hAnsi="Arial"/>
          <w:sz w:val="21"/>
          <w:szCs w:val="21"/>
          <w:color w:val="auto"/>
        </w:rPr>
      </w:pPr>
    </w:p>
    <w:p>
      <w:pPr>
        <w:jc w:val="both"/>
        <w:ind w:firstLine="406"/>
        <w:spacing w:after="0" w:line="279" w:lineRule="auto"/>
        <w:tabs>
          <w:tab w:leader="none" w:pos="1115" w:val="left"/>
        </w:tabs>
        <w:numPr>
          <w:ilvl w:val="1"/>
          <w:numId w:val="57"/>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21"/>
          <w:szCs w:val="21"/>
          <w:color w:val="auto"/>
        </w:rPr>
      </w:pPr>
    </w:p>
    <w:p>
      <w:pPr>
        <w:ind w:firstLine="406"/>
        <w:spacing w:after="0" w:line="294" w:lineRule="auto"/>
        <w:tabs>
          <w:tab w:leader="none" w:pos="1198" w:val="left"/>
        </w:tabs>
        <w:numPr>
          <w:ilvl w:val="1"/>
          <w:numId w:val="57"/>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ind w:left="1180"/>
              <w:spacing w:after="0"/>
              <w:rPr>
                <w:sz w:val="20"/>
                <w:szCs w:val="20"/>
                <w:color w:val="auto"/>
              </w:rPr>
            </w:pPr>
            <w:r>
              <w:rPr>
                <w:rFonts w:ascii="Arial" w:cs="Arial" w:eastAsia="Arial" w:hAnsi="Arial"/>
                <w:sz w:val="18"/>
                <w:szCs w:val="18"/>
                <w:color w:val="auto"/>
              </w:rPr>
              <w:t>Dated: August 14, 2019</w:t>
            </w: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Scott M. Quist</w:t>
            </w:r>
          </w:p>
        </w:tc>
        <w:tc>
          <w:tcPr>
            <w:tcW w:w="6120" w:type="dxa"/>
            <w:vAlign w:val="bottom"/>
          </w:tcPr>
          <w:p>
            <w:pPr>
              <w:spacing w:after="0"/>
              <w:rPr>
                <w:sz w:val="18"/>
                <w:szCs w:val="18"/>
                <w:color w:val="auto"/>
              </w:rPr>
            </w:pPr>
          </w:p>
        </w:tc>
      </w:tr>
      <w:tr>
        <w:trPr>
          <w:trHeight w:val="221"/>
        </w:trPr>
        <w:tc>
          <w:tcPr>
            <w:tcW w:w="404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Scott M. Quist</w:t>
            </w:r>
          </w:p>
        </w:tc>
      </w:tr>
      <w:tr>
        <w:trPr>
          <w:trHeight w:val="213"/>
        </w:trPr>
        <w:tc>
          <w:tcPr>
            <w:tcW w:w="404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24"/>
        </w:trPr>
        <w:tc>
          <w:tcPr>
            <w:tcW w:w="404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594"/>
        </w:trPr>
        <w:tc>
          <w:tcPr>
            <w:tcW w:w="4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21"/>
          <w:szCs w:val="21"/>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7248525" cy="33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248525"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210820</wp:posOffset>
            </wp:positionV>
            <wp:extent cx="7248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OF CHIEF FINANCIAL OFFICER,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REQUIRED BY SECTION 302 OF THE SARBANES-OXLEY ACT OF 2002</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I, Garrett S. Sill, certify that:</w:t>
      </w:r>
    </w:p>
    <w:p>
      <w:pPr>
        <w:spacing w:after="0" w:line="291" w:lineRule="exact"/>
        <w:rPr>
          <w:sz w:val="20"/>
          <w:szCs w:val="20"/>
          <w:color w:val="auto"/>
        </w:rPr>
      </w:pPr>
    </w:p>
    <w:p>
      <w:pPr>
        <w:ind w:left="220" w:hanging="213"/>
        <w:spacing w:after="0"/>
        <w:tabs>
          <w:tab w:leader="none" w:pos="220" w:val="left"/>
        </w:tabs>
        <w:numPr>
          <w:ilvl w:val="0"/>
          <w:numId w:val="58"/>
        </w:numPr>
        <w:rPr>
          <w:rFonts w:ascii="Arial" w:cs="Arial" w:eastAsia="Arial" w:hAnsi="Arial"/>
          <w:sz w:val="21"/>
          <w:szCs w:val="21"/>
          <w:color w:val="auto"/>
        </w:rPr>
      </w:pPr>
      <w:r>
        <w:rPr>
          <w:rFonts w:ascii="Arial" w:cs="Arial" w:eastAsia="Arial" w:hAnsi="Arial"/>
          <w:sz w:val="21"/>
          <w:szCs w:val="21"/>
          <w:color w:val="auto"/>
        </w:rPr>
        <w:t>I have reviewed this report on Form 10-Q of Security National Financial Corporation;</w:t>
      </w:r>
    </w:p>
    <w:p>
      <w:pPr>
        <w:spacing w:after="0" w:line="291" w:lineRule="exact"/>
        <w:rPr>
          <w:rFonts w:ascii="Arial" w:cs="Arial" w:eastAsia="Arial" w:hAnsi="Arial"/>
          <w:sz w:val="21"/>
          <w:szCs w:val="21"/>
          <w:color w:val="auto"/>
        </w:rPr>
      </w:pPr>
    </w:p>
    <w:p>
      <w:pPr>
        <w:jc w:val="both"/>
        <w:ind w:firstLine="7"/>
        <w:spacing w:after="0" w:line="279" w:lineRule="auto"/>
        <w:tabs>
          <w:tab w:leader="none" w:pos="245" w:val="left"/>
        </w:tabs>
        <w:numPr>
          <w:ilvl w:val="0"/>
          <w:numId w:val="58"/>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3" w:lineRule="exact"/>
        <w:rPr>
          <w:rFonts w:ascii="Arial" w:cs="Arial" w:eastAsia="Arial" w:hAnsi="Arial"/>
          <w:sz w:val="21"/>
          <w:szCs w:val="21"/>
          <w:color w:val="auto"/>
        </w:rPr>
      </w:pPr>
    </w:p>
    <w:p>
      <w:pPr>
        <w:jc w:val="both"/>
        <w:ind w:firstLine="7"/>
        <w:spacing w:after="0" w:line="279" w:lineRule="auto"/>
        <w:tabs>
          <w:tab w:leader="none" w:pos="243" w:val="left"/>
        </w:tabs>
        <w:numPr>
          <w:ilvl w:val="0"/>
          <w:numId w:val="58"/>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3" w:lineRule="exact"/>
        <w:rPr>
          <w:rFonts w:ascii="Arial" w:cs="Arial" w:eastAsia="Arial" w:hAnsi="Arial"/>
          <w:sz w:val="21"/>
          <w:szCs w:val="21"/>
          <w:color w:val="auto"/>
        </w:rPr>
      </w:pPr>
    </w:p>
    <w:p>
      <w:pPr>
        <w:jc w:val="both"/>
        <w:ind w:firstLine="7"/>
        <w:spacing w:after="0" w:line="279" w:lineRule="auto"/>
        <w:tabs>
          <w:tab w:leader="none" w:pos="214"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Arial" w:cs="Arial" w:eastAsia="Arial" w:hAnsi="Arial"/>
          <w:sz w:val="21"/>
          <w:szCs w:val="21"/>
          <w:color w:val="auto"/>
        </w:rPr>
      </w:pPr>
    </w:p>
    <w:p>
      <w:pPr>
        <w:jc w:val="both"/>
        <w:ind w:firstLine="433"/>
        <w:spacing w:after="0" w:line="321" w:lineRule="auto"/>
        <w:tabs>
          <w:tab w:leader="none" w:pos="1115" w:val="left"/>
        </w:tabs>
        <w:numPr>
          <w:ilvl w:val="2"/>
          <w:numId w:val="58"/>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88" w:lineRule="exact"/>
        <w:rPr>
          <w:rFonts w:ascii="Arial" w:cs="Arial" w:eastAsia="Arial" w:hAnsi="Arial"/>
          <w:sz w:val="19"/>
          <w:szCs w:val="19"/>
          <w:color w:val="auto"/>
        </w:rPr>
      </w:pPr>
    </w:p>
    <w:p>
      <w:pPr>
        <w:jc w:val="both"/>
        <w:ind w:firstLine="433"/>
        <w:spacing w:after="0" w:line="279" w:lineRule="auto"/>
        <w:tabs>
          <w:tab w:leader="none" w:pos="1128" w:val="left"/>
        </w:tabs>
        <w:numPr>
          <w:ilvl w:val="2"/>
          <w:numId w:val="58"/>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21"/>
          <w:szCs w:val="21"/>
          <w:color w:val="auto"/>
        </w:rPr>
      </w:pPr>
    </w:p>
    <w:p>
      <w:pPr>
        <w:jc w:val="both"/>
        <w:ind w:firstLine="433"/>
        <w:spacing w:after="0" w:line="279" w:lineRule="auto"/>
        <w:tabs>
          <w:tab w:leader="none" w:pos="1115" w:val="left"/>
        </w:tabs>
        <w:numPr>
          <w:ilvl w:val="2"/>
          <w:numId w:val="58"/>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3" w:lineRule="exact"/>
        <w:rPr>
          <w:rFonts w:ascii="Arial" w:cs="Arial" w:eastAsia="Arial" w:hAnsi="Arial"/>
          <w:sz w:val="21"/>
          <w:szCs w:val="21"/>
          <w:color w:val="auto"/>
        </w:rPr>
      </w:pPr>
    </w:p>
    <w:p>
      <w:pPr>
        <w:jc w:val="both"/>
        <w:ind w:firstLine="433"/>
        <w:spacing w:after="0" w:line="299" w:lineRule="auto"/>
        <w:tabs>
          <w:tab w:leader="none" w:pos="1128" w:val="left"/>
        </w:tabs>
        <w:numPr>
          <w:ilvl w:val="2"/>
          <w:numId w:val="5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20"/>
          <w:szCs w:val="20"/>
          <w:color w:val="auto"/>
        </w:rPr>
      </w:pPr>
    </w:p>
    <w:p>
      <w:pPr>
        <w:jc w:val="both"/>
        <w:ind w:firstLine="7"/>
        <w:spacing w:after="0" w:line="279" w:lineRule="auto"/>
        <w:tabs>
          <w:tab w:leader="none" w:pos="248"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3" w:lineRule="exact"/>
        <w:rPr>
          <w:rFonts w:ascii="Arial" w:cs="Arial" w:eastAsia="Arial" w:hAnsi="Arial"/>
          <w:sz w:val="21"/>
          <w:szCs w:val="21"/>
          <w:color w:val="auto"/>
        </w:rPr>
      </w:pPr>
    </w:p>
    <w:p>
      <w:pPr>
        <w:jc w:val="both"/>
        <w:ind w:firstLine="406"/>
        <w:spacing w:after="0" w:line="279" w:lineRule="auto"/>
        <w:tabs>
          <w:tab w:leader="none" w:pos="1115" w:val="left"/>
        </w:tabs>
        <w:numPr>
          <w:ilvl w:val="1"/>
          <w:numId w:val="58"/>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21"/>
          <w:szCs w:val="21"/>
          <w:color w:val="auto"/>
        </w:rPr>
      </w:pPr>
    </w:p>
    <w:p>
      <w:pPr>
        <w:ind w:firstLine="406"/>
        <w:spacing w:after="0" w:line="294" w:lineRule="auto"/>
        <w:tabs>
          <w:tab w:leader="none" w:pos="1198" w:val="left"/>
        </w:tabs>
        <w:numPr>
          <w:ilvl w:val="1"/>
          <w:numId w:val="58"/>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ind w:left="1180"/>
              <w:spacing w:after="0"/>
              <w:rPr>
                <w:sz w:val="20"/>
                <w:szCs w:val="20"/>
                <w:color w:val="auto"/>
              </w:rPr>
            </w:pPr>
            <w:r>
              <w:rPr>
                <w:rFonts w:ascii="Arial" w:cs="Arial" w:eastAsia="Arial" w:hAnsi="Arial"/>
                <w:sz w:val="18"/>
                <w:szCs w:val="18"/>
                <w:color w:val="auto"/>
              </w:rPr>
              <w:t>Dated: August 14, 2019</w:t>
            </w:r>
          </w:p>
        </w:tc>
        <w:tc>
          <w:tcPr>
            <w:tcW w:w="1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0"/>
              </w:rPr>
              <w:t>/s/ Garrett S. Sill</w:t>
            </w:r>
          </w:p>
        </w:tc>
        <w:tc>
          <w:tcPr>
            <w:tcW w:w="6140" w:type="dxa"/>
            <w:vAlign w:val="bottom"/>
          </w:tcPr>
          <w:p>
            <w:pPr>
              <w:spacing w:after="0"/>
              <w:rPr>
                <w:sz w:val="18"/>
                <w:szCs w:val="18"/>
                <w:color w:val="auto"/>
              </w:rPr>
            </w:pPr>
          </w:p>
        </w:tc>
      </w:tr>
      <w:tr>
        <w:trPr>
          <w:trHeight w:val="221"/>
        </w:trPr>
        <w:tc>
          <w:tcPr>
            <w:tcW w:w="4040" w:type="dxa"/>
            <w:vAlign w:val="bottom"/>
          </w:tcPr>
          <w:p>
            <w:pPr>
              <w:spacing w:after="0"/>
              <w:rPr>
                <w:sz w:val="19"/>
                <w:szCs w:val="19"/>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Garrett S. Sill</w:t>
            </w:r>
          </w:p>
        </w:tc>
      </w:tr>
      <w:tr>
        <w:trPr>
          <w:trHeight w:val="213"/>
        </w:trPr>
        <w:tc>
          <w:tcPr>
            <w:tcW w:w="4040" w:type="dxa"/>
            <w:vAlign w:val="bottom"/>
          </w:tcPr>
          <w:p>
            <w:pPr>
              <w:spacing w:after="0"/>
              <w:rPr>
                <w:sz w:val="18"/>
                <w:szCs w:val="18"/>
                <w:color w:val="auto"/>
              </w:rPr>
            </w:pPr>
          </w:p>
        </w:tc>
        <w:tc>
          <w:tcPr>
            <w:tcW w:w="73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 and Treasurer</w:t>
            </w:r>
          </w:p>
        </w:tc>
      </w:tr>
      <w:tr>
        <w:trPr>
          <w:trHeight w:val="224"/>
        </w:trPr>
        <w:tc>
          <w:tcPr>
            <w:tcW w:w="404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834"/>
        </w:trPr>
        <w:tc>
          <w:tcPr>
            <w:tcW w:w="40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6" w:name="page67"/>
    <w:bookmarkEnd w:id="66"/>
    <w:p>
      <w:pPr>
        <w:ind w:left="10080"/>
        <w:spacing w:after="0"/>
        <w:rPr>
          <w:sz w:val="20"/>
          <w:szCs w:val="20"/>
          <w:color w:val="auto"/>
        </w:rPr>
      </w:pPr>
      <w:r>
        <w:rPr>
          <w:rFonts w:ascii="Arial" w:cs="Arial" w:eastAsia="Arial" w:hAnsi="Arial"/>
          <w:sz w:val="21"/>
          <w:szCs w:val="21"/>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7248525" cy="33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248525"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210820</wp:posOffset>
            </wp:positionV>
            <wp:extent cx="7248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AS REQUIRED BY SECTION 906 OF THE SARBANES-OXLEY ACT OF 2002</w:t>
      </w:r>
    </w:p>
    <w:p>
      <w:pPr>
        <w:spacing w:after="0" w:line="286"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In connection with the Quarterly Report of Security National Financial Corporation (the “Company”) on Form 10-Q for the period ending June 30, 2019,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208" w:lineRule="exact"/>
        <w:rPr>
          <w:sz w:val="20"/>
          <w:szCs w:val="20"/>
          <w:color w:val="auto"/>
        </w:rPr>
      </w:pPr>
    </w:p>
    <w:p>
      <w:pPr>
        <w:ind w:left="1320" w:hanging="674"/>
        <w:spacing w:after="0"/>
        <w:tabs>
          <w:tab w:leader="none" w:pos="13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84" w:lineRule="exact"/>
        <w:rPr>
          <w:rFonts w:ascii="Arial" w:cs="Arial" w:eastAsia="Arial" w:hAnsi="Arial"/>
          <w:sz w:val="17"/>
          <w:szCs w:val="17"/>
          <w:color w:val="auto"/>
        </w:rPr>
      </w:pPr>
    </w:p>
    <w:p>
      <w:pPr>
        <w:ind w:left="1320" w:hanging="674"/>
        <w:spacing w:after="0" w:line="267" w:lineRule="auto"/>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ind w:left="1180"/>
              <w:spacing w:after="0"/>
              <w:rPr>
                <w:sz w:val="20"/>
                <w:szCs w:val="20"/>
                <w:color w:val="auto"/>
              </w:rPr>
            </w:pPr>
            <w:r>
              <w:rPr>
                <w:rFonts w:ascii="Arial" w:cs="Arial" w:eastAsia="Arial" w:hAnsi="Arial"/>
                <w:sz w:val="18"/>
                <w:szCs w:val="18"/>
                <w:color w:val="auto"/>
              </w:rPr>
              <w:t>Dated: August 14, 2019</w:t>
            </w: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Scott M. Quist</w:t>
            </w:r>
          </w:p>
        </w:tc>
        <w:tc>
          <w:tcPr>
            <w:tcW w:w="6120" w:type="dxa"/>
            <w:vAlign w:val="bottom"/>
          </w:tcPr>
          <w:p>
            <w:pPr>
              <w:spacing w:after="0"/>
              <w:rPr>
                <w:sz w:val="17"/>
                <w:szCs w:val="17"/>
                <w:color w:val="auto"/>
              </w:rPr>
            </w:pPr>
          </w:p>
        </w:tc>
      </w:tr>
      <w:tr>
        <w:trPr>
          <w:trHeight w:val="221"/>
        </w:trPr>
        <w:tc>
          <w:tcPr>
            <w:tcW w:w="404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Scott M. Quist</w:t>
            </w:r>
          </w:p>
        </w:tc>
      </w:tr>
      <w:tr>
        <w:trPr>
          <w:trHeight w:val="213"/>
        </w:trPr>
        <w:tc>
          <w:tcPr>
            <w:tcW w:w="404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24"/>
        </w:trPr>
        <w:tc>
          <w:tcPr>
            <w:tcW w:w="404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914"/>
        </w:trPr>
        <w:tc>
          <w:tcPr>
            <w:tcW w:w="4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7" w:name="page68"/>
    <w:bookmarkEnd w:id="67"/>
    <w:p>
      <w:pPr>
        <w:ind w:left="10320"/>
        <w:spacing w:after="0"/>
        <w:rPr>
          <w:sz w:val="20"/>
          <w:szCs w:val="20"/>
          <w:color w:val="auto"/>
        </w:rPr>
      </w:pPr>
      <w:r>
        <w:rPr>
          <w:rFonts w:ascii="Arial" w:cs="Arial" w:eastAsia="Arial" w:hAnsi="Arial"/>
          <w:sz w:val="19"/>
          <w:szCs w:val="19"/>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248525"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248525" cy="336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217170</wp:posOffset>
            </wp:positionV>
            <wp:extent cx="7248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OF CHIEF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REQUIRED BY SECTION 906 OF THE SARBANES-OXLEY ACT OF 2002</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connection with the Quarterly Report of Security National Financial Corporation (the “Company”) on Form 10-Q for the period ending June 30, 2019,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210" w:lineRule="exact"/>
        <w:rPr>
          <w:sz w:val="20"/>
          <w:szCs w:val="20"/>
          <w:color w:val="auto"/>
        </w:rPr>
      </w:pPr>
    </w:p>
    <w:p>
      <w:pPr>
        <w:ind w:left="1320" w:hanging="674"/>
        <w:spacing w:after="0"/>
        <w:tabs>
          <w:tab w:leader="none" w:pos="13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7" w:lineRule="exact"/>
        <w:rPr>
          <w:rFonts w:ascii="Arial" w:cs="Arial" w:eastAsia="Arial" w:hAnsi="Arial"/>
          <w:sz w:val="17"/>
          <w:szCs w:val="17"/>
          <w:color w:val="auto"/>
        </w:rPr>
      </w:pPr>
    </w:p>
    <w:p>
      <w:pPr>
        <w:ind w:left="1320" w:hanging="674"/>
        <w:spacing w:after="0" w:line="182" w:lineRule="auto"/>
        <w:tabs>
          <w:tab w:leader="none" w:pos="1320" w:val="left"/>
        </w:tabs>
        <w:numPr>
          <w:ilvl w:val="0"/>
          <w:numId w:val="60"/>
        </w:numPr>
        <w:rPr>
          <w:rFonts w:ascii="Arial" w:cs="Arial" w:eastAsia="Arial" w:hAnsi="Arial"/>
          <w:sz w:val="33"/>
          <w:szCs w:val="33"/>
          <w:color w:val="auto"/>
          <w:vertAlign w:val="subscript"/>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20"/>
                <w:szCs w:val="20"/>
                <w:color w:val="auto"/>
              </w:rPr>
            </w:pPr>
            <w:r>
              <w:rPr>
                <w:rFonts w:ascii="Arial" w:cs="Arial" w:eastAsia="Arial" w:hAnsi="Arial"/>
                <w:sz w:val="18"/>
                <w:szCs w:val="18"/>
                <w:color w:val="auto"/>
              </w:rPr>
              <w:t>Dated: August 14, 2019</w:t>
            </w:r>
          </w:p>
        </w:tc>
        <w:tc>
          <w:tcPr>
            <w:tcW w:w="1200" w:type="dxa"/>
            <w:vAlign w:val="bottom"/>
          </w:tcPr>
          <w:p>
            <w:pPr>
              <w:spacing w:after="0"/>
              <w:rPr>
                <w:sz w:val="17"/>
                <w:szCs w:val="17"/>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/s/ Garrett S. Sill</w:t>
            </w:r>
          </w:p>
        </w:tc>
      </w:tr>
      <w:tr>
        <w:trPr>
          <w:trHeight w:val="221"/>
        </w:trPr>
        <w:tc>
          <w:tcPr>
            <w:tcW w:w="2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Garrett S. Sill</w:t>
            </w:r>
          </w:p>
        </w:tc>
        <w:tc>
          <w:tcPr>
            <w:tcW w:w="6140" w:type="dxa"/>
            <w:vAlign w:val="bottom"/>
          </w:tcPr>
          <w:p>
            <w:pPr>
              <w:spacing w:after="0"/>
              <w:rPr>
                <w:sz w:val="19"/>
                <w:szCs w:val="19"/>
                <w:color w:val="auto"/>
              </w:rPr>
            </w:pPr>
          </w:p>
        </w:tc>
      </w:tr>
      <w:tr>
        <w:trPr>
          <w:trHeight w:val="213"/>
        </w:trPr>
        <w:tc>
          <w:tcPr>
            <w:tcW w:w="2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Chief Financial Officer and Treasurer</w:t>
            </w:r>
          </w:p>
        </w:tc>
      </w:tr>
      <w:tr>
        <w:trPr>
          <w:trHeight w:val="224"/>
        </w:trPr>
        <w:tc>
          <w:tcPr>
            <w:tcW w:w="2880" w:type="dxa"/>
            <w:vAlign w:val="bottom"/>
          </w:tcPr>
          <w:p>
            <w:pPr>
              <w:spacing w:after="0"/>
              <w:rPr>
                <w:sz w:val="19"/>
                <w:szCs w:val="19"/>
                <w:color w:val="auto"/>
              </w:rPr>
            </w:pPr>
          </w:p>
        </w:tc>
        <w:tc>
          <w:tcPr>
            <w:tcW w:w="8540" w:type="dxa"/>
            <w:vAlign w:val="bottom"/>
            <w:gridSpan w:val="3"/>
          </w:tcPr>
          <w:p>
            <w:pPr>
              <w:ind w:left="116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834"/>
        </w:trPr>
        <w:tc>
          <w:tcPr>
            <w:tcW w:w="28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upperLetter"/>
      <w:start w:val="24"/>
    </w:lvl>
  </w:abstractNum>
  <w:abstractNum w:abstractNumId="1">
    <w:nsid w:val="7C3DBD3D"/>
    <w:multiLevelType w:val="hybridMultilevel"/>
    <w:lvl w:ilvl="0">
      <w:lvlJc w:val="left"/>
      <w:lvlText w:val="%1)"/>
      <w:numFmt w:val="decimal"/>
      <w:start w:val="1"/>
    </w:lvl>
  </w:abstractNum>
  <w:abstractNum w:abstractNumId="2">
    <w:nsid w:val="737B8DDC"/>
    <w:multiLevelType w:val="hybridMultilevel"/>
    <w:lvl w:ilvl="0">
      <w:lvlJc w:val="left"/>
      <w:lvlText w:val="%1)"/>
      <w:numFmt w:val="decimal"/>
      <w:start w:val="2"/>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decimal"/>
      <w:start w:val="3"/>
    </w:lvl>
  </w:abstractNum>
  <w:abstractNum w:abstractNumId="5">
    <w:nsid w:val="4516DDE9"/>
    <w:multiLevelType w:val="hybridMultilevel"/>
    <w:lvl w:ilvl="0">
      <w:lvlJc w:val="left"/>
      <w:lvlText w:val="%1)"/>
      <w:numFmt w:val="decimal"/>
      <w:start w:val="3"/>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3"/>
    </w:lvl>
  </w:abstractNum>
  <w:abstractNum w:abstractNumId="8">
    <w:nsid w:val="419AC241"/>
    <w:multiLevelType w:val="hybridMultilevel"/>
    <w:lvl w:ilvl="0">
      <w:lvlJc w:val="left"/>
      <w:lvlText w:val="%1)"/>
      <w:numFmt w:val="decimal"/>
      <w:start w:val="3"/>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3"/>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3"/>
    </w:lvl>
  </w:abstractNum>
  <w:abstractNum w:abstractNumId="13">
    <w:nsid w:val="77465F01"/>
    <w:multiLevelType w:val="hybridMultilevel"/>
    <w:lvl w:ilvl="0">
      <w:lvlJc w:val="left"/>
      <w:lvlText w:val="%1)"/>
      <w:numFmt w:val="decimal"/>
      <w:start w:val="3"/>
    </w:lvl>
  </w:abstractNum>
  <w:abstractNum w:abstractNumId="14">
    <w:nsid w:val="7724C67E"/>
    <w:multiLevelType w:val="hybridMultilevel"/>
    <w:lvl w:ilvl="0">
      <w:lvlJc w:val="left"/>
      <w:lvlText w:val="%1)"/>
      <w:numFmt w:val="decimal"/>
      <w:start w:val="3"/>
    </w:lvl>
  </w:abstractNum>
  <w:abstractNum w:abstractNumId="15">
    <w:nsid w:val="5C482A97"/>
    <w:multiLevelType w:val="hybridMultilevel"/>
    <w:lvl w:ilvl="0">
      <w:lvlJc w:val="left"/>
      <w:lvlText w:val="%1)"/>
      <w:numFmt w:val="decimal"/>
      <w:start w:val="3"/>
    </w:lvl>
  </w:abstractNum>
  <w:abstractNum w:abstractNumId="16">
    <w:nsid w:val="2463B9EA"/>
    <w:multiLevelType w:val="hybridMultilevel"/>
    <w:lvl w:ilvl="0">
      <w:lvlJc w:val="left"/>
      <w:lvlText w:val="%1)"/>
      <w:numFmt w:val="decimal"/>
      <w:start w:val="3"/>
    </w:lvl>
  </w:abstractNum>
  <w:abstractNum w:abstractNumId="17">
    <w:nsid w:val="5E884ADC"/>
    <w:multiLevelType w:val="hybridMultilevel"/>
    <w:lvl w:ilvl="0">
      <w:lvlJc w:val="left"/>
      <w:lvlText w:val="%1)"/>
      <w:numFmt w:val="decimal"/>
      <w:start w:val="4"/>
    </w:lvl>
  </w:abstractNum>
  <w:abstractNum w:abstractNumId="18">
    <w:nsid w:val="51EAD36B"/>
    <w:multiLevelType w:val="hybridMultilevel"/>
    <w:lvl w:ilvl="0">
      <w:lvlJc w:val="left"/>
      <w:lvlText w:val="%1)"/>
      <w:numFmt w:val="decimal"/>
      <w:start w:val="4"/>
    </w:lvl>
  </w:abstractNum>
  <w:abstractNum w:abstractNumId="19">
    <w:nsid w:val="2D517796"/>
    <w:multiLevelType w:val="hybridMultilevel"/>
    <w:lvl w:ilvl="0">
      <w:lvlJc w:val="left"/>
      <w:lvlText w:val="%1)"/>
      <w:numFmt w:val="decimal"/>
      <w:start w:val="5"/>
    </w:lvl>
  </w:abstractNum>
  <w:abstractNum w:abstractNumId="20">
    <w:nsid w:val="580BD78F"/>
    <w:multiLevelType w:val="hybridMultilevel"/>
    <w:lvl w:ilvl="0">
      <w:lvlJc w:val="left"/>
      <w:lvlText w:val="%1)"/>
      <w:numFmt w:val="decimal"/>
      <w:start w:val="5"/>
    </w:lvl>
  </w:abstractNum>
  <w:abstractNum w:abstractNumId="21">
    <w:nsid w:val="153EA438"/>
    <w:multiLevelType w:val="hybridMultilevel"/>
    <w:lvl w:ilvl="0">
      <w:lvlJc w:val="left"/>
      <w:lvlText w:val="%1)"/>
      <w:numFmt w:val="decimal"/>
      <w:start w:val="6"/>
    </w:lvl>
  </w:abstractNum>
  <w:abstractNum w:abstractNumId="22">
    <w:nsid w:val="3855585C"/>
    <w:multiLevelType w:val="hybridMultilevel"/>
    <w:lvl w:ilvl="0">
      <w:lvlJc w:val="left"/>
      <w:lvlText w:val="%1)"/>
      <w:numFmt w:val="decimal"/>
      <w:start w:val="7"/>
    </w:lvl>
  </w:abstractNum>
  <w:abstractNum w:abstractNumId="23">
    <w:nsid w:val="70A64E2A"/>
    <w:multiLevelType w:val="hybridMultilevel"/>
    <w:lvl w:ilvl="0">
      <w:lvlJc w:val="left"/>
      <w:lvlText w:val="%1)"/>
      <w:numFmt w:val="decimal"/>
      <w:start w:val="7"/>
    </w:lvl>
  </w:abstractNum>
  <w:abstractNum w:abstractNumId="24">
    <w:nsid w:val="6A2342EC"/>
    <w:multiLevelType w:val="hybridMultilevel"/>
    <w:lvl w:ilvl="0">
      <w:lvlJc w:val="left"/>
      <w:lvlText w:val="%1)"/>
      <w:numFmt w:val="decimal"/>
      <w:start w:val="8"/>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decimal"/>
      <w:start w:val="8"/>
    </w:lvl>
  </w:abstractNum>
  <w:abstractNum w:abstractNumId="27">
    <w:nsid w:val="725A06FB"/>
    <w:multiLevelType w:val="hybridMultilevel"/>
    <w:lvl w:ilvl="0">
      <w:lvlJc w:val="left"/>
      <w:lvlText w:val="%1)"/>
      <w:numFmt w:val="decimal"/>
      <w:start w:val="8"/>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8"/>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8"/>
    </w:lvl>
  </w:abstractNum>
  <w:abstractNum w:abstractNumId="32">
    <w:nsid w:val="542289EC"/>
    <w:multiLevelType w:val="hybridMultilevel"/>
    <w:lvl w:ilvl="0">
      <w:lvlJc w:val="left"/>
      <w:lvlText w:val="%1)"/>
      <w:numFmt w:val="decimal"/>
      <w:start w:val="8"/>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8"/>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8"/>
    </w:lvl>
  </w:abstractNum>
  <w:abstractNum w:abstractNumId="37">
    <w:nsid w:val="684A481A"/>
    <w:multiLevelType w:val="hybridMultilevel"/>
    <w:lvl w:ilvl="0">
      <w:lvlJc w:val="left"/>
      <w:lvlText w:val="%1)"/>
      <w:numFmt w:val="decimal"/>
      <w:start w:val="9"/>
    </w:lvl>
  </w:abstractNum>
  <w:abstractNum w:abstractNumId="38">
    <w:nsid w:val="579478FE"/>
    <w:multiLevelType w:val="hybridMultilevel"/>
    <w:lvl w:ilvl="0">
      <w:lvlJc w:val="left"/>
      <w:lvlText w:val="%1)"/>
      <w:numFmt w:val="decimal"/>
      <w:start w:val="10"/>
    </w:lvl>
  </w:abstractNum>
  <w:abstractNum w:abstractNumId="39">
    <w:nsid w:val="749ABB43"/>
    <w:multiLevelType w:val="hybridMultilevel"/>
    <w:lvl w:ilvl="0">
      <w:lvlJc w:val="left"/>
      <w:lvlText w:val="%1)"/>
      <w:numFmt w:val="decimal"/>
      <w:start w:val="10"/>
    </w:lvl>
  </w:abstractNum>
  <w:abstractNum w:abstractNumId="40">
    <w:nsid w:val="3DC240FB"/>
    <w:multiLevelType w:val="hybridMultilevel"/>
    <w:lvl w:ilvl="0">
      <w:lvlJc w:val="left"/>
      <w:lvlText w:val="%1)"/>
      <w:numFmt w:val="decimal"/>
      <w:start w:val="10"/>
    </w:lvl>
  </w:abstractNum>
  <w:abstractNum w:abstractNumId="41">
    <w:nsid w:val="1BA026FA"/>
    <w:multiLevelType w:val="hybridMultilevel"/>
    <w:lvl w:ilvl="0">
      <w:lvlJc w:val="left"/>
      <w:lvlText w:val="%1)"/>
      <w:numFmt w:val="decimal"/>
      <w:start w:val="11"/>
    </w:lvl>
  </w:abstractNum>
  <w:abstractNum w:abstractNumId="42">
    <w:nsid w:val="79A1DEAA"/>
    <w:multiLevelType w:val="hybridMultilevel"/>
    <w:lvl w:ilvl="0">
      <w:lvlJc w:val="left"/>
      <w:lvlText w:val="%1)"/>
      <w:numFmt w:val="decimal"/>
      <w:start w:val="11"/>
    </w:lvl>
  </w:abstractNum>
  <w:abstractNum w:abstractNumId="43">
    <w:nsid w:val="75C6C33A"/>
    <w:multiLevelType w:val="hybridMultilevel"/>
    <w:lvl w:ilvl="0">
      <w:lvlJc w:val="left"/>
      <w:lvlText w:val="%1)"/>
      <w:numFmt w:val="decimal"/>
      <w:start w:val="11"/>
    </w:lvl>
  </w:abstractNum>
  <w:abstractNum w:abstractNumId="44">
    <w:nsid w:val="12E685FB"/>
    <w:multiLevelType w:val="hybridMultilevel"/>
    <w:lvl w:ilvl="0">
      <w:lvlJc w:val="left"/>
      <w:lvlText w:val="%1)"/>
      <w:numFmt w:val="decimal"/>
      <w:start w:val="11"/>
    </w:lvl>
  </w:abstractNum>
  <w:abstractNum w:abstractNumId="45">
    <w:nsid w:val="70C6A529"/>
    <w:multiLevelType w:val="hybridMultilevel"/>
    <w:lvl w:ilvl="0">
      <w:lvlJc w:val="left"/>
      <w:lvlText w:val="%1)"/>
      <w:numFmt w:val="decimal"/>
      <w:start w:val="12"/>
    </w:lvl>
  </w:abstractNum>
  <w:abstractNum w:abstractNumId="46">
    <w:nsid w:val="520EEDD1"/>
    <w:multiLevelType w:val="hybridMultilevel"/>
    <w:lvl w:ilvl="0">
      <w:lvlJc w:val="left"/>
      <w:lvlText w:val="%1)"/>
      <w:numFmt w:val="decimal"/>
      <w:start w:val="12"/>
    </w:lvl>
  </w:abstractNum>
  <w:abstractNum w:abstractNumId="47">
    <w:nsid w:val="374A3FE6"/>
    <w:multiLevelType w:val="hybridMultilevel"/>
    <w:lvl w:ilvl="0">
      <w:lvlJc w:val="left"/>
      <w:lvlText w:val="%1)"/>
      <w:numFmt w:val="decimal"/>
      <w:start w:val="14"/>
    </w:lvl>
  </w:abstractNum>
  <w:abstractNum w:abstractNumId="48">
    <w:nsid w:val="4F4EF005"/>
    <w:multiLevelType w:val="hybridMultilevel"/>
    <w:lvl w:ilvl="0">
      <w:lvlJc w:val="left"/>
      <w:lvlText w:val="%1)"/>
      <w:numFmt w:val="decimal"/>
      <w:start w:val="14"/>
    </w:lvl>
  </w:abstractNum>
  <w:abstractNum w:abstractNumId="49">
    <w:nsid w:val="23F9C13C"/>
    <w:multiLevelType w:val="hybridMultilevel"/>
    <w:lvl w:ilvl="0">
      <w:lvlJc w:val="left"/>
      <w:lvlText w:val="%1)"/>
      <w:numFmt w:val="decimal"/>
      <w:start w:val="15"/>
    </w:lvl>
  </w:abstractNum>
  <w:abstractNum w:abstractNumId="50">
    <w:nsid w:val="649BB77C"/>
    <w:multiLevelType w:val="hybridMultilevel"/>
    <w:lvl w:ilvl="0">
      <w:lvlJc w:val="left"/>
      <w:lvlText w:val="%1)"/>
      <w:numFmt w:val="decimal"/>
      <w:start w:val="15"/>
    </w:lvl>
  </w:abstractNum>
  <w:abstractNum w:abstractNumId="51">
    <w:nsid w:val="275AC794"/>
    <w:multiLevelType w:val="hybridMultilevel"/>
    <w:lvl w:ilvl="0">
      <w:lvlJc w:val="left"/>
      <w:lvlText w:val="(%1)"/>
      <w:numFmt w:val="lowerRoman"/>
      <w:start w:val="1"/>
    </w:lvl>
  </w:abstractNum>
  <w:abstractNum w:abstractNumId="52">
    <w:nsid w:val="39386575"/>
    <w:multiLevelType w:val="hybridMultilevel"/>
    <w:lvl w:ilvl="0">
      <w:lvlJc w:val="left"/>
      <w:lvlText w:val="(%1)"/>
      <w:numFmt w:val="lowerRoman"/>
      <w:start w:val="1"/>
    </w:lvl>
  </w:abstractNum>
  <w:abstractNum w:abstractNumId="53">
    <w:nsid w:val="1CF10FD8"/>
    <w:multiLevelType w:val="hybridMultilevel"/>
    <w:lvl w:ilvl="0">
      <w:lvlJc w:val="left"/>
      <w:lvlText w:val="%1"/>
      <w:numFmt w:val="decimal"/>
      <w:start w:val="14"/>
    </w:lvl>
  </w:abstractNum>
  <w:abstractNum w:abstractNumId="54">
    <w:nsid w:val="180115BE"/>
    <w:multiLevelType w:val="hybridMultilevel"/>
    <w:lvl w:ilvl="0">
      <w:lvlJc w:val="left"/>
      <w:lvlText w:val="%1"/>
      <w:numFmt w:val="decimal"/>
      <w:start w:val="21"/>
    </w:lvl>
  </w:abstractNum>
  <w:abstractNum w:abstractNumId="55">
    <w:nsid w:val="235BA861"/>
    <w:multiLevelType w:val="hybridMultilevel"/>
    <w:lvl w:ilvl="0">
      <w:lvlJc w:val="left"/>
      <w:lvlText w:val="(%1)"/>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8" Type="http://schemas.openxmlformats.org/officeDocument/2006/relationships/image" Target="media/image52.png"/><Relationship Id="rId70"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59" Type="http://schemas.openxmlformats.org/officeDocument/2006/relationships/hyperlink" Target="http://www.sec.gov/Archives/edgar/data/318673/000109690617000214/exh3_1.pdf" TargetMode="External"/><Relationship Id="rId60" Type="http://schemas.openxmlformats.org/officeDocument/2006/relationships/hyperlink" Target="http://www.sec.gov/Archives/edgar/data/318673/000109690619000199/exh3_2.pdf" TargetMode="External"/><Relationship Id="rId61" Type="http://schemas.openxmlformats.org/officeDocument/2006/relationships/hyperlink" Target="http://www.sec.gov/Archives/edgar/data/318673/000109690616001835/exh10_4.htm" TargetMode="External"/><Relationship Id="rId62" Type="http://schemas.openxmlformats.org/officeDocument/2006/relationships/hyperlink" Target="http://www.sec.gov/Archives/edgar/data/318673/000109690614000752/snfcadef14a.htm" TargetMode="External"/><Relationship Id="rId63" Type="http://schemas.openxmlformats.org/officeDocument/2006/relationships/hyperlink" Target="http://www.sec.gov/Archives/edgar/data/318673/000109690615001153/exh108.htm" TargetMode="External"/><Relationship Id="rId64" Type="http://schemas.openxmlformats.org/officeDocument/2006/relationships/hyperlink" Target="http://www.sec.gov/Archives/edgar/data/318673/000109690618000285/exh10_1.htm" TargetMode="External"/><Relationship Id="rId65" Type="http://schemas.openxmlformats.org/officeDocument/2006/relationships/hyperlink" Target="http://www.sec.gov/Archives/edgar/data/318673/000109690618000639/exh10_9.htm" TargetMode="External"/><Relationship Id="rId66" Type="http://schemas.openxmlformats.org/officeDocument/2006/relationships/hyperlink" Target="http://www.sec.gov/Archives/edgar/data/318673/000109690619000084/exh10_1.htm" TargetMode="External"/><Relationship Id="rId67" Type="http://schemas.openxmlformats.org/officeDocument/2006/relationships/hyperlink" Target="http://www.sec.gov/Archives/edgar/data/318673/000109690619000199/exh14.htm" TargetMode="External"/><Relationship Id="rId69" Type="http://schemas.openxmlformats.org/officeDocument/2006/relationships/hyperlink" Target="http://www.sec.gov/Archives/edgar/data/318673/000109690619000199/exh21.htm" TargetMode="External"/><Relationship Id="rId71" Type="http://schemas.openxmlformats.org/officeDocument/2006/relationships/hyperlink" Target="http://www.sec.gov/Archives/edgar/data/318673/000109690616001895/exh23_1.htm" TargetMode="External"/><Relationship Id="rId72" Type="http://schemas.openxmlformats.org/officeDocument/2006/relationships/hyperlink" Target="http://www.sec.gov/Archives/edgar/data/318673/000109690616001895/exh5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2019-12-28T06:55:08Z</dcterms:created>
  <dcterms:modified xsi:type="dcterms:W3CDTF">2019-12-28T06:55:08Z</dcterms:modified>
</cp:coreProperties>
</file>