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95"/>
        <w:spacing w:after="0"/>
        <w:rPr>
          <w:sz w:val="20"/>
          <w:szCs w:val="20"/>
          <w:color w:val="auto"/>
        </w:rPr>
      </w:pPr>
      <w:r>
        <w:rPr>
          <w:rFonts w:ascii="Arial" w:cs="Arial" w:eastAsia="Arial" w:hAnsi="Arial"/>
          <w:sz w:val="25"/>
          <w:szCs w:val="25"/>
          <w:b w:val="1"/>
          <w:bCs w:val="1"/>
          <w:color w:val="auto"/>
        </w:rPr>
        <w:t>UNITED STATES</w:t>
      </w:r>
    </w:p>
    <w:p>
      <w:pPr>
        <w:spacing w:after="0" w:line="23" w:lineRule="exact"/>
        <w:rPr>
          <w:sz w:val="24"/>
          <w:szCs w:val="24"/>
          <w:color w:val="auto"/>
        </w:rPr>
      </w:pPr>
    </w:p>
    <w:p>
      <w:pPr>
        <w:jc w:val="center"/>
        <w:ind w:right="1295"/>
        <w:spacing w:after="0"/>
        <w:rPr>
          <w:sz w:val="20"/>
          <w:szCs w:val="20"/>
          <w:color w:val="auto"/>
        </w:rPr>
      </w:pPr>
      <w:r>
        <w:rPr>
          <w:rFonts w:ascii="Arial" w:cs="Arial" w:eastAsia="Arial" w:hAnsi="Arial"/>
          <w:sz w:val="12"/>
          <w:szCs w:val="12"/>
          <w:b w:val="1"/>
          <w:bCs w:val="1"/>
          <w:color w:val="auto"/>
        </w:rPr>
        <w:t>SECURITIES AND EXCHANGE COMMISSION</w:t>
      </w:r>
    </w:p>
    <w:p>
      <w:pPr>
        <w:jc w:val="center"/>
        <w:ind w:right="1295"/>
        <w:spacing w:after="0"/>
        <w:rPr>
          <w:sz w:val="20"/>
          <w:szCs w:val="20"/>
          <w:color w:val="auto"/>
        </w:rPr>
      </w:pPr>
      <w:r>
        <w:rPr>
          <w:rFonts w:ascii="Arial" w:cs="Arial" w:eastAsia="Arial" w:hAnsi="Arial"/>
          <w:sz w:val="17"/>
          <w:szCs w:val="17"/>
          <w:color w:val="auto"/>
        </w:rPr>
        <w:t>Washington, D.C. 20549</w:t>
      </w:r>
    </w:p>
    <w:p>
      <w:pPr>
        <w:spacing w:after="0" w:line="90" w:lineRule="exact"/>
        <w:rPr>
          <w:sz w:val="24"/>
          <w:szCs w:val="24"/>
          <w:color w:val="auto"/>
        </w:rPr>
      </w:pPr>
    </w:p>
    <w:p>
      <w:pPr>
        <w:ind w:left="3405"/>
        <w:spacing w:after="0"/>
        <w:rPr>
          <w:sz w:val="20"/>
          <w:szCs w:val="20"/>
          <w:color w:val="auto"/>
        </w:rPr>
      </w:pPr>
      <w:r>
        <w:rPr>
          <w:rFonts w:ascii="Arial" w:cs="Arial" w:eastAsia="Arial" w:hAnsi="Arial"/>
          <w:sz w:val="22"/>
          <w:szCs w:val="22"/>
          <w:b w:val="1"/>
          <w:bCs w:val="1"/>
          <w:color w:val="auto"/>
        </w:rPr>
        <w:t>FORM 10-Q</w:t>
      </w:r>
    </w:p>
    <w:p>
      <w:pPr>
        <w:spacing w:after="0" w:line="117" w:lineRule="exact"/>
        <w:rPr>
          <w:sz w:val="24"/>
          <w:szCs w:val="24"/>
          <w:color w:val="auto"/>
        </w:rPr>
      </w:pPr>
    </w:p>
    <w:p>
      <w:pPr>
        <w:ind w:left="5" w:right="1939" w:hanging="5"/>
        <w:spacing w:after="0" w:line="267" w:lineRule="auto"/>
        <w:tabs>
          <w:tab w:leader="none" w:pos="235" w:val="left"/>
        </w:tabs>
        <w:numPr>
          <w:ilvl w:val="0"/>
          <w:numId w:val="1"/>
        </w:numPr>
        <w:rPr>
          <w:rFonts w:ascii="Arial" w:cs="Arial" w:eastAsia="Arial" w:hAnsi="Arial"/>
          <w:sz w:val="14"/>
          <w:szCs w:val="14"/>
          <w:b w:val="1"/>
          <w:bCs w:val="1"/>
          <w:color w:val="auto"/>
        </w:rPr>
      </w:pPr>
      <w:r>
        <w:rPr>
          <w:rFonts w:ascii="Arial" w:cs="Arial" w:eastAsia="Arial" w:hAnsi="Arial"/>
          <w:sz w:val="14"/>
          <w:szCs w:val="14"/>
          <w:b w:val="1"/>
          <w:bCs w:val="1"/>
          <w:color w:val="auto"/>
        </w:rPr>
        <w:t>QUARTERLY REPORT PURSUANT TO SECTION 13 OR 15(d) OF THE SECURITIES EXCHANGE ACT OF 1934 For the quarterly period ended March 31, 2020</w:t>
      </w:r>
    </w:p>
    <w:p>
      <w:pPr>
        <w:ind w:left="3925"/>
        <w:spacing w:after="0"/>
        <w:rPr>
          <w:sz w:val="20"/>
          <w:szCs w:val="20"/>
          <w:color w:val="auto"/>
        </w:rPr>
      </w:pPr>
      <w:r>
        <w:rPr>
          <w:rFonts w:ascii="Arial" w:cs="Arial" w:eastAsia="Arial" w:hAnsi="Arial"/>
          <w:sz w:val="17"/>
          <w:szCs w:val="17"/>
          <w:b w:val="1"/>
          <w:bCs w:val="1"/>
          <w:color w:val="auto"/>
        </w:rPr>
        <w:t>or</w:t>
      </w:r>
    </w:p>
    <w:p>
      <w:pPr>
        <w:spacing w:after="0" w:line="101" w:lineRule="exact"/>
        <w:rPr>
          <w:sz w:val="24"/>
          <w:szCs w:val="24"/>
          <w:color w:val="auto"/>
        </w:rPr>
      </w:pPr>
    </w:p>
    <w:p>
      <w:pPr>
        <w:ind w:left="5" w:right="1999" w:hanging="5"/>
        <w:spacing w:after="0" w:line="294" w:lineRule="auto"/>
        <w:tabs>
          <w:tab w:leader="none" w:pos="86" w:val="left"/>
        </w:tabs>
        <w:numPr>
          <w:ilvl w:val="0"/>
          <w:numId w:val="2"/>
        </w:numPr>
        <w:rPr>
          <w:rFonts w:ascii="Arial" w:cs="Arial" w:eastAsia="Arial" w:hAnsi="Arial"/>
          <w:sz w:val="14"/>
          <w:szCs w:val="14"/>
          <w:b w:val="1"/>
          <w:bCs w:val="1"/>
          <w:color w:val="auto"/>
        </w:rPr>
      </w:pPr>
      <w:r>
        <w:rPr>
          <w:rFonts w:ascii="Arial" w:cs="Arial" w:eastAsia="Arial" w:hAnsi="Arial"/>
          <w:sz w:val="14"/>
          <w:szCs w:val="14"/>
          <w:b w:val="1"/>
          <w:bCs w:val="1"/>
          <w:color w:val="auto"/>
        </w:rPr>
        <w:t>] TRANSITION REPORT PURSUANT TO SECTION 13 OR 15(d) OF THE SECURITIES EXCHANGE ACT OF 1934 For the transition period from _____ to ________</w:t>
      </w:r>
    </w:p>
    <w:p>
      <w:pPr>
        <w:spacing w:after="0" w:line="53" w:lineRule="exact"/>
        <w:rPr>
          <w:sz w:val="24"/>
          <w:szCs w:val="24"/>
          <w:color w:val="auto"/>
        </w:rPr>
      </w:pPr>
    </w:p>
    <w:p>
      <w:pPr>
        <w:jc w:val="center"/>
        <w:ind w:right="1295"/>
        <w:spacing w:after="0"/>
        <w:rPr>
          <w:sz w:val="20"/>
          <w:szCs w:val="20"/>
          <w:color w:val="auto"/>
        </w:rPr>
      </w:pPr>
      <w:r>
        <w:rPr>
          <w:rFonts w:ascii="Arial" w:cs="Arial" w:eastAsia="Arial" w:hAnsi="Arial"/>
          <w:sz w:val="17"/>
          <w:szCs w:val="17"/>
          <w:b w:val="1"/>
          <w:bCs w:val="1"/>
          <w:color w:val="auto"/>
        </w:rPr>
        <w:t>Commission File Number: 000-09341</w:t>
      </w:r>
    </w:p>
    <w:p>
      <w:pPr>
        <w:spacing w:after="0" w:line="110" w:lineRule="exact"/>
        <w:rPr>
          <w:sz w:val="24"/>
          <w:szCs w:val="24"/>
          <w:color w:val="auto"/>
        </w:rPr>
      </w:pPr>
    </w:p>
    <w:p>
      <w:pPr>
        <w:jc w:val="center"/>
        <w:ind w:right="1295"/>
        <w:spacing w:after="0"/>
        <w:rPr>
          <w:sz w:val="20"/>
          <w:szCs w:val="20"/>
          <w:color w:val="auto"/>
        </w:rPr>
      </w:pPr>
      <w:r>
        <w:rPr>
          <w:rFonts w:ascii="Arial" w:cs="Arial" w:eastAsia="Arial" w:hAnsi="Arial"/>
          <w:sz w:val="22"/>
          <w:szCs w:val="22"/>
          <w:b w:val="1"/>
          <w:bCs w:val="1"/>
          <w:color w:val="auto"/>
        </w:rPr>
        <w:t>SECURITY NATIONAL FINANCIAL CORPORATION</w:t>
      </w:r>
    </w:p>
    <w:p>
      <w:pPr>
        <w:spacing w:after="0" w:line="28" w:lineRule="exact"/>
        <w:rPr>
          <w:sz w:val="24"/>
          <w:szCs w:val="24"/>
          <w:color w:val="auto"/>
        </w:rPr>
      </w:pPr>
    </w:p>
    <w:p>
      <w:pPr>
        <w:ind w:left="2525"/>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07" w:lineRule="exact"/>
        <w:rPr>
          <w:sz w:val="24"/>
          <w:szCs w:val="24"/>
          <w:color w:val="auto"/>
        </w:rPr>
      </w:pPr>
    </w:p>
    <w:tbl>
      <w:tblPr>
        <w:tblLayout w:type="fixed"/>
        <w:tblInd w:w="485" w:type="dxa"/>
        <w:tblCellMar>
          <w:top w:w="0" w:type="dxa"/>
          <w:left w:w="0" w:type="dxa"/>
          <w:bottom w:w="0" w:type="dxa"/>
          <w:right w:w="0" w:type="dxa"/>
        </w:tblCellMar>
      </w:tblPr>
      <w:tr>
        <w:trPr>
          <w:trHeight w:val="223"/>
        </w:trPr>
        <w:tc>
          <w:tcPr>
            <w:tcW w:w="3900" w:type="dxa"/>
            <w:vAlign w:val="bottom"/>
          </w:tcPr>
          <w:p>
            <w:pPr>
              <w:jc w:val="center"/>
              <w:ind w:right="302"/>
              <w:spacing w:after="0"/>
              <w:rPr>
                <w:sz w:val="20"/>
                <w:szCs w:val="20"/>
                <w:color w:val="auto"/>
              </w:rPr>
            </w:pPr>
            <w:r>
              <w:rPr>
                <w:rFonts w:ascii="Arial" w:cs="Arial" w:eastAsia="Arial" w:hAnsi="Arial"/>
                <w:sz w:val="17"/>
                <w:szCs w:val="17"/>
                <w:b w:val="1"/>
                <w:bCs w:val="1"/>
                <w:color w:val="auto"/>
              </w:rPr>
              <w:t>UTAH</w:t>
            </w:r>
          </w:p>
        </w:tc>
        <w:tc>
          <w:tcPr>
            <w:tcW w:w="2380" w:type="dxa"/>
            <w:vAlign w:val="bottom"/>
          </w:tcPr>
          <w:p>
            <w:pPr>
              <w:jc w:val="right"/>
              <w:ind w:right="522"/>
              <w:spacing w:after="0"/>
              <w:rPr>
                <w:sz w:val="20"/>
                <w:szCs w:val="20"/>
                <w:color w:val="auto"/>
              </w:rPr>
            </w:pPr>
            <w:r>
              <w:rPr>
                <w:rFonts w:ascii="Arial" w:cs="Arial" w:eastAsia="Arial" w:hAnsi="Arial"/>
                <w:sz w:val="17"/>
                <w:szCs w:val="17"/>
                <w:b w:val="1"/>
                <w:bCs w:val="1"/>
                <w:color w:val="auto"/>
              </w:rPr>
              <w:t>87-0345941</w:t>
            </w:r>
          </w:p>
        </w:tc>
      </w:tr>
      <w:tr>
        <w:trPr>
          <w:trHeight w:val="191"/>
        </w:trPr>
        <w:tc>
          <w:tcPr>
            <w:tcW w:w="3900" w:type="dxa"/>
            <w:vAlign w:val="bottom"/>
          </w:tcPr>
          <w:p>
            <w:pPr>
              <w:jc w:val="center"/>
              <w:ind w:right="282"/>
              <w:spacing w:after="0"/>
              <w:rPr>
                <w:sz w:val="20"/>
                <w:szCs w:val="20"/>
                <w:color w:val="auto"/>
              </w:rPr>
            </w:pPr>
            <w:r>
              <w:rPr>
                <w:rFonts w:ascii="Arial" w:cs="Arial" w:eastAsia="Arial" w:hAnsi="Arial"/>
                <w:sz w:val="14"/>
                <w:szCs w:val="14"/>
                <w:i w:val="1"/>
                <w:iCs w:val="1"/>
                <w:color w:val="auto"/>
                <w:w w:val="94"/>
              </w:rPr>
              <w:t>(State or other jurisdiction of incorporation or organization)</w:t>
            </w:r>
          </w:p>
        </w:tc>
        <w:tc>
          <w:tcPr>
            <w:tcW w:w="2380" w:type="dxa"/>
            <w:vAlign w:val="bottom"/>
          </w:tcPr>
          <w:p>
            <w:pPr>
              <w:jc w:val="center"/>
              <w:ind w:left="282"/>
              <w:spacing w:after="0"/>
              <w:rPr>
                <w:sz w:val="20"/>
                <w:szCs w:val="20"/>
                <w:color w:val="auto"/>
              </w:rPr>
            </w:pPr>
            <w:r>
              <w:rPr>
                <w:rFonts w:ascii="Arial" w:cs="Arial" w:eastAsia="Arial" w:hAnsi="Arial"/>
                <w:sz w:val="14"/>
                <w:szCs w:val="14"/>
                <w:i w:val="1"/>
                <w:iCs w:val="1"/>
                <w:color w:val="auto"/>
                <w:w w:val="93"/>
              </w:rPr>
              <w:t>(I.R.S. Employer Identification No.)</w:t>
            </w:r>
          </w:p>
        </w:tc>
      </w:tr>
      <w:tr>
        <w:trPr>
          <w:trHeight w:val="359"/>
        </w:trPr>
        <w:tc>
          <w:tcPr>
            <w:tcW w:w="3900" w:type="dxa"/>
            <w:vAlign w:val="bottom"/>
          </w:tcPr>
          <w:p>
            <w:pPr>
              <w:jc w:val="center"/>
              <w:ind w:right="282"/>
              <w:spacing w:after="0"/>
              <w:rPr>
                <w:sz w:val="20"/>
                <w:szCs w:val="20"/>
                <w:color w:val="auto"/>
              </w:rPr>
            </w:pPr>
            <w:r>
              <w:rPr>
                <w:rFonts w:ascii="Arial" w:cs="Arial" w:eastAsia="Arial" w:hAnsi="Arial"/>
                <w:sz w:val="17"/>
                <w:szCs w:val="17"/>
                <w:b w:val="1"/>
                <w:bCs w:val="1"/>
                <w:color w:val="auto"/>
                <w:w w:val="91"/>
              </w:rPr>
              <w:t>121 West Election Road, Suite 100, Draper, Utah</w:t>
            </w:r>
          </w:p>
        </w:tc>
        <w:tc>
          <w:tcPr>
            <w:tcW w:w="2380" w:type="dxa"/>
            <w:vAlign w:val="bottom"/>
          </w:tcPr>
          <w:p>
            <w:pPr>
              <w:jc w:val="right"/>
              <w:ind w:right="722"/>
              <w:spacing w:after="0"/>
              <w:rPr>
                <w:sz w:val="20"/>
                <w:szCs w:val="20"/>
                <w:color w:val="auto"/>
              </w:rPr>
            </w:pPr>
            <w:r>
              <w:rPr>
                <w:rFonts w:ascii="Arial" w:cs="Arial" w:eastAsia="Arial" w:hAnsi="Arial"/>
                <w:sz w:val="17"/>
                <w:szCs w:val="17"/>
                <w:b w:val="1"/>
                <w:bCs w:val="1"/>
                <w:color w:val="auto"/>
              </w:rPr>
              <w:t>84020</w:t>
            </w:r>
          </w:p>
        </w:tc>
      </w:tr>
      <w:tr>
        <w:trPr>
          <w:trHeight w:val="191"/>
        </w:trPr>
        <w:tc>
          <w:tcPr>
            <w:tcW w:w="3900" w:type="dxa"/>
            <w:vAlign w:val="bottom"/>
          </w:tcPr>
          <w:p>
            <w:pPr>
              <w:jc w:val="center"/>
              <w:ind w:right="282"/>
              <w:spacing w:after="0"/>
              <w:rPr>
                <w:sz w:val="20"/>
                <w:szCs w:val="20"/>
                <w:color w:val="auto"/>
              </w:rPr>
            </w:pPr>
            <w:r>
              <w:rPr>
                <w:rFonts w:ascii="Arial" w:cs="Arial" w:eastAsia="Arial" w:hAnsi="Arial"/>
                <w:sz w:val="14"/>
                <w:szCs w:val="14"/>
                <w:i w:val="1"/>
                <w:iCs w:val="1"/>
                <w:color w:val="auto"/>
                <w:w w:val="90"/>
              </w:rPr>
              <w:t>(Address of principal executive offices)</w:t>
            </w:r>
          </w:p>
        </w:tc>
        <w:tc>
          <w:tcPr>
            <w:tcW w:w="2380" w:type="dxa"/>
            <w:vAlign w:val="bottom"/>
          </w:tcPr>
          <w:p>
            <w:pPr>
              <w:jc w:val="center"/>
              <w:ind w:left="282"/>
              <w:spacing w:after="0"/>
              <w:rPr>
                <w:sz w:val="20"/>
                <w:szCs w:val="20"/>
                <w:color w:val="auto"/>
              </w:rPr>
            </w:pPr>
            <w:r>
              <w:rPr>
                <w:rFonts w:ascii="Arial" w:cs="Arial" w:eastAsia="Arial" w:hAnsi="Arial"/>
                <w:sz w:val="14"/>
                <w:szCs w:val="14"/>
                <w:i w:val="1"/>
                <w:iCs w:val="1"/>
                <w:color w:val="auto"/>
                <w:w w:val="93"/>
              </w:rPr>
              <w:t>(Zip Code)</w:t>
            </w:r>
          </w:p>
        </w:tc>
      </w:tr>
    </w:tbl>
    <w:p>
      <w:pPr>
        <w:spacing w:after="0" w:line="136" w:lineRule="exact"/>
        <w:rPr>
          <w:sz w:val="24"/>
          <w:szCs w:val="24"/>
          <w:color w:val="auto"/>
        </w:rPr>
      </w:pPr>
    </w:p>
    <w:p>
      <w:pPr>
        <w:jc w:val="center"/>
        <w:ind w:right="2155"/>
        <w:spacing w:after="0"/>
        <w:rPr>
          <w:sz w:val="20"/>
          <w:szCs w:val="20"/>
          <w:color w:val="auto"/>
        </w:rPr>
      </w:pPr>
      <w:r>
        <w:rPr>
          <w:rFonts w:ascii="Arial" w:cs="Arial" w:eastAsia="Arial" w:hAnsi="Arial"/>
          <w:sz w:val="17"/>
          <w:szCs w:val="17"/>
          <w:b w:val="1"/>
          <w:bCs w:val="1"/>
          <w:color w:val="auto"/>
        </w:rPr>
        <w:t>(801) 264-1060</w:t>
      </w:r>
    </w:p>
    <w:p>
      <w:pPr>
        <w:spacing w:after="0" w:line="27" w:lineRule="exact"/>
        <w:rPr>
          <w:sz w:val="24"/>
          <w:szCs w:val="24"/>
          <w:color w:val="auto"/>
        </w:rPr>
      </w:pPr>
    </w:p>
    <w:p>
      <w:pPr>
        <w:ind w:left="2085"/>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107" w:lineRule="exact"/>
        <w:rPr>
          <w:sz w:val="24"/>
          <w:szCs w:val="24"/>
          <w:color w:val="auto"/>
        </w:rPr>
      </w:pPr>
    </w:p>
    <w:p>
      <w:pPr>
        <w:ind w:left="1905"/>
        <w:spacing w:after="0"/>
        <w:rPr>
          <w:sz w:val="20"/>
          <w:szCs w:val="20"/>
          <w:color w:val="auto"/>
        </w:rPr>
      </w:pPr>
      <w:r>
        <w:rPr>
          <w:rFonts w:ascii="Arial" w:cs="Arial" w:eastAsia="Arial" w:hAnsi="Arial"/>
          <w:sz w:val="17"/>
          <w:szCs w:val="17"/>
          <w:b w:val="1"/>
          <w:bCs w:val="1"/>
          <w:color w:val="auto"/>
        </w:rPr>
        <w:t>Securities registered pursuant to Section 12(b) of the Act:</w:t>
      </w:r>
    </w:p>
    <w:p>
      <w:pPr>
        <w:sectPr>
          <w:pgSz w:w="11900" w:h="16838" w:orient="portrait"/>
          <w:cols w:equalWidth="0" w:num="1">
            <w:col w:w="9304"/>
          </w:cols>
          <w:pgMar w:left="1155" w:top="205" w:right="1440" w:bottom="1440" w:gutter="0" w:footer="0" w:header="0"/>
        </w:sectPr>
      </w:pPr>
    </w:p>
    <w:p>
      <w:pPr>
        <w:spacing w:after="0" w:line="214" w:lineRule="exact"/>
        <w:rPr>
          <w:sz w:val="24"/>
          <w:szCs w:val="24"/>
          <w:color w:val="auto"/>
        </w:rPr>
      </w:pPr>
    </w:p>
    <w:p>
      <w:pPr>
        <w:ind w:left="485"/>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Trading symbol</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exchange on which registered</w:t>
      </w:r>
    </w:p>
    <w:p>
      <w:pPr>
        <w:spacing w:after="0" w:line="62" w:lineRule="exact"/>
        <w:rPr>
          <w:sz w:val="24"/>
          <w:szCs w:val="24"/>
          <w:color w:val="auto"/>
        </w:rPr>
      </w:pPr>
    </w:p>
    <w:p>
      <w:pPr>
        <w:sectPr>
          <w:pgSz w:w="11900" w:h="16838" w:orient="portrait"/>
          <w:cols w:equalWidth="0" w:num="3">
            <w:col w:w="2125" w:space="720"/>
            <w:col w:w="1160" w:space="580"/>
            <w:col w:w="4719"/>
          </w:cols>
          <w:pgMar w:left="1155" w:top="205" w:right="1440" w:bottom="1440" w:gutter="0" w:footer="0" w:header="0"/>
          <w:type w:val="continuous"/>
        </w:sectPr>
      </w:pPr>
    </w:p>
    <w:p>
      <w:pPr>
        <w:ind w:left="445"/>
        <w:spacing w:after="0"/>
        <w:rPr>
          <w:sz w:val="20"/>
          <w:szCs w:val="20"/>
          <w:color w:val="auto"/>
        </w:rPr>
      </w:pPr>
      <w:r>
        <w:rPr>
          <w:rFonts w:ascii="Arial" w:cs="Arial" w:eastAsia="Arial" w:hAnsi="Arial"/>
          <w:sz w:val="12"/>
          <w:szCs w:val="12"/>
          <w:color w:val="auto"/>
        </w:rPr>
        <w:t>Class A Common Stock</w:t>
      </w:r>
    </w:p>
    <w:p>
      <w:pPr>
        <w:spacing w:after="0" w:line="20" w:lineRule="exact"/>
        <w:rPr>
          <w:sz w:val="24"/>
          <w:szCs w:val="24"/>
          <w:color w:val="auto"/>
        </w:rPr>
      </w:pPr>
      <w:r>
        <w:rPr>
          <w:sz w:val="24"/>
          <w:szCs w:val="24"/>
          <w:color w:val="auto"/>
        </w:rPr>
        <w:br w:type="column"/>
      </w:r>
    </w:p>
    <w:p>
      <w:pPr>
        <w:jc w:val="center"/>
        <w:ind w:right="680"/>
        <w:spacing w:after="0"/>
        <w:rPr>
          <w:sz w:val="20"/>
          <w:szCs w:val="20"/>
          <w:color w:val="auto"/>
        </w:rPr>
      </w:pPr>
      <w:r>
        <w:rPr>
          <w:rFonts w:ascii="Arial" w:cs="Arial" w:eastAsia="Arial" w:hAnsi="Arial"/>
          <w:sz w:val="12"/>
          <w:szCs w:val="12"/>
          <w:color w:val="auto"/>
        </w:rPr>
        <w:t>SNFCA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The Nasdaq Global Select Market</w:t>
      </w:r>
    </w:p>
    <w:p>
      <w:pPr>
        <w:spacing w:after="0" w:line="200" w:lineRule="exact"/>
        <w:rPr>
          <w:sz w:val="24"/>
          <w:szCs w:val="24"/>
          <w:color w:val="auto"/>
        </w:rPr>
      </w:pPr>
    </w:p>
    <w:p>
      <w:pPr>
        <w:sectPr>
          <w:pgSz w:w="11900" w:h="16838" w:orient="portrait"/>
          <w:cols w:equalWidth="0" w:num="3">
            <w:col w:w="2485" w:space="720"/>
            <w:col w:w="1120" w:space="720"/>
            <w:col w:w="4259"/>
          </w:cols>
          <w:pgMar w:left="1155" w:top="205" w:right="1440" w:bottom="1440" w:gutter="0" w:footer="0" w:header="0"/>
          <w:type w:val="continuous"/>
        </w:sectPr>
      </w:pPr>
    </w:p>
    <w:p>
      <w:pPr>
        <w:spacing w:after="0" w:line="48" w:lineRule="exact"/>
        <w:rPr>
          <w:sz w:val="24"/>
          <w:szCs w:val="24"/>
          <w:color w:val="auto"/>
        </w:rPr>
      </w:pPr>
    </w:p>
    <w:p>
      <w:pPr>
        <w:jc w:val="both"/>
        <w:ind w:left="5" w:right="1299" w:firstLine="351"/>
        <w:spacing w:after="0" w:line="26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7025"/>
        <w:spacing w:after="0"/>
        <w:rPr>
          <w:sz w:val="20"/>
          <w:szCs w:val="20"/>
          <w:color w:val="auto"/>
        </w:rPr>
      </w:pPr>
      <w:r>
        <w:rPr>
          <w:rFonts w:ascii="Arial" w:cs="Arial" w:eastAsia="Arial" w:hAnsi="Arial"/>
          <w:sz w:val="14"/>
          <w:szCs w:val="14"/>
          <w:color w:val="auto"/>
        </w:rPr>
        <w:t>Yes [X] No [ ]</w:t>
      </w:r>
    </w:p>
    <w:p>
      <w:pPr>
        <w:spacing w:after="0" w:line="186" w:lineRule="exact"/>
        <w:rPr>
          <w:sz w:val="24"/>
          <w:szCs w:val="24"/>
          <w:color w:val="auto"/>
        </w:rPr>
      </w:pPr>
    </w:p>
    <w:p>
      <w:pPr>
        <w:jc w:val="both"/>
        <w:ind w:left="5" w:right="1319" w:firstLine="351"/>
        <w:spacing w:after="0" w:line="26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7025"/>
        <w:spacing w:after="0"/>
        <w:rPr>
          <w:sz w:val="20"/>
          <w:szCs w:val="20"/>
          <w:color w:val="auto"/>
        </w:rPr>
      </w:pPr>
      <w:r>
        <w:rPr>
          <w:rFonts w:ascii="Arial" w:cs="Arial" w:eastAsia="Arial" w:hAnsi="Arial"/>
          <w:sz w:val="14"/>
          <w:szCs w:val="14"/>
          <w:color w:val="auto"/>
        </w:rPr>
        <w:t>Yes [X] No [ ]</w:t>
      </w:r>
    </w:p>
    <w:p>
      <w:pPr>
        <w:spacing w:after="0" w:line="186" w:lineRule="exact"/>
        <w:rPr>
          <w:sz w:val="24"/>
          <w:szCs w:val="24"/>
          <w:color w:val="auto"/>
        </w:rPr>
      </w:pPr>
    </w:p>
    <w:p>
      <w:pPr>
        <w:jc w:val="both"/>
        <w:ind w:left="5" w:right="1319" w:firstLine="351"/>
        <w:spacing w:after="0" w:line="27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304"/>
          </w:cols>
          <w:pgMar w:left="1155" w:top="205" w:right="1440" w:bottom="1440" w:gutter="0" w:footer="0" w:header="0"/>
          <w:type w:val="continuous"/>
        </w:sectPr>
      </w:pPr>
    </w:p>
    <w:p>
      <w:pPr>
        <w:spacing w:after="0" w:line="150" w:lineRule="exact"/>
        <w:rPr>
          <w:sz w:val="24"/>
          <w:szCs w:val="24"/>
          <w:color w:val="auto"/>
        </w:rPr>
      </w:pPr>
    </w:p>
    <w:p>
      <w:pPr>
        <w:ind w:left="565"/>
        <w:spacing w:after="0"/>
        <w:rPr>
          <w:sz w:val="20"/>
          <w:szCs w:val="20"/>
          <w:color w:val="auto"/>
        </w:rPr>
      </w:pPr>
      <w:r>
        <w:rPr>
          <w:rFonts w:ascii="Arial" w:cs="Arial" w:eastAsia="Arial" w:hAnsi="Arial"/>
          <w:sz w:val="14"/>
          <w:szCs w:val="14"/>
          <w:color w:val="auto"/>
        </w:rPr>
        <w:t>Large accelerated filer [ ]</w:t>
      </w:r>
    </w:p>
    <w:p>
      <w:pPr>
        <w:spacing w:after="0" w:line="18" w:lineRule="exact"/>
        <w:rPr>
          <w:sz w:val="24"/>
          <w:szCs w:val="24"/>
          <w:color w:val="auto"/>
        </w:rPr>
      </w:pPr>
    </w:p>
    <w:p>
      <w:pPr>
        <w:ind w:left="565"/>
        <w:spacing w:after="0"/>
        <w:rPr>
          <w:sz w:val="20"/>
          <w:szCs w:val="20"/>
          <w:color w:val="auto"/>
        </w:rPr>
      </w:pPr>
      <w:r>
        <w:rPr>
          <w:rFonts w:ascii="Arial" w:cs="Arial" w:eastAsia="Arial" w:hAnsi="Arial"/>
          <w:sz w:val="13"/>
          <w:szCs w:val="13"/>
          <w:color w:val="auto"/>
        </w:rPr>
        <w:t>Non-accelerated filer [ ] (Do not check if a smaller reporting company)</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 [ ]</w:t>
      </w:r>
    </w:p>
    <w:p>
      <w:pPr>
        <w:spacing w:after="0" w:line="18"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 [X]</w:t>
      </w:r>
    </w:p>
    <w:p>
      <w:pPr>
        <w:spacing w:after="0" w:line="26"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 [ ]</w:t>
      </w:r>
    </w:p>
    <w:p>
      <w:pPr>
        <w:spacing w:after="0" w:line="198" w:lineRule="exact"/>
        <w:rPr>
          <w:sz w:val="24"/>
          <w:szCs w:val="24"/>
          <w:color w:val="auto"/>
        </w:rPr>
      </w:pPr>
    </w:p>
    <w:p>
      <w:pPr>
        <w:sectPr>
          <w:pgSz w:w="11900" w:h="16838" w:orient="portrait"/>
          <w:cols w:equalWidth="0" w:num="2">
            <w:col w:w="4885" w:space="720"/>
            <w:col w:w="3699"/>
          </w:cols>
          <w:pgMar w:left="1155" w:top="205" w:right="1440" w:bottom="1440" w:gutter="0" w:footer="0" w:header="0"/>
          <w:type w:val="continuous"/>
        </w:sectPr>
      </w:pPr>
    </w:p>
    <w:p>
      <w:pPr>
        <w:ind w:left="5" w:right="1319" w:firstLine="351"/>
        <w:spacing w:after="0" w:line="329" w:lineRule="auto"/>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16" w:lineRule="exact"/>
        <w:rPr>
          <w:sz w:val="24"/>
          <w:szCs w:val="24"/>
          <w:color w:val="auto"/>
        </w:rPr>
      </w:pPr>
    </w:p>
    <w:p>
      <w:pPr>
        <w:ind w:left="345"/>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18" w:lineRule="exact"/>
        <w:rPr>
          <w:sz w:val="24"/>
          <w:szCs w:val="24"/>
          <w:color w:val="auto"/>
        </w:rPr>
      </w:pPr>
    </w:p>
    <w:p>
      <w:pPr>
        <w:ind w:left="7045"/>
        <w:spacing w:after="0"/>
        <w:rPr>
          <w:sz w:val="20"/>
          <w:szCs w:val="20"/>
          <w:color w:val="auto"/>
        </w:rPr>
      </w:pPr>
      <w:r>
        <w:rPr>
          <w:rFonts w:ascii="Arial" w:cs="Arial" w:eastAsia="Arial" w:hAnsi="Arial"/>
          <w:sz w:val="14"/>
          <w:szCs w:val="14"/>
          <w:color w:val="auto"/>
        </w:rPr>
        <w:t>Yes [ ] No[X]</w:t>
      </w:r>
    </w:p>
    <w:p>
      <w:pPr>
        <w:spacing w:after="0" w:line="362" w:lineRule="exact"/>
        <w:rPr>
          <w:sz w:val="24"/>
          <w:szCs w:val="24"/>
          <w:color w:val="auto"/>
        </w:rPr>
      </w:pPr>
    </w:p>
    <w:p>
      <w:pPr>
        <w:ind w:left="5" w:right="1299" w:firstLine="351"/>
        <w:spacing w:after="0" w:line="288" w:lineRule="auto"/>
        <w:rPr>
          <w:sz w:val="20"/>
          <w:szCs w:val="20"/>
          <w:color w:val="auto"/>
        </w:rPr>
      </w:pPr>
      <w:r>
        <w:rPr>
          <w:rFonts w:ascii="Arial" w:cs="Arial" w:eastAsia="Arial" w:hAnsi="Arial"/>
          <w:sz w:val="14"/>
          <w:szCs w:val="14"/>
          <w:color w:val="auto"/>
        </w:rPr>
        <w:t>As of May 15, 2020, the registrant had 16,142,513 shares of Class A Common Stock, $2.00 par value, outstanding and 2,489,215 shares of Class C Common Stock, $2.00 par value, outstanding.</w:t>
      </w:r>
    </w:p>
    <w:p>
      <w:pPr>
        <w:spacing w:after="0" w:line="133" w:lineRule="exact"/>
        <w:rPr>
          <w:sz w:val="24"/>
          <w:szCs w:val="24"/>
          <w:color w:val="auto"/>
        </w:rPr>
      </w:pPr>
    </w:p>
    <w:p>
      <w:pPr>
        <w:ind w:left="5"/>
        <w:spacing w:after="0"/>
        <w:rPr>
          <w:sz w:val="20"/>
          <w:szCs w:val="20"/>
          <w:color w:val="auto"/>
        </w:rPr>
      </w:pP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49898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89830" cy="29845"/>
                    </a:xfrm>
                    <a:prstGeom prst="rect">
                      <a:avLst/>
                    </a:prstGeom>
                    <a:noFill/>
                  </pic:spPr>
                </pic:pic>
              </a:graphicData>
            </a:graphic>
          </wp:anchor>
        </w:drawing>
      </w:r>
    </w:p>
    <w:p>
      <w:pPr>
        <w:sectPr>
          <w:pgSz w:w="11900" w:h="16838" w:orient="portrait"/>
          <w:cols w:equalWidth="0" w:num="1">
            <w:col w:w="9304"/>
          </w:cols>
          <w:pgMar w:left="1155" w:top="205" w:right="1440" w:bottom="1440" w:gutter="0" w:footer="0" w:header="0"/>
          <w:type w:val="continuous"/>
        </w:sectPr>
      </w:pPr>
    </w:p>
    <w:bookmarkStart w:id="1" w:name="page2"/>
    <w:bookmarkEnd w:id="1"/>
    <w:p>
      <w:pPr>
        <w:jc w:val="center"/>
        <w:ind w:right="1459"/>
        <w:spacing w:after="0"/>
        <w:rPr>
          <w:sz w:val="20"/>
          <w:szCs w:val="20"/>
          <w:color w:val="auto"/>
        </w:rPr>
      </w:pPr>
      <w:r>
        <w:rPr>
          <w:rFonts w:ascii="Arial" w:cs="Arial" w:eastAsia="Arial" w:hAnsi="Arial"/>
          <w:sz w:val="17"/>
          <w:szCs w:val="17"/>
          <w:b w:val="1"/>
          <w:bCs w:val="1"/>
          <w:color w:val="auto"/>
        </w:rPr>
        <w:t>SECURITY NATIONAL FINANCIAL CORPORATION AND SUBSIDIARIES</w:t>
      </w:r>
    </w:p>
    <w:p>
      <w:pPr>
        <w:spacing w:after="0" w:line="23" w:lineRule="exact"/>
        <w:rPr>
          <w:sz w:val="20"/>
          <w:szCs w:val="20"/>
          <w:color w:val="auto"/>
        </w:rPr>
      </w:pPr>
    </w:p>
    <w:p>
      <w:pPr>
        <w:jc w:val="center"/>
        <w:ind w:right="1459"/>
        <w:spacing w:after="0"/>
        <w:rPr>
          <w:sz w:val="20"/>
          <w:szCs w:val="20"/>
          <w:color w:val="auto"/>
        </w:rPr>
      </w:pPr>
      <w:r>
        <w:rPr>
          <w:rFonts w:ascii="Arial" w:cs="Arial" w:eastAsia="Arial" w:hAnsi="Arial"/>
          <w:sz w:val="17"/>
          <w:szCs w:val="17"/>
          <w:b w:val="1"/>
          <w:bCs w:val="1"/>
          <w:color w:val="auto"/>
        </w:rPr>
        <w:t>FORM 10-Q</w:t>
      </w:r>
    </w:p>
    <w:p>
      <w:pPr>
        <w:spacing w:after="0" w:line="113" w:lineRule="exact"/>
        <w:rPr>
          <w:sz w:val="20"/>
          <w:szCs w:val="20"/>
          <w:color w:val="auto"/>
        </w:rPr>
      </w:pPr>
    </w:p>
    <w:p>
      <w:pPr>
        <w:jc w:val="center"/>
        <w:ind w:right="1459"/>
        <w:spacing w:after="0"/>
        <w:rPr>
          <w:sz w:val="20"/>
          <w:szCs w:val="20"/>
          <w:color w:val="auto"/>
        </w:rPr>
      </w:pPr>
      <w:r>
        <w:rPr>
          <w:rFonts w:ascii="Arial" w:cs="Arial" w:eastAsia="Arial" w:hAnsi="Arial"/>
          <w:sz w:val="12"/>
          <w:szCs w:val="12"/>
          <w:b w:val="1"/>
          <w:bCs w:val="1"/>
          <w:color w:val="auto"/>
        </w:rPr>
        <w:t>QUARTER ENDED MARCH 31, 2020</w:t>
      </w:r>
    </w:p>
    <w:p>
      <w:pPr>
        <w:spacing w:after="0" w:line="118" w:lineRule="exact"/>
        <w:rPr>
          <w:sz w:val="20"/>
          <w:szCs w:val="20"/>
          <w:color w:val="auto"/>
        </w:rPr>
      </w:pPr>
    </w:p>
    <w:p>
      <w:pPr>
        <w:ind w:left="3280"/>
        <w:spacing w:after="0"/>
        <w:rPr>
          <w:sz w:val="20"/>
          <w:szCs w:val="20"/>
          <w:color w:val="auto"/>
        </w:rPr>
      </w:pPr>
      <w:r>
        <w:rPr>
          <w:rFonts w:ascii="Arial" w:cs="Arial" w:eastAsia="Arial" w:hAnsi="Arial"/>
          <w:sz w:val="17"/>
          <w:szCs w:val="17"/>
          <w:b w:val="1"/>
          <w:bCs w:val="1"/>
          <w:color w:val="auto"/>
        </w:rPr>
        <w:t>Table of Contents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6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1100" w:type="dxa"/>
            <w:vAlign w:val="bottom"/>
            <w:gridSpan w:val="3"/>
          </w:tcPr>
          <w:p>
            <w:pPr>
              <w:ind w:left="100"/>
              <w:spacing w:after="0"/>
              <w:rPr>
                <w:sz w:val="20"/>
                <w:szCs w:val="20"/>
                <w:color w:val="auto"/>
              </w:rPr>
            </w:pPr>
            <w:r>
              <w:rPr>
                <w:rFonts w:ascii="Arial" w:cs="Arial" w:eastAsia="Arial" w:hAnsi="Arial"/>
                <w:sz w:val="17"/>
                <w:szCs w:val="17"/>
                <w:color w:val="auto"/>
              </w:rPr>
              <w:t>Page No.</w:t>
            </w:r>
          </w:p>
        </w:tc>
      </w:tr>
      <w:tr>
        <w:trPr>
          <w:trHeight w:val="346"/>
        </w:trPr>
        <w:tc>
          <w:tcPr>
            <w:tcW w:w="660" w:type="dxa"/>
            <w:vAlign w:val="bottom"/>
          </w:tcPr>
          <w:p>
            <w:pPr>
              <w:spacing w:after="0"/>
              <w:rPr>
                <w:sz w:val="24"/>
                <w:szCs w:val="24"/>
                <w:color w:val="auto"/>
              </w:rPr>
            </w:pPr>
          </w:p>
        </w:tc>
        <w:tc>
          <w:tcPr>
            <w:tcW w:w="6100" w:type="dxa"/>
            <w:vAlign w:val="bottom"/>
          </w:tcPr>
          <w:p>
            <w:pPr>
              <w:ind w:left="2000"/>
              <w:spacing w:after="0"/>
              <w:rPr>
                <w:sz w:val="20"/>
                <w:szCs w:val="20"/>
                <w:color w:val="auto"/>
              </w:rPr>
            </w:pPr>
            <w:r>
              <w:rPr>
                <w:rFonts w:ascii="Arial" w:cs="Arial" w:eastAsia="Arial" w:hAnsi="Arial"/>
                <w:sz w:val="17"/>
                <w:szCs w:val="17"/>
                <w:b w:val="1"/>
                <w:bCs w:val="1"/>
                <w:color w:val="auto"/>
              </w:rPr>
              <w:t>Part I - Financial Information</w:t>
            </w:r>
          </w:p>
        </w:tc>
        <w:tc>
          <w:tcPr>
            <w:tcW w:w="1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r>
      <w:tr>
        <w:trPr>
          <w:trHeight w:val="351"/>
        </w:trPr>
        <w:tc>
          <w:tcPr>
            <w:tcW w:w="660" w:type="dxa"/>
            <w:vAlign w:val="bottom"/>
          </w:tcPr>
          <w:p>
            <w:pPr>
              <w:spacing w:after="0"/>
              <w:rPr>
                <w:sz w:val="20"/>
                <w:szCs w:val="20"/>
                <w:color w:val="auto"/>
              </w:rPr>
            </w:pPr>
            <w:r>
              <w:rPr>
                <w:rFonts w:ascii="Arial" w:cs="Arial" w:eastAsia="Arial" w:hAnsi="Arial"/>
                <w:sz w:val="17"/>
                <w:szCs w:val="17"/>
                <w:color w:val="auto"/>
              </w:rPr>
              <w:t>Item 1.</w:t>
            </w:r>
          </w:p>
        </w:tc>
        <w:tc>
          <w:tcPr>
            <w:tcW w:w="6100" w:type="dxa"/>
            <w:vAlign w:val="bottom"/>
          </w:tcPr>
          <w:p>
            <w:pPr>
              <w:ind w:left="60"/>
              <w:spacing w:after="0"/>
              <w:rPr>
                <w:sz w:val="20"/>
                <w:szCs w:val="20"/>
                <w:color w:val="auto"/>
              </w:rPr>
            </w:pPr>
            <w:r>
              <w:rPr>
                <w:rFonts w:ascii="Arial" w:cs="Arial" w:eastAsia="Arial" w:hAnsi="Arial"/>
                <w:sz w:val="17"/>
                <w:szCs w:val="17"/>
                <w:color w:val="auto"/>
              </w:rPr>
              <w:t>Financial Statements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63"/>
        </w:trPr>
        <w:tc>
          <w:tcPr>
            <w:tcW w:w="660" w:type="dxa"/>
            <w:vAlign w:val="bottom"/>
          </w:tcPr>
          <w:p>
            <w:pPr>
              <w:spacing w:after="0"/>
              <w:rPr>
                <w:sz w:val="22"/>
                <w:szCs w:val="22"/>
                <w:color w:val="auto"/>
              </w:rPr>
            </w:pPr>
          </w:p>
        </w:tc>
        <w:tc>
          <w:tcPr>
            <w:tcW w:w="6100" w:type="dxa"/>
            <w:vAlign w:val="bottom"/>
          </w:tcPr>
          <w:p>
            <w:pPr>
              <w:ind w:left="60"/>
              <w:spacing w:after="0"/>
              <w:rPr>
                <w:sz w:val="20"/>
                <w:szCs w:val="20"/>
                <w:color w:val="auto"/>
              </w:rPr>
            </w:pPr>
            <w:r>
              <w:rPr>
                <w:rFonts w:ascii="Arial" w:cs="Arial" w:eastAsia="Arial" w:hAnsi="Arial"/>
                <w:sz w:val="17"/>
                <w:szCs w:val="17"/>
                <w:color w:val="auto"/>
                <w:w w:val="99"/>
              </w:rPr>
              <w:t>Condensed Consolidated Balance Sheets as of March 31, 2020 (unaudited) and</w:t>
            </w:r>
          </w:p>
        </w:tc>
        <w:tc>
          <w:tcPr>
            <w:tcW w:w="740" w:type="dxa"/>
            <w:vAlign w:val="bottom"/>
            <w:gridSpan w:val="2"/>
          </w:tcPr>
          <w:p>
            <w:pPr>
              <w:jc w:val="center"/>
              <w:ind w:left="94"/>
              <w:spacing w:after="0"/>
              <w:rPr>
                <w:sz w:val="20"/>
                <w:szCs w:val="20"/>
                <w:color w:val="auto"/>
              </w:rPr>
            </w:pPr>
            <w:r>
              <w:rPr>
                <w:rFonts w:ascii="Arial" w:cs="Arial" w:eastAsia="Arial" w:hAnsi="Arial"/>
                <w:sz w:val="17"/>
                <w:szCs w:val="17"/>
                <w:color w:val="auto"/>
                <w:w w:val="97"/>
              </w:rPr>
              <w:t>3-4</w:t>
            </w:r>
          </w:p>
        </w:tc>
        <w:tc>
          <w:tcPr>
            <w:tcW w:w="360" w:type="dxa"/>
            <w:vAlign w:val="bottom"/>
          </w:tcPr>
          <w:p>
            <w:pPr>
              <w:spacing w:after="0"/>
              <w:rPr>
                <w:sz w:val="22"/>
                <w:szCs w:val="22"/>
                <w:color w:val="auto"/>
              </w:rPr>
            </w:pPr>
          </w:p>
        </w:tc>
      </w:tr>
      <w:tr>
        <w:trPr>
          <w:trHeight w:val="217"/>
        </w:trPr>
        <w:tc>
          <w:tcPr>
            <w:tcW w:w="660" w:type="dxa"/>
            <w:vAlign w:val="bottom"/>
          </w:tcPr>
          <w:p>
            <w:pPr>
              <w:spacing w:after="0"/>
              <w:rPr>
                <w:sz w:val="18"/>
                <w:szCs w:val="18"/>
                <w:color w:val="auto"/>
              </w:rPr>
            </w:pPr>
          </w:p>
        </w:tc>
        <w:tc>
          <w:tcPr>
            <w:tcW w:w="6100" w:type="dxa"/>
            <w:vAlign w:val="bottom"/>
          </w:tcPr>
          <w:p>
            <w:pPr>
              <w:ind w:left="60"/>
              <w:spacing w:after="0"/>
              <w:rPr>
                <w:sz w:val="20"/>
                <w:szCs w:val="20"/>
                <w:color w:val="auto"/>
              </w:rPr>
            </w:pPr>
            <w:r>
              <w:rPr>
                <w:rFonts w:ascii="Arial" w:cs="Arial" w:eastAsia="Arial" w:hAnsi="Arial"/>
                <w:sz w:val="17"/>
                <w:szCs w:val="17"/>
                <w:color w:val="auto"/>
              </w:rPr>
              <w:t>December 31, 2019</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333"/>
        </w:trPr>
        <w:tc>
          <w:tcPr>
            <w:tcW w:w="660" w:type="dxa"/>
            <w:vAlign w:val="bottom"/>
          </w:tcPr>
          <w:p>
            <w:pPr>
              <w:spacing w:after="0"/>
              <w:rPr>
                <w:sz w:val="24"/>
                <w:szCs w:val="24"/>
                <w:color w:val="auto"/>
              </w:rPr>
            </w:pPr>
          </w:p>
        </w:tc>
        <w:tc>
          <w:tcPr>
            <w:tcW w:w="6100" w:type="dxa"/>
            <w:vAlign w:val="bottom"/>
          </w:tcPr>
          <w:p>
            <w:pPr>
              <w:ind w:left="60"/>
              <w:spacing w:after="0"/>
              <w:rPr>
                <w:sz w:val="20"/>
                <w:szCs w:val="20"/>
                <w:color w:val="auto"/>
              </w:rPr>
            </w:pPr>
            <w:r>
              <w:rPr>
                <w:rFonts w:ascii="Arial" w:cs="Arial" w:eastAsia="Arial" w:hAnsi="Arial"/>
                <w:sz w:val="17"/>
                <w:szCs w:val="17"/>
                <w:color w:val="auto"/>
              </w:rPr>
              <w:t>Condensed Consolidated Statements of Earnings for the three months</w:t>
            </w:r>
          </w:p>
        </w:tc>
        <w:tc>
          <w:tcPr>
            <w:tcW w:w="740" w:type="dxa"/>
            <w:vAlign w:val="bottom"/>
            <w:gridSpan w:val="2"/>
          </w:tcPr>
          <w:p>
            <w:pPr>
              <w:jc w:val="center"/>
              <w:ind w:left="94"/>
              <w:spacing w:after="0"/>
              <w:rPr>
                <w:sz w:val="20"/>
                <w:szCs w:val="20"/>
                <w:color w:val="auto"/>
              </w:rPr>
            </w:pPr>
            <w:r>
              <w:rPr>
                <w:rFonts w:ascii="Arial" w:cs="Arial" w:eastAsia="Arial" w:hAnsi="Arial"/>
                <w:sz w:val="17"/>
                <w:szCs w:val="17"/>
                <w:color w:val="auto"/>
                <w:w w:val="84"/>
              </w:rPr>
              <w:t>5</w:t>
            </w:r>
          </w:p>
        </w:tc>
        <w:tc>
          <w:tcPr>
            <w:tcW w:w="360" w:type="dxa"/>
            <w:vAlign w:val="bottom"/>
          </w:tcPr>
          <w:p>
            <w:pPr>
              <w:spacing w:after="0"/>
              <w:rPr>
                <w:sz w:val="24"/>
                <w:szCs w:val="24"/>
                <w:color w:val="auto"/>
              </w:rPr>
            </w:pPr>
          </w:p>
        </w:tc>
      </w:tr>
      <w:tr>
        <w:trPr>
          <w:trHeight w:val="217"/>
        </w:trPr>
        <w:tc>
          <w:tcPr>
            <w:tcW w:w="660" w:type="dxa"/>
            <w:vAlign w:val="bottom"/>
          </w:tcPr>
          <w:p>
            <w:pPr>
              <w:spacing w:after="0"/>
              <w:rPr>
                <w:sz w:val="18"/>
                <w:szCs w:val="18"/>
                <w:color w:val="auto"/>
              </w:rPr>
            </w:pPr>
          </w:p>
        </w:tc>
        <w:tc>
          <w:tcPr>
            <w:tcW w:w="6100" w:type="dxa"/>
            <w:vAlign w:val="bottom"/>
          </w:tcPr>
          <w:p>
            <w:pPr>
              <w:ind w:left="60"/>
              <w:spacing w:after="0"/>
              <w:rPr>
                <w:sz w:val="20"/>
                <w:szCs w:val="20"/>
                <w:color w:val="auto"/>
              </w:rPr>
            </w:pPr>
            <w:r>
              <w:rPr>
                <w:rFonts w:ascii="Arial" w:cs="Arial" w:eastAsia="Arial" w:hAnsi="Arial"/>
                <w:sz w:val="17"/>
                <w:szCs w:val="17"/>
                <w:color w:val="auto"/>
              </w:rPr>
              <w:t>ended March 31, 2020 and 2019 (unaudited)</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333"/>
        </w:trPr>
        <w:tc>
          <w:tcPr>
            <w:tcW w:w="660" w:type="dxa"/>
            <w:vAlign w:val="bottom"/>
          </w:tcPr>
          <w:p>
            <w:pPr>
              <w:spacing w:after="0"/>
              <w:rPr>
                <w:sz w:val="24"/>
                <w:szCs w:val="24"/>
                <w:color w:val="auto"/>
              </w:rPr>
            </w:pPr>
          </w:p>
        </w:tc>
        <w:tc>
          <w:tcPr>
            <w:tcW w:w="6100" w:type="dxa"/>
            <w:vAlign w:val="bottom"/>
          </w:tcPr>
          <w:p>
            <w:pPr>
              <w:ind w:left="60"/>
              <w:spacing w:after="0"/>
              <w:rPr>
                <w:sz w:val="20"/>
                <w:szCs w:val="20"/>
                <w:color w:val="auto"/>
              </w:rPr>
            </w:pPr>
            <w:r>
              <w:rPr>
                <w:rFonts w:ascii="Arial" w:cs="Arial" w:eastAsia="Arial" w:hAnsi="Arial"/>
                <w:sz w:val="17"/>
                <w:szCs w:val="17"/>
                <w:color w:val="auto"/>
                <w:w w:val="93"/>
              </w:rPr>
              <w:t>Condensed Consolidated Statements of Comprehensive Income for the three months</w:t>
            </w:r>
          </w:p>
        </w:tc>
        <w:tc>
          <w:tcPr>
            <w:tcW w:w="740" w:type="dxa"/>
            <w:vAlign w:val="bottom"/>
            <w:gridSpan w:val="2"/>
          </w:tcPr>
          <w:p>
            <w:pPr>
              <w:jc w:val="center"/>
              <w:ind w:left="94"/>
              <w:spacing w:after="0"/>
              <w:rPr>
                <w:sz w:val="20"/>
                <w:szCs w:val="20"/>
                <w:color w:val="auto"/>
              </w:rPr>
            </w:pPr>
            <w:r>
              <w:rPr>
                <w:rFonts w:ascii="Arial" w:cs="Arial" w:eastAsia="Arial" w:hAnsi="Arial"/>
                <w:sz w:val="17"/>
                <w:szCs w:val="17"/>
                <w:color w:val="auto"/>
                <w:w w:val="84"/>
              </w:rPr>
              <w:t>6</w:t>
            </w:r>
          </w:p>
        </w:tc>
        <w:tc>
          <w:tcPr>
            <w:tcW w:w="360" w:type="dxa"/>
            <w:vAlign w:val="bottom"/>
          </w:tcPr>
          <w:p>
            <w:pPr>
              <w:spacing w:after="0"/>
              <w:rPr>
                <w:sz w:val="24"/>
                <w:szCs w:val="24"/>
                <w:color w:val="auto"/>
              </w:rPr>
            </w:pPr>
          </w:p>
        </w:tc>
      </w:tr>
      <w:tr>
        <w:trPr>
          <w:trHeight w:val="217"/>
        </w:trPr>
        <w:tc>
          <w:tcPr>
            <w:tcW w:w="660" w:type="dxa"/>
            <w:vAlign w:val="bottom"/>
          </w:tcPr>
          <w:p>
            <w:pPr>
              <w:spacing w:after="0"/>
              <w:rPr>
                <w:sz w:val="18"/>
                <w:szCs w:val="18"/>
                <w:color w:val="auto"/>
              </w:rPr>
            </w:pPr>
          </w:p>
        </w:tc>
        <w:tc>
          <w:tcPr>
            <w:tcW w:w="6100" w:type="dxa"/>
            <w:vAlign w:val="bottom"/>
          </w:tcPr>
          <w:p>
            <w:pPr>
              <w:ind w:left="60"/>
              <w:spacing w:after="0"/>
              <w:rPr>
                <w:sz w:val="20"/>
                <w:szCs w:val="20"/>
                <w:color w:val="auto"/>
              </w:rPr>
            </w:pPr>
            <w:r>
              <w:rPr>
                <w:rFonts w:ascii="Arial" w:cs="Arial" w:eastAsia="Arial" w:hAnsi="Arial"/>
                <w:sz w:val="17"/>
                <w:szCs w:val="17"/>
                <w:color w:val="auto"/>
              </w:rPr>
              <w:t>ended March 31, 202f0 and 2019 (unaudited)</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333"/>
        </w:trPr>
        <w:tc>
          <w:tcPr>
            <w:tcW w:w="660" w:type="dxa"/>
            <w:vAlign w:val="bottom"/>
          </w:tcPr>
          <w:p>
            <w:pPr>
              <w:spacing w:after="0"/>
              <w:rPr>
                <w:sz w:val="24"/>
                <w:szCs w:val="24"/>
                <w:color w:val="auto"/>
              </w:rPr>
            </w:pPr>
          </w:p>
        </w:tc>
        <w:tc>
          <w:tcPr>
            <w:tcW w:w="6100" w:type="dxa"/>
            <w:vAlign w:val="bottom"/>
          </w:tcPr>
          <w:p>
            <w:pPr>
              <w:ind w:left="60"/>
              <w:spacing w:after="0"/>
              <w:rPr>
                <w:sz w:val="20"/>
                <w:szCs w:val="20"/>
                <w:color w:val="auto"/>
              </w:rPr>
            </w:pPr>
            <w:r>
              <w:rPr>
                <w:rFonts w:ascii="Arial" w:cs="Arial" w:eastAsia="Arial" w:hAnsi="Arial"/>
                <w:sz w:val="17"/>
                <w:szCs w:val="17"/>
                <w:color w:val="auto"/>
                <w:w w:val="91"/>
              </w:rPr>
              <w:t>Condensed Consolidated Statements of Stockholders' Equity as of March 31, 2020 and</w:t>
            </w:r>
          </w:p>
        </w:tc>
        <w:tc>
          <w:tcPr>
            <w:tcW w:w="740" w:type="dxa"/>
            <w:vAlign w:val="bottom"/>
            <w:gridSpan w:val="2"/>
          </w:tcPr>
          <w:p>
            <w:pPr>
              <w:jc w:val="center"/>
              <w:ind w:left="94"/>
              <w:spacing w:after="0"/>
              <w:rPr>
                <w:sz w:val="20"/>
                <w:szCs w:val="20"/>
                <w:color w:val="auto"/>
              </w:rPr>
            </w:pPr>
            <w:r>
              <w:rPr>
                <w:rFonts w:ascii="Arial" w:cs="Arial" w:eastAsia="Arial" w:hAnsi="Arial"/>
                <w:sz w:val="17"/>
                <w:szCs w:val="17"/>
                <w:color w:val="auto"/>
                <w:w w:val="84"/>
              </w:rPr>
              <w:t>7</w:t>
            </w:r>
          </w:p>
        </w:tc>
        <w:tc>
          <w:tcPr>
            <w:tcW w:w="360" w:type="dxa"/>
            <w:vAlign w:val="bottom"/>
          </w:tcPr>
          <w:p>
            <w:pPr>
              <w:spacing w:after="0"/>
              <w:rPr>
                <w:sz w:val="24"/>
                <w:szCs w:val="24"/>
                <w:color w:val="auto"/>
              </w:rPr>
            </w:pPr>
          </w:p>
        </w:tc>
      </w:tr>
      <w:tr>
        <w:trPr>
          <w:trHeight w:val="217"/>
        </w:trPr>
        <w:tc>
          <w:tcPr>
            <w:tcW w:w="660" w:type="dxa"/>
            <w:vAlign w:val="bottom"/>
          </w:tcPr>
          <w:p>
            <w:pPr>
              <w:spacing w:after="0"/>
              <w:rPr>
                <w:sz w:val="18"/>
                <w:szCs w:val="18"/>
                <w:color w:val="auto"/>
              </w:rPr>
            </w:pPr>
          </w:p>
        </w:tc>
        <w:tc>
          <w:tcPr>
            <w:tcW w:w="6100" w:type="dxa"/>
            <w:vAlign w:val="bottom"/>
          </w:tcPr>
          <w:p>
            <w:pPr>
              <w:ind w:left="60"/>
              <w:spacing w:after="0"/>
              <w:rPr>
                <w:sz w:val="20"/>
                <w:szCs w:val="20"/>
                <w:color w:val="auto"/>
              </w:rPr>
            </w:pPr>
            <w:r>
              <w:rPr>
                <w:rFonts w:ascii="Arial" w:cs="Arial" w:eastAsia="Arial" w:hAnsi="Arial"/>
                <w:sz w:val="17"/>
                <w:szCs w:val="17"/>
                <w:color w:val="auto"/>
              </w:rPr>
              <w:t>March 31, 2019 (unaudited)</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333"/>
        </w:trPr>
        <w:tc>
          <w:tcPr>
            <w:tcW w:w="660" w:type="dxa"/>
            <w:vAlign w:val="bottom"/>
          </w:tcPr>
          <w:p>
            <w:pPr>
              <w:spacing w:after="0"/>
              <w:rPr>
                <w:sz w:val="24"/>
                <w:szCs w:val="24"/>
                <w:color w:val="auto"/>
              </w:rPr>
            </w:pPr>
          </w:p>
        </w:tc>
        <w:tc>
          <w:tcPr>
            <w:tcW w:w="6100" w:type="dxa"/>
            <w:vAlign w:val="bottom"/>
          </w:tcPr>
          <w:p>
            <w:pPr>
              <w:ind w:left="60"/>
              <w:spacing w:after="0"/>
              <w:rPr>
                <w:sz w:val="20"/>
                <w:szCs w:val="20"/>
                <w:color w:val="auto"/>
              </w:rPr>
            </w:pPr>
            <w:r>
              <w:rPr>
                <w:rFonts w:ascii="Arial" w:cs="Arial" w:eastAsia="Arial" w:hAnsi="Arial"/>
                <w:sz w:val="17"/>
                <w:szCs w:val="17"/>
                <w:color w:val="auto"/>
                <w:w w:val="91"/>
              </w:rPr>
              <w:t>Condensed Consolidated Statements of Cash Flows for the three months ended March</w:t>
            </w:r>
          </w:p>
        </w:tc>
        <w:tc>
          <w:tcPr>
            <w:tcW w:w="740" w:type="dxa"/>
            <w:vAlign w:val="bottom"/>
            <w:gridSpan w:val="2"/>
          </w:tcPr>
          <w:p>
            <w:pPr>
              <w:jc w:val="center"/>
              <w:ind w:left="94"/>
              <w:spacing w:after="0"/>
              <w:rPr>
                <w:sz w:val="20"/>
                <w:szCs w:val="20"/>
                <w:color w:val="auto"/>
              </w:rPr>
            </w:pPr>
            <w:r>
              <w:rPr>
                <w:rFonts w:ascii="Arial" w:cs="Arial" w:eastAsia="Arial" w:hAnsi="Arial"/>
                <w:sz w:val="17"/>
                <w:szCs w:val="17"/>
                <w:color w:val="auto"/>
                <w:w w:val="97"/>
              </w:rPr>
              <w:t>8-9</w:t>
            </w:r>
          </w:p>
        </w:tc>
        <w:tc>
          <w:tcPr>
            <w:tcW w:w="360" w:type="dxa"/>
            <w:vAlign w:val="bottom"/>
          </w:tcPr>
          <w:p>
            <w:pPr>
              <w:spacing w:after="0"/>
              <w:rPr>
                <w:sz w:val="24"/>
                <w:szCs w:val="24"/>
                <w:color w:val="auto"/>
              </w:rPr>
            </w:pPr>
          </w:p>
        </w:tc>
      </w:tr>
      <w:tr>
        <w:trPr>
          <w:trHeight w:val="217"/>
        </w:trPr>
        <w:tc>
          <w:tcPr>
            <w:tcW w:w="660" w:type="dxa"/>
            <w:vAlign w:val="bottom"/>
          </w:tcPr>
          <w:p>
            <w:pPr>
              <w:spacing w:after="0"/>
              <w:rPr>
                <w:sz w:val="18"/>
                <w:szCs w:val="18"/>
                <w:color w:val="auto"/>
              </w:rPr>
            </w:pPr>
          </w:p>
        </w:tc>
        <w:tc>
          <w:tcPr>
            <w:tcW w:w="6100" w:type="dxa"/>
            <w:vAlign w:val="bottom"/>
          </w:tcPr>
          <w:p>
            <w:pPr>
              <w:ind w:left="60"/>
              <w:spacing w:after="0"/>
              <w:rPr>
                <w:sz w:val="20"/>
                <w:szCs w:val="20"/>
                <w:color w:val="auto"/>
              </w:rPr>
            </w:pPr>
            <w:r>
              <w:rPr>
                <w:rFonts w:ascii="Arial" w:cs="Arial" w:eastAsia="Arial" w:hAnsi="Arial"/>
                <w:sz w:val="17"/>
                <w:szCs w:val="17"/>
                <w:color w:val="auto"/>
              </w:rPr>
              <w:t>31, 2020 and 2019 (unaudited)</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351"/>
        </w:trPr>
        <w:tc>
          <w:tcPr>
            <w:tcW w:w="660" w:type="dxa"/>
            <w:vAlign w:val="bottom"/>
          </w:tcPr>
          <w:p>
            <w:pPr>
              <w:spacing w:after="0"/>
              <w:rPr>
                <w:sz w:val="24"/>
                <w:szCs w:val="24"/>
                <w:color w:val="auto"/>
              </w:rPr>
            </w:pPr>
          </w:p>
        </w:tc>
        <w:tc>
          <w:tcPr>
            <w:tcW w:w="6100" w:type="dxa"/>
            <w:vAlign w:val="bottom"/>
          </w:tcPr>
          <w:p>
            <w:pPr>
              <w:ind w:left="60"/>
              <w:spacing w:after="0"/>
              <w:rPr>
                <w:sz w:val="20"/>
                <w:szCs w:val="20"/>
                <w:color w:val="auto"/>
              </w:rPr>
            </w:pPr>
            <w:r>
              <w:rPr>
                <w:rFonts w:ascii="Arial" w:cs="Arial" w:eastAsia="Arial" w:hAnsi="Arial"/>
                <w:sz w:val="17"/>
                <w:szCs w:val="17"/>
                <w:color w:val="auto"/>
              </w:rPr>
              <w:t>Notes to Condensed Consolidated Financial Statements (unaudited)</w:t>
            </w:r>
          </w:p>
        </w:tc>
        <w:tc>
          <w:tcPr>
            <w:tcW w:w="740" w:type="dxa"/>
            <w:vAlign w:val="bottom"/>
            <w:gridSpan w:val="2"/>
          </w:tcPr>
          <w:p>
            <w:pPr>
              <w:jc w:val="center"/>
              <w:ind w:left="94"/>
              <w:spacing w:after="0"/>
              <w:rPr>
                <w:sz w:val="20"/>
                <w:szCs w:val="20"/>
                <w:color w:val="auto"/>
              </w:rPr>
            </w:pPr>
            <w:r>
              <w:rPr>
                <w:rFonts w:ascii="Arial" w:cs="Arial" w:eastAsia="Arial" w:hAnsi="Arial"/>
                <w:sz w:val="17"/>
                <w:szCs w:val="17"/>
                <w:color w:val="auto"/>
                <w:w w:val="84"/>
              </w:rPr>
              <w:t>10</w:t>
            </w:r>
          </w:p>
        </w:tc>
        <w:tc>
          <w:tcPr>
            <w:tcW w:w="360" w:type="dxa"/>
            <w:vAlign w:val="bottom"/>
          </w:tcPr>
          <w:p>
            <w:pPr>
              <w:spacing w:after="0"/>
              <w:rPr>
                <w:sz w:val="24"/>
                <w:szCs w:val="24"/>
                <w:color w:val="auto"/>
              </w:rPr>
            </w:pPr>
          </w:p>
        </w:tc>
      </w:tr>
      <w:tr>
        <w:trPr>
          <w:trHeight w:val="263"/>
        </w:trPr>
        <w:tc>
          <w:tcPr>
            <w:tcW w:w="660" w:type="dxa"/>
            <w:vAlign w:val="bottom"/>
          </w:tcPr>
          <w:p>
            <w:pPr>
              <w:spacing w:after="0"/>
              <w:rPr>
                <w:sz w:val="20"/>
                <w:szCs w:val="20"/>
                <w:color w:val="auto"/>
              </w:rPr>
            </w:pPr>
            <w:r>
              <w:rPr>
                <w:rFonts w:ascii="Arial" w:cs="Arial" w:eastAsia="Arial" w:hAnsi="Arial"/>
                <w:sz w:val="17"/>
                <w:szCs w:val="17"/>
                <w:color w:val="auto"/>
              </w:rPr>
              <w:t>Item 2.</w:t>
            </w:r>
          </w:p>
        </w:tc>
        <w:tc>
          <w:tcPr>
            <w:tcW w:w="6100" w:type="dxa"/>
            <w:vAlign w:val="bottom"/>
          </w:tcPr>
          <w:p>
            <w:pPr>
              <w:ind w:left="60"/>
              <w:spacing w:after="0"/>
              <w:rPr>
                <w:sz w:val="20"/>
                <w:szCs w:val="20"/>
                <w:color w:val="auto"/>
              </w:rPr>
            </w:pPr>
            <w:r>
              <w:rPr>
                <w:rFonts w:ascii="Arial" w:cs="Arial" w:eastAsia="Arial" w:hAnsi="Arial"/>
                <w:sz w:val="17"/>
                <w:szCs w:val="17"/>
                <w:color w:val="auto"/>
              </w:rPr>
              <w:t>Management’s Discussion and Analysis of Financial Condition and Results of</w:t>
            </w:r>
          </w:p>
        </w:tc>
        <w:tc>
          <w:tcPr>
            <w:tcW w:w="740" w:type="dxa"/>
            <w:vAlign w:val="bottom"/>
            <w:gridSpan w:val="2"/>
          </w:tcPr>
          <w:p>
            <w:pPr>
              <w:jc w:val="center"/>
              <w:ind w:left="94"/>
              <w:spacing w:after="0"/>
              <w:rPr>
                <w:sz w:val="20"/>
                <w:szCs w:val="20"/>
                <w:color w:val="auto"/>
              </w:rPr>
            </w:pPr>
            <w:r>
              <w:rPr>
                <w:rFonts w:ascii="Arial" w:cs="Arial" w:eastAsia="Arial" w:hAnsi="Arial"/>
                <w:sz w:val="17"/>
                <w:szCs w:val="17"/>
                <w:color w:val="auto"/>
                <w:w w:val="84"/>
              </w:rPr>
              <w:t>53</w:t>
            </w:r>
          </w:p>
        </w:tc>
        <w:tc>
          <w:tcPr>
            <w:tcW w:w="360" w:type="dxa"/>
            <w:vAlign w:val="bottom"/>
          </w:tcPr>
          <w:p>
            <w:pPr>
              <w:spacing w:after="0"/>
              <w:rPr>
                <w:sz w:val="22"/>
                <w:szCs w:val="22"/>
                <w:color w:val="auto"/>
              </w:rPr>
            </w:pPr>
          </w:p>
        </w:tc>
      </w:tr>
      <w:tr>
        <w:trPr>
          <w:trHeight w:val="217"/>
        </w:trPr>
        <w:tc>
          <w:tcPr>
            <w:tcW w:w="660" w:type="dxa"/>
            <w:vAlign w:val="bottom"/>
          </w:tcPr>
          <w:p>
            <w:pPr>
              <w:spacing w:after="0"/>
              <w:rPr>
                <w:sz w:val="18"/>
                <w:szCs w:val="18"/>
                <w:color w:val="auto"/>
              </w:rPr>
            </w:pPr>
          </w:p>
        </w:tc>
        <w:tc>
          <w:tcPr>
            <w:tcW w:w="6100" w:type="dxa"/>
            <w:vAlign w:val="bottom"/>
          </w:tcPr>
          <w:p>
            <w:pPr>
              <w:ind w:left="60"/>
              <w:spacing w:after="0"/>
              <w:rPr>
                <w:sz w:val="20"/>
                <w:szCs w:val="20"/>
                <w:color w:val="auto"/>
              </w:rPr>
            </w:pPr>
            <w:r>
              <w:rPr>
                <w:rFonts w:ascii="Arial" w:cs="Arial" w:eastAsia="Arial" w:hAnsi="Arial"/>
                <w:sz w:val="17"/>
                <w:szCs w:val="17"/>
                <w:color w:val="auto"/>
              </w:rPr>
              <w:t>Operations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22"/>
        </w:trPr>
        <w:tc>
          <w:tcPr>
            <w:tcW w:w="660" w:type="dxa"/>
            <w:vAlign w:val="bottom"/>
          </w:tcPr>
          <w:p>
            <w:pPr>
              <w:spacing w:after="0"/>
              <w:rPr>
                <w:sz w:val="20"/>
                <w:szCs w:val="20"/>
                <w:color w:val="auto"/>
              </w:rPr>
            </w:pPr>
            <w:r>
              <w:rPr>
                <w:rFonts w:ascii="Arial" w:cs="Arial" w:eastAsia="Arial" w:hAnsi="Arial"/>
                <w:sz w:val="17"/>
                <w:szCs w:val="17"/>
                <w:color w:val="auto"/>
              </w:rPr>
              <w:t>Item 3.</w:t>
            </w:r>
          </w:p>
        </w:tc>
        <w:tc>
          <w:tcPr>
            <w:tcW w:w="6100" w:type="dxa"/>
            <w:vAlign w:val="bottom"/>
          </w:tcPr>
          <w:p>
            <w:pPr>
              <w:ind w:left="60"/>
              <w:spacing w:after="0"/>
              <w:rPr>
                <w:sz w:val="20"/>
                <w:szCs w:val="20"/>
                <w:color w:val="auto"/>
              </w:rPr>
            </w:pPr>
            <w:r>
              <w:rPr>
                <w:rFonts w:ascii="Arial" w:cs="Arial" w:eastAsia="Arial" w:hAnsi="Arial"/>
                <w:sz w:val="17"/>
                <w:szCs w:val="17"/>
                <w:color w:val="auto"/>
              </w:rPr>
              <w:t>Quantitative and Qualitative Disclosures about Market Risk</w:t>
            </w:r>
          </w:p>
        </w:tc>
        <w:tc>
          <w:tcPr>
            <w:tcW w:w="740" w:type="dxa"/>
            <w:vAlign w:val="bottom"/>
            <w:gridSpan w:val="2"/>
          </w:tcPr>
          <w:p>
            <w:pPr>
              <w:jc w:val="center"/>
              <w:ind w:left="94"/>
              <w:spacing w:after="0"/>
              <w:rPr>
                <w:sz w:val="20"/>
                <w:szCs w:val="20"/>
                <w:color w:val="auto"/>
              </w:rPr>
            </w:pPr>
            <w:r>
              <w:rPr>
                <w:rFonts w:ascii="Arial" w:cs="Arial" w:eastAsia="Arial" w:hAnsi="Arial"/>
                <w:sz w:val="17"/>
                <w:szCs w:val="17"/>
                <w:color w:val="auto"/>
                <w:w w:val="84"/>
              </w:rPr>
              <w:t>58</w:t>
            </w:r>
          </w:p>
        </w:tc>
        <w:tc>
          <w:tcPr>
            <w:tcW w:w="360" w:type="dxa"/>
            <w:vAlign w:val="bottom"/>
          </w:tcPr>
          <w:p>
            <w:pPr>
              <w:spacing w:after="0"/>
              <w:rPr>
                <w:sz w:val="19"/>
                <w:szCs w:val="19"/>
                <w:color w:val="auto"/>
              </w:rPr>
            </w:pPr>
          </w:p>
        </w:tc>
      </w:tr>
      <w:tr>
        <w:trPr>
          <w:trHeight w:val="281"/>
        </w:trPr>
        <w:tc>
          <w:tcPr>
            <w:tcW w:w="660" w:type="dxa"/>
            <w:vAlign w:val="bottom"/>
          </w:tcPr>
          <w:p>
            <w:pPr>
              <w:spacing w:after="0"/>
              <w:rPr>
                <w:sz w:val="20"/>
                <w:szCs w:val="20"/>
                <w:color w:val="auto"/>
              </w:rPr>
            </w:pPr>
            <w:r>
              <w:rPr>
                <w:rFonts w:ascii="Arial" w:cs="Arial" w:eastAsia="Arial" w:hAnsi="Arial"/>
                <w:sz w:val="17"/>
                <w:szCs w:val="17"/>
                <w:color w:val="auto"/>
              </w:rPr>
              <w:t>Item 4.</w:t>
            </w:r>
          </w:p>
        </w:tc>
        <w:tc>
          <w:tcPr>
            <w:tcW w:w="6100" w:type="dxa"/>
            <w:vAlign w:val="bottom"/>
          </w:tcPr>
          <w:p>
            <w:pPr>
              <w:ind w:left="60"/>
              <w:spacing w:after="0"/>
              <w:rPr>
                <w:sz w:val="20"/>
                <w:szCs w:val="20"/>
                <w:color w:val="auto"/>
              </w:rPr>
            </w:pPr>
            <w:r>
              <w:rPr>
                <w:rFonts w:ascii="Arial" w:cs="Arial" w:eastAsia="Arial" w:hAnsi="Arial"/>
                <w:sz w:val="17"/>
                <w:szCs w:val="17"/>
                <w:color w:val="auto"/>
              </w:rPr>
              <w:t>Controls and Procedures</w:t>
            </w:r>
          </w:p>
        </w:tc>
        <w:tc>
          <w:tcPr>
            <w:tcW w:w="740" w:type="dxa"/>
            <w:vAlign w:val="bottom"/>
            <w:gridSpan w:val="2"/>
          </w:tcPr>
          <w:p>
            <w:pPr>
              <w:jc w:val="center"/>
              <w:ind w:left="94"/>
              <w:spacing w:after="0"/>
              <w:rPr>
                <w:sz w:val="20"/>
                <w:szCs w:val="20"/>
                <w:color w:val="auto"/>
              </w:rPr>
            </w:pPr>
            <w:r>
              <w:rPr>
                <w:rFonts w:ascii="Arial" w:cs="Arial" w:eastAsia="Arial" w:hAnsi="Arial"/>
                <w:sz w:val="17"/>
                <w:szCs w:val="17"/>
                <w:color w:val="auto"/>
                <w:w w:val="84"/>
              </w:rPr>
              <w:t>58</w:t>
            </w:r>
          </w:p>
        </w:tc>
        <w:tc>
          <w:tcPr>
            <w:tcW w:w="360" w:type="dxa"/>
            <w:vAlign w:val="bottom"/>
          </w:tcPr>
          <w:p>
            <w:pPr>
              <w:spacing w:after="0"/>
              <w:rPr>
                <w:sz w:val="24"/>
                <w:szCs w:val="24"/>
                <w:color w:val="auto"/>
              </w:rPr>
            </w:pPr>
          </w:p>
        </w:tc>
      </w:tr>
      <w:tr>
        <w:trPr>
          <w:trHeight w:val="304"/>
        </w:trPr>
        <w:tc>
          <w:tcPr>
            <w:tcW w:w="660" w:type="dxa"/>
            <w:vAlign w:val="bottom"/>
          </w:tcPr>
          <w:p>
            <w:pPr>
              <w:spacing w:after="0"/>
              <w:rPr>
                <w:sz w:val="24"/>
                <w:szCs w:val="24"/>
                <w:color w:val="auto"/>
              </w:rPr>
            </w:pPr>
          </w:p>
        </w:tc>
        <w:tc>
          <w:tcPr>
            <w:tcW w:w="6100" w:type="dxa"/>
            <w:vAlign w:val="bottom"/>
          </w:tcPr>
          <w:p>
            <w:pPr>
              <w:ind w:left="2100"/>
              <w:spacing w:after="0"/>
              <w:rPr>
                <w:sz w:val="20"/>
                <w:szCs w:val="20"/>
                <w:color w:val="auto"/>
              </w:rPr>
            </w:pPr>
            <w:r>
              <w:rPr>
                <w:rFonts w:ascii="Arial" w:cs="Arial" w:eastAsia="Arial" w:hAnsi="Arial"/>
                <w:sz w:val="17"/>
                <w:szCs w:val="17"/>
                <w:b w:val="1"/>
                <w:bCs w:val="1"/>
                <w:color w:val="auto"/>
              </w:rPr>
              <w:t>Part II - Other Information</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57"/>
        </w:trPr>
        <w:tc>
          <w:tcPr>
            <w:tcW w:w="660" w:type="dxa"/>
            <w:vAlign w:val="bottom"/>
          </w:tcPr>
          <w:p>
            <w:pPr>
              <w:spacing w:after="0"/>
              <w:rPr>
                <w:sz w:val="20"/>
                <w:szCs w:val="20"/>
                <w:color w:val="auto"/>
              </w:rPr>
            </w:pPr>
            <w:r>
              <w:rPr>
                <w:rFonts w:ascii="Arial" w:cs="Arial" w:eastAsia="Arial" w:hAnsi="Arial"/>
                <w:sz w:val="17"/>
                <w:szCs w:val="17"/>
                <w:color w:val="auto"/>
              </w:rPr>
              <w:t>Item 1.</w:t>
            </w:r>
          </w:p>
        </w:tc>
        <w:tc>
          <w:tcPr>
            <w:tcW w:w="6100" w:type="dxa"/>
            <w:vAlign w:val="bottom"/>
          </w:tcPr>
          <w:p>
            <w:pPr>
              <w:ind w:left="60"/>
              <w:spacing w:after="0"/>
              <w:rPr>
                <w:sz w:val="20"/>
                <w:szCs w:val="20"/>
                <w:color w:val="auto"/>
              </w:rPr>
            </w:pPr>
            <w:r>
              <w:rPr>
                <w:rFonts w:ascii="Arial" w:cs="Arial" w:eastAsia="Arial" w:hAnsi="Arial"/>
                <w:sz w:val="17"/>
                <w:szCs w:val="17"/>
                <w:color w:val="auto"/>
              </w:rPr>
              <w:t>Legal Proceedings</w:t>
            </w:r>
          </w:p>
        </w:tc>
        <w:tc>
          <w:tcPr>
            <w:tcW w:w="740" w:type="dxa"/>
            <w:vAlign w:val="bottom"/>
            <w:gridSpan w:val="2"/>
          </w:tcPr>
          <w:p>
            <w:pPr>
              <w:jc w:val="center"/>
              <w:ind w:left="94"/>
              <w:spacing w:after="0"/>
              <w:rPr>
                <w:sz w:val="20"/>
                <w:szCs w:val="20"/>
                <w:color w:val="auto"/>
              </w:rPr>
            </w:pPr>
            <w:r>
              <w:rPr>
                <w:rFonts w:ascii="Arial" w:cs="Arial" w:eastAsia="Arial" w:hAnsi="Arial"/>
                <w:sz w:val="17"/>
                <w:szCs w:val="17"/>
                <w:color w:val="auto"/>
                <w:w w:val="84"/>
              </w:rPr>
              <w:t>60</w:t>
            </w:r>
          </w:p>
        </w:tc>
        <w:tc>
          <w:tcPr>
            <w:tcW w:w="360" w:type="dxa"/>
            <w:vAlign w:val="bottom"/>
          </w:tcPr>
          <w:p>
            <w:pPr>
              <w:spacing w:after="0"/>
              <w:rPr>
                <w:sz w:val="22"/>
                <w:szCs w:val="22"/>
                <w:color w:val="auto"/>
              </w:rPr>
            </w:pPr>
          </w:p>
        </w:tc>
      </w:tr>
      <w:tr>
        <w:trPr>
          <w:trHeight w:val="281"/>
        </w:trPr>
        <w:tc>
          <w:tcPr>
            <w:tcW w:w="660" w:type="dxa"/>
            <w:vAlign w:val="bottom"/>
          </w:tcPr>
          <w:p>
            <w:pPr>
              <w:spacing w:after="0"/>
              <w:rPr>
                <w:sz w:val="20"/>
                <w:szCs w:val="20"/>
                <w:color w:val="auto"/>
              </w:rPr>
            </w:pPr>
            <w:r>
              <w:rPr>
                <w:rFonts w:ascii="Arial" w:cs="Arial" w:eastAsia="Arial" w:hAnsi="Arial"/>
                <w:sz w:val="17"/>
                <w:szCs w:val="17"/>
                <w:color w:val="auto"/>
              </w:rPr>
              <w:t>Item 1A.</w:t>
            </w:r>
          </w:p>
        </w:tc>
        <w:tc>
          <w:tcPr>
            <w:tcW w:w="6100" w:type="dxa"/>
            <w:vAlign w:val="bottom"/>
          </w:tcPr>
          <w:p>
            <w:pPr>
              <w:ind w:left="60"/>
              <w:spacing w:after="0"/>
              <w:rPr>
                <w:sz w:val="20"/>
                <w:szCs w:val="20"/>
                <w:color w:val="auto"/>
              </w:rPr>
            </w:pPr>
            <w:r>
              <w:rPr>
                <w:rFonts w:ascii="Arial" w:cs="Arial" w:eastAsia="Arial" w:hAnsi="Arial"/>
                <w:sz w:val="17"/>
                <w:szCs w:val="17"/>
                <w:color w:val="auto"/>
              </w:rPr>
              <w:t>Risk Factors</w:t>
            </w:r>
          </w:p>
        </w:tc>
        <w:tc>
          <w:tcPr>
            <w:tcW w:w="740" w:type="dxa"/>
            <w:vAlign w:val="bottom"/>
            <w:gridSpan w:val="2"/>
          </w:tcPr>
          <w:p>
            <w:pPr>
              <w:jc w:val="center"/>
              <w:ind w:left="94"/>
              <w:spacing w:after="0"/>
              <w:rPr>
                <w:sz w:val="20"/>
                <w:szCs w:val="20"/>
                <w:color w:val="auto"/>
              </w:rPr>
            </w:pPr>
            <w:r>
              <w:rPr>
                <w:rFonts w:ascii="Arial" w:cs="Arial" w:eastAsia="Arial" w:hAnsi="Arial"/>
                <w:sz w:val="17"/>
                <w:szCs w:val="17"/>
                <w:color w:val="auto"/>
                <w:w w:val="84"/>
              </w:rPr>
              <w:t>60</w:t>
            </w:r>
          </w:p>
        </w:tc>
        <w:tc>
          <w:tcPr>
            <w:tcW w:w="360" w:type="dxa"/>
            <w:vAlign w:val="bottom"/>
          </w:tcPr>
          <w:p>
            <w:pPr>
              <w:spacing w:after="0"/>
              <w:rPr>
                <w:sz w:val="24"/>
                <w:szCs w:val="24"/>
                <w:color w:val="auto"/>
              </w:rPr>
            </w:pPr>
          </w:p>
        </w:tc>
      </w:tr>
      <w:tr>
        <w:trPr>
          <w:trHeight w:val="281"/>
        </w:trPr>
        <w:tc>
          <w:tcPr>
            <w:tcW w:w="660" w:type="dxa"/>
            <w:vAlign w:val="bottom"/>
          </w:tcPr>
          <w:p>
            <w:pPr>
              <w:spacing w:after="0"/>
              <w:rPr>
                <w:sz w:val="20"/>
                <w:szCs w:val="20"/>
                <w:color w:val="auto"/>
              </w:rPr>
            </w:pPr>
            <w:r>
              <w:rPr>
                <w:rFonts w:ascii="Arial" w:cs="Arial" w:eastAsia="Arial" w:hAnsi="Arial"/>
                <w:sz w:val="17"/>
                <w:szCs w:val="17"/>
                <w:color w:val="auto"/>
              </w:rPr>
              <w:t>Item 2.</w:t>
            </w:r>
          </w:p>
        </w:tc>
        <w:tc>
          <w:tcPr>
            <w:tcW w:w="6100" w:type="dxa"/>
            <w:vAlign w:val="bottom"/>
          </w:tcPr>
          <w:p>
            <w:pPr>
              <w:ind w:left="60"/>
              <w:spacing w:after="0"/>
              <w:rPr>
                <w:sz w:val="20"/>
                <w:szCs w:val="20"/>
                <w:color w:val="auto"/>
              </w:rPr>
            </w:pPr>
            <w:r>
              <w:rPr>
                <w:rFonts w:ascii="Arial" w:cs="Arial" w:eastAsia="Arial" w:hAnsi="Arial"/>
                <w:sz w:val="17"/>
                <w:szCs w:val="17"/>
                <w:color w:val="auto"/>
              </w:rPr>
              <w:t>Unregistered Sales of Equity Securities and Use of Proceeds</w:t>
            </w:r>
          </w:p>
        </w:tc>
        <w:tc>
          <w:tcPr>
            <w:tcW w:w="740" w:type="dxa"/>
            <w:vAlign w:val="bottom"/>
            <w:gridSpan w:val="2"/>
          </w:tcPr>
          <w:p>
            <w:pPr>
              <w:jc w:val="center"/>
              <w:ind w:left="94"/>
              <w:spacing w:after="0"/>
              <w:rPr>
                <w:sz w:val="20"/>
                <w:szCs w:val="20"/>
                <w:color w:val="auto"/>
              </w:rPr>
            </w:pPr>
            <w:r>
              <w:rPr>
                <w:rFonts w:ascii="Arial" w:cs="Arial" w:eastAsia="Arial" w:hAnsi="Arial"/>
                <w:sz w:val="17"/>
                <w:szCs w:val="17"/>
                <w:color w:val="auto"/>
                <w:w w:val="84"/>
              </w:rPr>
              <w:t>60</w:t>
            </w:r>
          </w:p>
        </w:tc>
        <w:tc>
          <w:tcPr>
            <w:tcW w:w="360" w:type="dxa"/>
            <w:vAlign w:val="bottom"/>
          </w:tcPr>
          <w:p>
            <w:pPr>
              <w:spacing w:after="0"/>
              <w:rPr>
                <w:sz w:val="24"/>
                <w:szCs w:val="24"/>
                <w:color w:val="auto"/>
              </w:rPr>
            </w:pPr>
          </w:p>
        </w:tc>
      </w:tr>
      <w:tr>
        <w:trPr>
          <w:trHeight w:val="281"/>
        </w:trPr>
        <w:tc>
          <w:tcPr>
            <w:tcW w:w="660" w:type="dxa"/>
            <w:vAlign w:val="bottom"/>
          </w:tcPr>
          <w:p>
            <w:pPr>
              <w:spacing w:after="0"/>
              <w:rPr>
                <w:sz w:val="20"/>
                <w:szCs w:val="20"/>
                <w:color w:val="auto"/>
              </w:rPr>
            </w:pPr>
            <w:r>
              <w:rPr>
                <w:rFonts w:ascii="Arial" w:cs="Arial" w:eastAsia="Arial" w:hAnsi="Arial"/>
                <w:sz w:val="17"/>
                <w:szCs w:val="17"/>
                <w:color w:val="auto"/>
              </w:rPr>
              <w:t>Item 3.</w:t>
            </w:r>
          </w:p>
        </w:tc>
        <w:tc>
          <w:tcPr>
            <w:tcW w:w="6100" w:type="dxa"/>
            <w:vAlign w:val="bottom"/>
          </w:tcPr>
          <w:p>
            <w:pPr>
              <w:ind w:left="60"/>
              <w:spacing w:after="0"/>
              <w:rPr>
                <w:sz w:val="20"/>
                <w:szCs w:val="20"/>
                <w:color w:val="auto"/>
              </w:rPr>
            </w:pPr>
            <w:r>
              <w:rPr>
                <w:rFonts w:ascii="Arial" w:cs="Arial" w:eastAsia="Arial" w:hAnsi="Arial"/>
                <w:sz w:val="17"/>
                <w:szCs w:val="17"/>
                <w:color w:val="auto"/>
              </w:rPr>
              <w:t>Defaults Upon Senior Securities</w:t>
            </w:r>
          </w:p>
        </w:tc>
        <w:tc>
          <w:tcPr>
            <w:tcW w:w="740" w:type="dxa"/>
            <w:vAlign w:val="bottom"/>
            <w:gridSpan w:val="2"/>
          </w:tcPr>
          <w:p>
            <w:pPr>
              <w:jc w:val="center"/>
              <w:ind w:left="94"/>
              <w:spacing w:after="0"/>
              <w:rPr>
                <w:sz w:val="20"/>
                <w:szCs w:val="20"/>
                <w:color w:val="auto"/>
              </w:rPr>
            </w:pPr>
            <w:r>
              <w:rPr>
                <w:rFonts w:ascii="Arial" w:cs="Arial" w:eastAsia="Arial" w:hAnsi="Arial"/>
                <w:sz w:val="17"/>
                <w:szCs w:val="17"/>
                <w:color w:val="auto"/>
                <w:w w:val="84"/>
              </w:rPr>
              <w:t>60</w:t>
            </w:r>
          </w:p>
        </w:tc>
        <w:tc>
          <w:tcPr>
            <w:tcW w:w="360" w:type="dxa"/>
            <w:vAlign w:val="bottom"/>
          </w:tcPr>
          <w:p>
            <w:pPr>
              <w:spacing w:after="0"/>
              <w:rPr>
                <w:sz w:val="24"/>
                <w:szCs w:val="24"/>
                <w:color w:val="auto"/>
              </w:rPr>
            </w:pPr>
          </w:p>
        </w:tc>
      </w:tr>
      <w:tr>
        <w:trPr>
          <w:trHeight w:val="281"/>
        </w:trPr>
        <w:tc>
          <w:tcPr>
            <w:tcW w:w="660" w:type="dxa"/>
            <w:vAlign w:val="bottom"/>
          </w:tcPr>
          <w:p>
            <w:pPr>
              <w:spacing w:after="0"/>
              <w:rPr>
                <w:sz w:val="20"/>
                <w:szCs w:val="20"/>
                <w:color w:val="auto"/>
              </w:rPr>
            </w:pPr>
            <w:r>
              <w:rPr>
                <w:rFonts w:ascii="Arial" w:cs="Arial" w:eastAsia="Arial" w:hAnsi="Arial"/>
                <w:sz w:val="17"/>
                <w:szCs w:val="17"/>
                <w:color w:val="auto"/>
              </w:rPr>
              <w:t>Item 4.</w:t>
            </w:r>
          </w:p>
        </w:tc>
        <w:tc>
          <w:tcPr>
            <w:tcW w:w="6100" w:type="dxa"/>
            <w:vAlign w:val="bottom"/>
          </w:tcPr>
          <w:p>
            <w:pPr>
              <w:ind w:left="60"/>
              <w:spacing w:after="0"/>
              <w:rPr>
                <w:sz w:val="20"/>
                <w:szCs w:val="20"/>
                <w:color w:val="auto"/>
              </w:rPr>
            </w:pPr>
            <w:r>
              <w:rPr>
                <w:rFonts w:ascii="Arial" w:cs="Arial" w:eastAsia="Arial" w:hAnsi="Arial"/>
                <w:sz w:val="17"/>
                <w:szCs w:val="17"/>
                <w:color w:val="auto"/>
              </w:rPr>
              <w:t>Mine Safety Disclosures</w:t>
            </w:r>
          </w:p>
        </w:tc>
        <w:tc>
          <w:tcPr>
            <w:tcW w:w="740" w:type="dxa"/>
            <w:vAlign w:val="bottom"/>
            <w:gridSpan w:val="2"/>
          </w:tcPr>
          <w:p>
            <w:pPr>
              <w:jc w:val="center"/>
              <w:ind w:left="94"/>
              <w:spacing w:after="0"/>
              <w:rPr>
                <w:sz w:val="20"/>
                <w:szCs w:val="20"/>
                <w:color w:val="auto"/>
              </w:rPr>
            </w:pPr>
            <w:r>
              <w:rPr>
                <w:rFonts w:ascii="Arial" w:cs="Arial" w:eastAsia="Arial" w:hAnsi="Arial"/>
                <w:sz w:val="17"/>
                <w:szCs w:val="17"/>
                <w:color w:val="auto"/>
                <w:w w:val="84"/>
              </w:rPr>
              <w:t>60</w:t>
            </w:r>
          </w:p>
        </w:tc>
        <w:tc>
          <w:tcPr>
            <w:tcW w:w="360" w:type="dxa"/>
            <w:vAlign w:val="bottom"/>
          </w:tcPr>
          <w:p>
            <w:pPr>
              <w:spacing w:after="0"/>
              <w:rPr>
                <w:sz w:val="24"/>
                <w:szCs w:val="24"/>
                <w:color w:val="auto"/>
              </w:rPr>
            </w:pPr>
          </w:p>
        </w:tc>
      </w:tr>
      <w:tr>
        <w:trPr>
          <w:trHeight w:val="281"/>
        </w:trPr>
        <w:tc>
          <w:tcPr>
            <w:tcW w:w="660" w:type="dxa"/>
            <w:vAlign w:val="bottom"/>
          </w:tcPr>
          <w:p>
            <w:pPr>
              <w:spacing w:after="0"/>
              <w:rPr>
                <w:sz w:val="20"/>
                <w:szCs w:val="20"/>
                <w:color w:val="auto"/>
              </w:rPr>
            </w:pPr>
            <w:r>
              <w:rPr>
                <w:rFonts w:ascii="Arial" w:cs="Arial" w:eastAsia="Arial" w:hAnsi="Arial"/>
                <w:sz w:val="17"/>
                <w:szCs w:val="17"/>
                <w:color w:val="auto"/>
              </w:rPr>
              <w:t>Item 5.</w:t>
            </w:r>
          </w:p>
        </w:tc>
        <w:tc>
          <w:tcPr>
            <w:tcW w:w="6100" w:type="dxa"/>
            <w:vAlign w:val="bottom"/>
          </w:tcPr>
          <w:p>
            <w:pPr>
              <w:ind w:left="60"/>
              <w:spacing w:after="0"/>
              <w:rPr>
                <w:sz w:val="20"/>
                <w:szCs w:val="20"/>
                <w:color w:val="auto"/>
              </w:rPr>
            </w:pPr>
            <w:r>
              <w:rPr>
                <w:rFonts w:ascii="Arial" w:cs="Arial" w:eastAsia="Arial" w:hAnsi="Arial"/>
                <w:sz w:val="17"/>
                <w:szCs w:val="17"/>
                <w:color w:val="auto"/>
              </w:rPr>
              <w:t>Other Information</w:t>
            </w:r>
          </w:p>
        </w:tc>
        <w:tc>
          <w:tcPr>
            <w:tcW w:w="740" w:type="dxa"/>
            <w:vAlign w:val="bottom"/>
            <w:gridSpan w:val="2"/>
          </w:tcPr>
          <w:p>
            <w:pPr>
              <w:jc w:val="center"/>
              <w:ind w:left="94"/>
              <w:spacing w:after="0"/>
              <w:rPr>
                <w:sz w:val="20"/>
                <w:szCs w:val="20"/>
                <w:color w:val="auto"/>
              </w:rPr>
            </w:pPr>
            <w:r>
              <w:rPr>
                <w:rFonts w:ascii="Arial" w:cs="Arial" w:eastAsia="Arial" w:hAnsi="Arial"/>
                <w:sz w:val="17"/>
                <w:szCs w:val="17"/>
                <w:color w:val="auto"/>
                <w:w w:val="84"/>
              </w:rPr>
              <w:t>60</w:t>
            </w:r>
          </w:p>
        </w:tc>
        <w:tc>
          <w:tcPr>
            <w:tcW w:w="360" w:type="dxa"/>
            <w:vAlign w:val="bottom"/>
          </w:tcPr>
          <w:p>
            <w:pPr>
              <w:spacing w:after="0"/>
              <w:rPr>
                <w:sz w:val="24"/>
                <w:szCs w:val="24"/>
                <w:color w:val="auto"/>
              </w:rPr>
            </w:pPr>
          </w:p>
        </w:tc>
      </w:tr>
      <w:tr>
        <w:trPr>
          <w:trHeight w:val="281"/>
        </w:trPr>
        <w:tc>
          <w:tcPr>
            <w:tcW w:w="660" w:type="dxa"/>
            <w:vAlign w:val="bottom"/>
          </w:tcPr>
          <w:p>
            <w:pPr>
              <w:spacing w:after="0"/>
              <w:rPr>
                <w:sz w:val="20"/>
                <w:szCs w:val="20"/>
                <w:color w:val="auto"/>
              </w:rPr>
            </w:pPr>
            <w:r>
              <w:rPr>
                <w:rFonts w:ascii="Arial" w:cs="Arial" w:eastAsia="Arial" w:hAnsi="Arial"/>
                <w:sz w:val="17"/>
                <w:szCs w:val="17"/>
                <w:color w:val="auto"/>
              </w:rPr>
              <w:t>Item 6.</w:t>
            </w:r>
          </w:p>
        </w:tc>
        <w:tc>
          <w:tcPr>
            <w:tcW w:w="6100" w:type="dxa"/>
            <w:vAlign w:val="bottom"/>
          </w:tcPr>
          <w:p>
            <w:pPr>
              <w:ind w:left="60"/>
              <w:spacing w:after="0"/>
              <w:rPr>
                <w:sz w:val="20"/>
                <w:szCs w:val="20"/>
                <w:color w:val="auto"/>
              </w:rPr>
            </w:pPr>
            <w:r>
              <w:rPr>
                <w:rFonts w:ascii="Arial" w:cs="Arial" w:eastAsia="Arial" w:hAnsi="Arial"/>
                <w:sz w:val="17"/>
                <w:szCs w:val="17"/>
                <w:color w:val="auto"/>
              </w:rPr>
              <w:t>Exhibits</w:t>
            </w:r>
          </w:p>
        </w:tc>
        <w:tc>
          <w:tcPr>
            <w:tcW w:w="740" w:type="dxa"/>
            <w:vAlign w:val="bottom"/>
            <w:gridSpan w:val="2"/>
          </w:tcPr>
          <w:p>
            <w:pPr>
              <w:jc w:val="center"/>
              <w:ind w:left="94"/>
              <w:spacing w:after="0"/>
              <w:rPr>
                <w:sz w:val="20"/>
                <w:szCs w:val="20"/>
                <w:color w:val="auto"/>
              </w:rPr>
            </w:pPr>
            <w:r>
              <w:rPr>
                <w:rFonts w:ascii="Arial" w:cs="Arial" w:eastAsia="Arial" w:hAnsi="Arial"/>
                <w:sz w:val="17"/>
                <w:szCs w:val="17"/>
                <w:color w:val="auto"/>
                <w:w w:val="84"/>
              </w:rPr>
              <w:t>61</w:t>
            </w:r>
          </w:p>
        </w:tc>
        <w:tc>
          <w:tcPr>
            <w:tcW w:w="360" w:type="dxa"/>
            <w:vAlign w:val="bottom"/>
          </w:tcPr>
          <w:p>
            <w:pPr>
              <w:spacing w:after="0"/>
              <w:rPr>
                <w:sz w:val="24"/>
                <w:szCs w:val="24"/>
                <w:color w:val="auto"/>
              </w:rPr>
            </w:pPr>
          </w:p>
        </w:tc>
      </w:tr>
      <w:tr>
        <w:trPr>
          <w:trHeight w:val="281"/>
        </w:trPr>
        <w:tc>
          <w:tcPr>
            <w:tcW w:w="660" w:type="dxa"/>
            <w:vAlign w:val="bottom"/>
          </w:tcPr>
          <w:p>
            <w:pPr>
              <w:spacing w:after="0"/>
              <w:rPr>
                <w:sz w:val="24"/>
                <w:szCs w:val="24"/>
                <w:color w:val="auto"/>
              </w:rPr>
            </w:pPr>
          </w:p>
        </w:tc>
        <w:tc>
          <w:tcPr>
            <w:tcW w:w="6100" w:type="dxa"/>
            <w:vAlign w:val="bottom"/>
          </w:tcPr>
          <w:p>
            <w:pPr>
              <w:ind w:left="60"/>
              <w:spacing w:after="0"/>
              <w:rPr>
                <w:sz w:val="20"/>
                <w:szCs w:val="20"/>
                <w:color w:val="auto"/>
              </w:rPr>
            </w:pPr>
            <w:r>
              <w:rPr>
                <w:rFonts w:ascii="Arial" w:cs="Arial" w:eastAsia="Arial" w:hAnsi="Arial"/>
                <w:sz w:val="17"/>
                <w:szCs w:val="17"/>
                <w:color w:val="auto"/>
              </w:rPr>
              <w:t>Signature Page</w:t>
            </w:r>
          </w:p>
        </w:tc>
        <w:tc>
          <w:tcPr>
            <w:tcW w:w="740" w:type="dxa"/>
            <w:vAlign w:val="bottom"/>
            <w:gridSpan w:val="2"/>
          </w:tcPr>
          <w:p>
            <w:pPr>
              <w:jc w:val="center"/>
              <w:ind w:left="94"/>
              <w:spacing w:after="0"/>
              <w:rPr>
                <w:sz w:val="20"/>
                <w:szCs w:val="20"/>
                <w:color w:val="auto"/>
              </w:rPr>
            </w:pPr>
            <w:r>
              <w:rPr>
                <w:rFonts w:ascii="Arial" w:cs="Arial" w:eastAsia="Arial" w:hAnsi="Arial"/>
                <w:sz w:val="17"/>
                <w:szCs w:val="17"/>
                <w:color w:val="auto"/>
                <w:w w:val="84"/>
              </w:rPr>
              <w:t>63</w:t>
            </w:r>
          </w:p>
        </w:tc>
        <w:tc>
          <w:tcPr>
            <w:tcW w:w="360" w:type="dxa"/>
            <w:vAlign w:val="bottom"/>
          </w:tcPr>
          <w:p>
            <w:pPr>
              <w:spacing w:after="0"/>
              <w:rPr>
                <w:sz w:val="24"/>
                <w:szCs w:val="24"/>
                <w:color w:val="auto"/>
              </w:rPr>
            </w:pPr>
          </w:p>
        </w:tc>
      </w:tr>
      <w:tr>
        <w:trPr>
          <w:trHeight w:val="281"/>
        </w:trPr>
        <w:tc>
          <w:tcPr>
            <w:tcW w:w="660" w:type="dxa"/>
            <w:vAlign w:val="bottom"/>
          </w:tcPr>
          <w:p>
            <w:pPr>
              <w:spacing w:after="0"/>
              <w:rPr>
                <w:sz w:val="24"/>
                <w:szCs w:val="24"/>
                <w:color w:val="auto"/>
              </w:rPr>
            </w:pPr>
          </w:p>
        </w:tc>
        <w:tc>
          <w:tcPr>
            <w:tcW w:w="6100" w:type="dxa"/>
            <w:vAlign w:val="bottom"/>
          </w:tcPr>
          <w:p>
            <w:pPr>
              <w:ind w:left="60"/>
              <w:spacing w:after="0"/>
              <w:rPr>
                <w:sz w:val="20"/>
                <w:szCs w:val="20"/>
                <w:color w:val="auto"/>
              </w:rPr>
            </w:pPr>
            <w:r>
              <w:rPr>
                <w:rFonts w:ascii="Arial" w:cs="Arial" w:eastAsia="Arial" w:hAnsi="Arial"/>
                <w:sz w:val="17"/>
                <w:szCs w:val="17"/>
                <w:color w:val="auto"/>
              </w:rPr>
              <w:t>Certifications</w:t>
            </w:r>
          </w:p>
        </w:tc>
        <w:tc>
          <w:tcPr>
            <w:tcW w:w="740" w:type="dxa"/>
            <w:vAlign w:val="bottom"/>
            <w:gridSpan w:val="2"/>
          </w:tcPr>
          <w:p>
            <w:pPr>
              <w:jc w:val="center"/>
              <w:ind w:left="94"/>
              <w:spacing w:after="0"/>
              <w:rPr>
                <w:sz w:val="20"/>
                <w:szCs w:val="20"/>
                <w:color w:val="auto"/>
              </w:rPr>
            </w:pPr>
            <w:r>
              <w:rPr>
                <w:rFonts w:ascii="Arial" w:cs="Arial" w:eastAsia="Arial" w:hAnsi="Arial"/>
                <w:sz w:val="17"/>
                <w:szCs w:val="17"/>
                <w:color w:val="auto"/>
                <w:w w:val="84"/>
              </w:rPr>
              <w:t>64</w:t>
            </w:r>
          </w:p>
        </w:tc>
        <w:tc>
          <w:tcPr>
            <w:tcW w:w="360" w:type="dxa"/>
            <w:vAlign w:val="bottom"/>
          </w:tcPr>
          <w:p>
            <w:pPr>
              <w:spacing w:after="0"/>
              <w:rPr>
                <w:sz w:val="24"/>
                <w:szCs w:val="24"/>
                <w:color w:val="auto"/>
              </w:rPr>
            </w:pPr>
          </w:p>
        </w:tc>
      </w:tr>
      <w:tr>
        <w:trPr>
          <w:trHeight w:val="222"/>
        </w:trPr>
        <w:tc>
          <w:tcPr>
            <w:tcW w:w="660" w:type="dxa"/>
            <w:vAlign w:val="bottom"/>
            <w:tcBorders>
              <w:bottom w:val="single" w:sz="8" w:color="909090"/>
            </w:tcBorders>
          </w:tcPr>
          <w:p>
            <w:pPr>
              <w:spacing w:after="0"/>
              <w:rPr>
                <w:sz w:val="19"/>
                <w:szCs w:val="19"/>
                <w:color w:val="auto"/>
              </w:rPr>
            </w:pPr>
          </w:p>
        </w:tc>
        <w:tc>
          <w:tcPr>
            <w:tcW w:w="6100" w:type="dxa"/>
            <w:vAlign w:val="bottom"/>
            <w:tcBorders>
              <w:bottom w:val="single" w:sz="8" w:color="909090"/>
            </w:tcBorders>
          </w:tcPr>
          <w:p>
            <w:pPr>
              <w:spacing w:after="0"/>
              <w:rPr>
                <w:sz w:val="19"/>
                <w:szCs w:val="19"/>
                <w:color w:val="auto"/>
              </w:rPr>
            </w:pPr>
          </w:p>
        </w:tc>
        <w:tc>
          <w:tcPr>
            <w:tcW w:w="100" w:type="dxa"/>
            <w:vAlign w:val="bottom"/>
            <w:tcBorders>
              <w:bottom w:val="single" w:sz="8" w:color="909090"/>
            </w:tcBorders>
          </w:tcPr>
          <w:p>
            <w:pPr>
              <w:spacing w:after="0"/>
              <w:rPr>
                <w:sz w:val="19"/>
                <w:szCs w:val="19"/>
                <w:color w:val="auto"/>
              </w:rPr>
            </w:pPr>
          </w:p>
        </w:tc>
        <w:tc>
          <w:tcPr>
            <w:tcW w:w="640" w:type="dxa"/>
            <w:vAlign w:val="bottom"/>
            <w:tcBorders>
              <w:bottom w:val="single" w:sz="8" w:color="909090"/>
            </w:tcBorders>
          </w:tcPr>
          <w:p>
            <w:pPr>
              <w:spacing w:after="0"/>
              <w:rPr>
                <w:sz w:val="19"/>
                <w:szCs w:val="19"/>
                <w:color w:val="auto"/>
              </w:rPr>
            </w:pPr>
          </w:p>
        </w:tc>
        <w:tc>
          <w:tcPr>
            <w:tcW w:w="360" w:type="dxa"/>
            <w:vAlign w:val="bottom"/>
            <w:tcBorders>
              <w:bottom w:val="single" w:sz="8" w:color="909090"/>
            </w:tcBorders>
          </w:tcPr>
          <w:p>
            <w:pPr>
              <w:spacing w:after="0"/>
              <w:rPr>
                <w:sz w:val="19"/>
                <w:szCs w:val="19"/>
                <w:color w:val="auto"/>
              </w:rPr>
            </w:pPr>
          </w:p>
        </w:tc>
      </w:tr>
    </w:tbl>
    <w:p>
      <w:pPr>
        <w:sectPr>
          <w:pgSz w:w="11900" w:h="16838" w:orient="portrait"/>
          <w:cols w:equalWidth="0" w:num="1">
            <w:col w:w="9299"/>
          </w:cols>
          <w:pgMar w:left="1160" w:top="120" w:right="1440" w:bottom="1440" w:gutter="0" w:footer="0" w:header="0"/>
        </w:sectPr>
      </w:pPr>
    </w:p>
    <w:bookmarkStart w:id="2" w:name="page3"/>
    <w:bookmarkEnd w:id="2"/>
    <w:p>
      <w:pPr>
        <w:jc w:val="center"/>
        <w:ind w:right="1439"/>
        <w:spacing w:after="0"/>
        <w:rPr>
          <w:sz w:val="20"/>
          <w:szCs w:val="20"/>
          <w:color w:val="auto"/>
        </w:rPr>
      </w:pPr>
      <w:r>
        <w:rPr>
          <w:rFonts w:ascii="Arial" w:cs="Arial" w:eastAsia="Arial" w:hAnsi="Arial"/>
          <w:sz w:val="17"/>
          <w:szCs w:val="17"/>
          <w:color w:val="auto"/>
        </w:rPr>
        <w:t>SECURITY NATIONAL FINANCIAL CORPORATION</w:t>
      </w:r>
    </w:p>
    <w:p>
      <w:pPr>
        <w:spacing w:after="0" w:line="19" w:lineRule="exact"/>
        <w:rPr>
          <w:sz w:val="20"/>
          <w:szCs w:val="20"/>
          <w:color w:val="auto"/>
        </w:rPr>
      </w:pPr>
    </w:p>
    <w:p>
      <w:pPr>
        <w:jc w:val="center"/>
        <w:ind w:right="1439"/>
        <w:spacing w:after="0"/>
        <w:rPr>
          <w:sz w:val="20"/>
          <w:szCs w:val="20"/>
          <w:color w:val="auto"/>
        </w:rPr>
      </w:pPr>
      <w:r>
        <w:rPr>
          <w:rFonts w:ascii="Arial" w:cs="Arial" w:eastAsia="Arial" w:hAnsi="Arial"/>
          <w:sz w:val="17"/>
          <w:szCs w:val="17"/>
          <w:color w:val="auto"/>
        </w:rPr>
        <w:t>AND SUBSIDIARIES</w:t>
      </w:r>
    </w:p>
    <w:p>
      <w:pPr>
        <w:spacing w:after="0" w:line="3" w:lineRule="exact"/>
        <w:rPr>
          <w:sz w:val="20"/>
          <w:szCs w:val="20"/>
          <w:color w:val="auto"/>
        </w:rPr>
      </w:pPr>
    </w:p>
    <w:p>
      <w:pPr>
        <w:jc w:val="center"/>
        <w:ind w:right="1439"/>
        <w:spacing w:after="0"/>
        <w:rPr>
          <w:sz w:val="20"/>
          <w:szCs w:val="20"/>
          <w:color w:val="auto"/>
        </w:rPr>
      </w:pPr>
      <w:r>
        <w:rPr>
          <w:rFonts w:ascii="Arial" w:cs="Arial" w:eastAsia="Arial" w:hAnsi="Arial"/>
          <w:sz w:val="17"/>
          <w:szCs w:val="17"/>
          <w:color w:val="auto"/>
        </w:rPr>
        <w:t>CONDENSED CONSOLIDATED BALANCE SHEETS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0" w:type="dxa"/>
            <w:vAlign w:val="bottom"/>
          </w:tcPr>
          <w:p>
            <w:pPr>
              <w:spacing w:after="0"/>
              <w:rPr>
                <w:sz w:val="19"/>
                <w:szCs w:val="19"/>
                <w:color w:val="auto"/>
              </w:rPr>
            </w:pPr>
          </w:p>
        </w:tc>
        <w:tc>
          <w:tcPr>
            <w:tcW w:w="4360" w:type="dxa"/>
            <w:vAlign w:val="bottom"/>
          </w:tcPr>
          <w:p>
            <w:pPr>
              <w:ind w:left="2160"/>
              <w:spacing w:after="0"/>
              <w:rPr>
                <w:sz w:val="20"/>
                <w:szCs w:val="20"/>
                <w:color w:val="auto"/>
              </w:rPr>
            </w:pPr>
            <w:r>
              <w:rPr>
                <w:rFonts w:ascii="Arial" w:cs="Arial" w:eastAsia="Arial" w:hAnsi="Arial"/>
                <w:sz w:val="17"/>
                <w:szCs w:val="17"/>
                <w:b w:val="1"/>
                <w:bCs w:val="1"/>
                <w:color w:val="auto"/>
                <w:w w:val="95"/>
              </w:rPr>
              <w:t xml:space="preserve">Part I </w:t>
            </w:r>
            <w:r>
              <w:rPr>
                <w:rFonts w:ascii="Arial" w:cs="Arial" w:eastAsia="Arial" w:hAnsi="Arial"/>
                <w:sz w:val="12"/>
                <w:szCs w:val="12"/>
                <w:b w:val="1"/>
                <w:bCs w:val="1"/>
                <w:color w:val="auto"/>
                <w:w w:val="95"/>
              </w:rPr>
              <w:t>-</w:t>
            </w:r>
            <w:r>
              <w:rPr>
                <w:rFonts w:ascii="Arial" w:cs="Arial" w:eastAsia="Arial" w:hAnsi="Arial"/>
                <w:sz w:val="17"/>
                <w:szCs w:val="17"/>
                <w:b w:val="1"/>
                <w:bCs w:val="1"/>
                <w:color w:val="auto"/>
                <w:w w:val="95"/>
              </w:rPr>
              <w:t xml:space="preserve"> Financial Information</w:t>
            </w: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80" w:type="dxa"/>
            <w:vAlign w:val="bottom"/>
          </w:tcPr>
          <w:p>
            <w:pPr>
              <w:spacing w:after="0"/>
              <w:rPr>
                <w:sz w:val="20"/>
                <w:szCs w:val="20"/>
                <w:color w:val="auto"/>
              </w:rPr>
            </w:pPr>
            <w:r>
              <w:rPr>
                <w:rFonts w:ascii="Arial" w:cs="Arial" w:eastAsia="Arial" w:hAnsi="Arial"/>
                <w:sz w:val="17"/>
                <w:szCs w:val="17"/>
                <w:b w:val="1"/>
                <w:bCs w:val="1"/>
                <w:color w:val="auto"/>
              </w:rPr>
              <w:t>Item 1.</w:t>
            </w:r>
          </w:p>
        </w:tc>
        <w:tc>
          <w:tcPr>
            <w:tcW w:w="4360" w:type="dxa"/>
            <w:vAlign w:val="bottom"/>
          </w:tcPr>
          <w:p>
            <w:pPr>
              <w:ind w:left="80"/>
              <w:spacing w:after="0"/>
              <w:rPr>
                <w:sz w:val="20"/>
                <w:szCs w:val="20"/>
                <w:color w:val="auto"/>
              </w:rPr>
            </w:pPr>
            <w:r>
              <w:rPr>
                <w:rFonts w:ascii="Arial" w:cs="Arial" w:eastAsia="Arial" w:hAnsi="Arial"/>
                <w:sz w:val="17"/>
                <w:szCs w:val="17"/>
                <w:b w:val="1"/>
                <w:bCs w:val="1"/>
                <w:color w:val="auto"/>
              </w:rPr>
              <w:t>Financial Statements.</w:t>
            </w:r>
          </w:p>
        </w:tc>
        <w:tc>
          <w:tcPr>
            <w:tcW w:w="3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2"/>
        </w:trPr>
        <w:tc>
          <w:tcPr>
            <w:tcW w:w="6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gridSpan w:val="2"/>
          </w:tcPr>
          <w:p>
            <w:pPr>
              <w:jc w:val="center"/>
              <w:ind w:right="560"/>
              <w:spacing w:after="0"/>
              <w:rPr>
                <w:sz w:val="20"/>
                <w:szCs w:val="20"/>
                <w:color w:val="auto"/>
              </w:rPr>
            </w:pPr>
            <w:r>
              <w:rPr>
                <w:rFonts w:ascii="Arial" w:cs="Arial" w:eastAsia="Arial" w:hAnsi="Arial"/>
                <w:sz w:val="16"/>
                <w:szCs w:val="16"/>
                <w:color w:val="auto"/>
                <w:w w:val="89"/>
              </w:rPr>
              <w:t>March 31</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80" w:type="dxa"/>
            <w:vAlign w:val="bottom"/>
            <w:vMerge w:val="restart"/>
          </w:tcPr>
          <w:p>
            <w:pPr>
              <w:spacing w:after="0"/>
              <w:rPr>
                <w:sz w:val="20"/>
                <w:szCs w:val="20"/>
                <w:color w:val="auto"/>
              </w:rPr>
            </w:pPr>
            <w:r>
              <w:rPr>
                <w:rFonts w:ascii="Arial" w:cs="Arial" w:eastAsia="Arial" w:hAnsi="Arial"/>
                <w:sz w:val="16"/>
                <w:szCs w:val="16"/>
                <w:b w:val="1"/>
                <w:bCs w:val="1"/>
                <w:color w:val="auto"/>
              </w:rPr>
              <w:t>Assets</w:t>
            </w:r>
          </w:p>
        </w:tc>
        <w:tc>
          <w:tcPr>
            <w:tcW w:w="4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jc w:val="center"/>
              <w:ind w:right="322"/>
              <w:spacing w:after="0"/>
              <w:rPr>
                <w:sz w:val="20"/>
                <w:szCs w:val="20"/>
                <w:color w:val="auto"/>
              </w:rPr>
            </w:pPr>
            <w:r>
              <w:rPr>
                <w:rFonts w:ascii="Arial" w:cs="Arial" w:eastAsia="Arial" w:hAnsi="Arial"/>
                <w:sz w:val="16"/>
                <w:szCs w:val="16"/>
                <w:color w:val="auto"/>
                <w:w w:val="89"/>
              </w:rPr>
              <w:t>2020</w:t>
            </w:r>
          </w:p>
        </w:tc>
        <w:tc>
          <w:tcPr>
            <w:tcW w:w="160" w:type="dxa"/>
            <w:vAlign w:val="bottom"/>
          </w:tcPr>
          <w:p>
            <w:pPr>
              <w:spacing w:after="0"/>
              <w:rPr>
                <w:sz w:val="16"/>
                <w:szCs w:val="16"/>
                <w:color w:val="auto"/>
              </w:rPr>
            </w:pPr>
          </w:p>
        </w:tc>
        <w:tc>
          <w:tcPr>
            <w:tcW w:w="1240" w:type="dxa"/>
            <w:vAlign w:val="bottom"/>
          </w:tcPr>
          <w:p>
            <w:pPr>
              <w:jc w:val="right"/>
              <w:ind w:right="122"/>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205"/>
        </w:trPr>
        <w:tc>
          <w:tcPr>
            <w:tcW w:w="680" w:type="dxa"/>
            <w:vAlign w:val="bottom"/>
            <w:vMerge w:val="continue"/>
          </w:tcPr>
          <w:p>
            <w:pPr>
              <w:spacing w:after="0"/>
              <w:rPr>
                <w:sz w:val="17"/>
                <w:szCs w:val="17"/>
                <w:color w:val="auto"/>
              </w:rPr>
            </w:pPr>
          </w:p>
        </w:tc>
        <w:tc>
          <w:tcPr>
            <w:tcW w:w="4360" w:type="dxa"/>
            <w:vAlign w:val="bottom"/>
          </w:tcPr>
          <w:p>
            <w:pPr>
              <w:spacing w:after="0"/>
              <w:rPr>
                <w:sz w:val="17"/>
                <w:szCs w:val="17"/>
                <w:color w:val="auto"/>
              </w:rPr>
            </w:pPr>
          </w:p>
        </w:tc>
        <w:tc>
          <w:tcPr>
            <w:tcW w:w="1580" w:type="dxa"/>
            <w:vAlign w:val="bottom"/>
            <w:gridSpan w:val="3"/>
          </w:tcPr>
          <w:p>
            <w:pPr>
              <w:jc w:val="center"/>
              <w:ind w:right="180"/>
              <w:spacing w:after="0"/>
              <w:rPr>
                <w:sz w:val="20"/>
                <w:szCs w:val="20"/>
                <w:color w:val="auto"/>
              </w:rPr>
            </w:pPr>
            <w:r>
              <w:rPr>
                <w:rFonts w:ascii="Arial" w:cs="Arial" w:eastAsia="Arial" w:hAnsi="Arial"/>
                <w:sz w:val="16"/>
                <w:szCs w:val="16"/>
                <w:color w:val="auto"/>
                <w:w w:val="90"/>
              </w:rPr>
              <w:t>(Unaudited)</w:t>
            </w:r>
          </w:p>
        </w:tc>
        <w:tc>
          <w:tcPr>
            <w:tcW w:w="1240" w:type="dxa"/>
            <w:vAlign w:val="bottom"/>
          </w:tcPr>
          <w:p>
            <w:pPr>
              <w:jc w:val="right"/>
              <w:ind w:right="402"/>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220"/>
        </w:trPr>
        <w:tc>
          <w:tcPr>
            <w:tcW w:w="5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Investments:</w:t>
            </w:r>
          </w:p>
        </w:tc>
        <w:tc>
          <w:tcPr>
            <w:tcW w:w="3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040" w:type="dxa"/>
            <w:vAlign w:val="bottom"/>
            <w:gridSpan w:val="2"/>
          </w:tcPr>
          <w:p>
            <w:pPr>
              <w:ind w:left="80"/>
              <w:spacing w:after="0"/>
              <w:rPr>
                <w:sz w:val="20"/>
                <w:szCs w:val="20"/>
                <w:color w:val="auto"/>
              </w:rPr>
            </w:pPr>
            <w:r>
              <w:rPr>
                <w:rFonts w:ascii="Arial" w:cs="Arial" w:eastAsia="Arial" w:hAnsi="Arial"/>
                <w:sz w:val="16"/>
                <w:szCs w:val="16"/>
                <w:color w:val="auto"/>
              </w:rPr>
              <w:t>Fixed maturity securities, available for sale, at estimated fair value</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329,145,562</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  355,977,820</w:t>
            </w:r>
          </w:p>
        </w:tc>
        <w:tc>
          <w:tcPr>
            <w:tcW w:w="0" w:type="dxa"/>
            <w:vAlign w:val="bottom"/>
          </w:tcPr>
          <w:p>
            <w:pPr>
              <w:spacing w:after="0"/>
              <w:rPr>
                <w:sz w:val="1"/>
                <w:szCs w:val="1"/>
                <w:color w:val="auto"/>
              </w:rPr>
            </w:pPr>
          </w:p>
        </w:tc>
      </w:tr>
      <w:tr>
        <w:trPr>
          <w:trHeight w:val="240"/>
        </w:trPr>
        <w:tc>
          <w:tcPr>
            <w:tcW w:w="50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Equity securities at estimated fair value</w:t>
            </w:r>
          </w:p>
        </w:tc>
        <w:tc>
          <w:tcPr>
            <w:tcW w:w="3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8,235,945</w:t>
            </w: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7,271,165</w:t>
            </w:r>
          </w:p>
        </w:tc>
        <w:tc>
          <w:tcPr>
            <w:tcW w:w="0" w:type="dxa"/>
            <w:vAlign w:val="bottom"/>
          </w:tcPr>
          <w:p>
            <w:pPr>
              <w:spacing w:after="0"/>
              <w:rPr>
                <w:sz w:val="1"/>
                <w:szCs w:val="1"/>
                <w:color w:val="auto"/>
              </w:rPr>
            </w:pPr>
          </w:p>
        </w:tc>
      </w:tr>
      <w:tr>
        <w:trPr>
          <w:trHeight w:val="186"/>
        </w:trPr>
        <w:tc>
          <w:tcPr>
            <w:tcW w:w="5040" w:type="dxa"/>
            <w:vAlign w:val="bottom"/>
            <w:gridSpan w:val="2"/>
          </w:tcPr>
          <w:p>
            <w:pPr>
              <w:ind w:left="140"/>
              <w:spacing w:after="0"/>
              <w:rPr>
                <w:sz w:val="20"/>
                <w:szCs w:val="20"/>
                <w:color w:val="auto"/>
              </w:rPr>
            </w:pPr>
            <w:r>
              <w:rPr>
                <w:rFonts w:ascii="Arial" w:cs="Arial" w:eastAsia="Arial" w:hAnsi="Arial"/>
                <w:sz w:val="16"/>
                <w:szCs w:val="16"/>
                <w:color w:val="auto"/>
                <w:w w:val="95"/>
              </w:rPr>
              <w:t>Mortgage loans held for investment (net of allowances for loan losses of</w:t>
            </w: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040" w:type="dxa"/>
            <w:vAlign w:val="bottom"/>
            <w:gridSpan w:val="2"/>
          </w:tcPr>
          <w:p>
            <w:pPr>
              <w:ind w:left="140"/>
              <w:spacing w:after="0"/>
              <w:rPr>
                <w:sz w:val="20"/>
                <w:szCs w:val="20"/>
                <w:color w:val="auto"/>
              </w:rPr>
            </w:pPr>
            <w:r>
              <w:rPr>
                <w:rFonts w:ascii="Arial" w:cs="Arial" w:eastAsia="Arial" w:hAnsi="Arial"/>
                <w:sz w:val="16"/>
                <w:szCs w:val="16"/>
                <w:color w:val="auto"/>
              </w:rPr>
              <w:t>$2,089,670 and $1,453,037 for 2020 and 2019)</w:t>
            </w: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250,404,519</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236,694,546</w:t>
            </w:r>
          </w:p>
        </w:tc>
        <w:tc>
          <w:tcPr>
            <w:tcW w:w="0" w:type="dxa"/>
            <w:vAlign w:val="bottom"/>
          </w:tcPr>
          <w:p>
            <w:pPr>
              <w:spacing w:after="0"/>
              <w:rPr>
                <w:sz w:val="1"/>
                <w:szCs w:val="1"/>
                <w:color w:val="auto"/>
              </w:rPr>
            </w:pPr>
          </w:p>
        </w:tc>
      </w:tr>
      <w:tr>
        <w:trPr>
          <w:trHeight w:val="192"/>
        </w:trPr>
        <w:tc>
          <w:tcPr>
            <w:tcW w:w="50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Real estate held for investment (net of accumulated depreciation of</w:t>
            </w:r>
          </w:p>
        </w:tc>
        <w:tc>
          <w:tcPr>
            <w:tcW w:w="3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0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$12,858,882 and $12,788,739 for 2020 and 2019)</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102,916,419</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102,756,946</w:t>
            </w:r>
          </w:p>
        </w:tc>
        <w:tc>
          <w:tcPr>
            <w:tcW w:w="0" w:type="dxa"/>
            <w:vAlign w:val="bottom"/>
          </w:tcPr>
          <w:p>
            <w:pPr>
              <w:spacing w:after="0"/>
              <w:rPr>
                <w:sz w:val="1"/>
                <w:szCs w:val="1"/>
                <w:color w:val="auto"/>
              </w:rPr>
            </w:pPr>
          </w:p>
        </w:tc>
      </w:tr>
      <w:tr>
        <w:trPr>
          <w:trHeight w:val="228"/>
        </w:trPr>
        <w:tc>
          <w:tcPr>
            <w:tcW w:w="5040" w:type="dxa"/>
            <w:vAlign w:val="bottom"/>
            <w:gridSpan w:val="2"/>
          </w:tcPr>
          <w:p>
            <w:pPr>
              <w:ind w:left="140"/>
              <w:spacing w:after="0"/>
              <w:rPr>
                <w:sz w:val="20"/>
                <w:szCs w:val="20"/>
                <w:color w:val="auto"/>
              </w:rPr>
            </w:pPr>
            <w:r>
              <w:rPr>
                <w:rFonts w:ascii="Arial" w:cs="Arial" w:eastAsia="Arial" w:hAnsi="Arial"/>
                <w:sz w:val="16"/>
                <w:szCs w:val="16"/>
                <w:color w:val="auto"/>
              </w:rPr>
              <w:t>Real estate held for sale</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11,724,432</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14,097,627</w:t>
            </w:r>
          </w:p>
        </w:tc>
        <w:tc>
          <w:tcPr>
            <w:tcW w:w="0" w:type="dxa"/>
            <w:vAlign w:val="bottom"/>
          </w:tcPr>
          <w:p>
            <w:pPr>
              <w:spacing w:after="0"/>
              <w:rPr>
                <w:sz w:val="1"/>
                <w:szCs w:val="1"/>
                <w:color w:val="auto"/>
              </w:rPr>
            </w:pPr>
          </w:p>
        </w:tc>
      </w:tr>
      <w:tr>
        <w:trPr>
          <w:trHeight w:val="192"/>
        </w:trPr>
        <w:tc>
          <w:tcPr>
            <w:tcW w:w="50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91"/>
              </w:rPr>
              <w:t>Other investments and policy loans (net of allowances for doubtful accounts</w:t>
            </w:r>
          </w:p>
        </w:tc>
        <w:tc>
          <w:tcPr>
            <w:tcW w:w="3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0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of $1,489,113 and $1,448,026 for 2020 and 2019)</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58,487,143</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60,245,269</w:t>
            </w:r>
          </w:p>
        </w:tc>
        <w:tc>
          <w:tcPr>
            <w:tcW w:w="0" w:type="dxa"/>
            <w:vAlign w:val="bottom"/>
          </w:tcPr>
          <w:p>
            <w:pPr>
              <w:spacing w:after="0"/>
              <w:rPr>
                <w:sz w:val="1"/>
                <w:szCs w:val="1"/>
                <w:color w:val="auto"/>
              </w:rPr>
            </w:pPr>
          </w:p>
        </w:tc>
      </w:tr>
      <w:tr>
        <w:trPr>
          <w:trHeight w:val="228"/>
        </w:trPr>
        <w:tc>
          <w:tcPr>
            <w:tcW w:w="504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Accrued investment income</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5,757,535</w:t>
            </w:r>
          </w:p>
        </w:tc>
        <w:tc>
          <w:tcPr>
            <w:tcW w:w="16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4,833,232</w:t>
            </w:r>
          </w:p>
        </w:tc>
        <w:tc>
          <w:tcPr>
            <w:tcW w:w="0" w:type="dxa"/>
            <w:vAlign w:val="bottom"/>
          </w:tcPr>
          <w:p>
            <w:pPr>
              <w:spacing w:after="0"/>
              <w:rPr>
                <w:sz w:val="1"/>
                <w:szCs w:val="1"/>
                <w:color w:val="auto"/>
              </w:rPr>
            </w:pPr>
          </w:p>
        </w:tc>
      </w:tr>
      <w:tr>
        <w:trPr>
          <w:trHeight w:val="214"/>
        </w:trPr>
        <w:tc>
          <w:tcPr>
            <w:tcW w:w="5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investments</w:t>
            </w: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766,671,555</w:t>
            </w:r>
          </w:p>
        </w:tc>
        <w:tc>
          <w:tcPr>
            <w:tcW w:w="16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781,876,605</w:t>
            </w:r>
          </w:p>
        </w:tc>
        <w:tc>
          <w:tcPr>
            <w:tcW w:w="0" w:type="dxa"/>
            <w:vAlign w:val="bottom"/>
          </w:tcPr>
          <w:p>
            <w:pPr>
              <w:spacing w:after="0"/>
              <w:rPr>
                <w:sz w:val="1"/>
                <w:szCs w:val="1"/>
                <w:color w:val="auto"/>
              </w:rPr>
            </w:pPr>
          </w:p>
        </w:tc>
      </w:tr>
      <w:tr>
        <w:trPr>
          <w:trHeight w:val="214"/>
        </w:trPr>
        <w:tc>
          <w:tcPr>
            <w:tcW w:w="5040" w:type="dxa"/>
            <w:vAlign w:val="bottom"/>
            <w:gridSpan w:val="2"/>
          </w:tcPr>
          <w:p>
            <w:pPr>
              <w:spacing w:after="0"/>
              <w:rPr>
                <w:sz w:val="20"/>
                <w:szCs w:val="20"/>
                <w:color w:val="auto"/>
              </w:rPr>
            </w:pPr>
            <w:r>
              <w:rPr>
                <w:rFonts w:ascii="Arial" w:cs="Arial" w:eastAsia="Arial" w:hAnsi="Arial"/>
                <w:sz w:val="16"/>
                <w:szCs w:val="16"/>
                <w:color w:val="auto"/>
              </w:rPr>
              <w:t>Cash and cash equivalents</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103,769,066</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127,754,719</w:t>
            </w:r>
          </w:p>
        </w:tc>
        <w:tc>
          <w:tcPr>
            <w:tcW w:w="0" w:type="dxa"/>
            <w:vAlign w:val="bottom"/>
          </w:tcPr>
          <w:p>
            <w:pPr>
              <w:spacing w:after="0"/>
              <w:rPr>
                <w:sz w:val="1"/>
                <w:szCs w:val="1"/>
                <w:color w:val="auto"/>
              </w:rPr>
            </w:pPr>
          </w:p>
        </w:tc>
      </w:tr>
      <w:tr>
        <w:trPr>
          <w:trHeight w:val="240"/>
        </w:trPr>
        <w:tc>
          <w:tcPr>
            <w:tcW w:w="5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Loans held for sale at estimated fair value</w:t>
            </w:r>
          </w:p>
        </w:tc>
        <w:tc>
          <w:tcPr>
            <w:tcW w:w="3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281,052,576</w:t>
            </w: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213,457,632</w:t>
            </w:r>
          </w:p>
        </w:tc>
        <w:tc>
          <w:tcPr>
            <w:tcW w:w="0" w:type="dxa"/>
            <w:vAlign w:val="bottom"/>
          </w:tcPr>
          <w:p>
            <w:pPr>
              <w:spacing w:after="0"/>
              <w:rPr>
                <w:sz w:val="1"/>
                <w:szCs w:val="1"/>
                <w:color w:val="auto"/>
              </w:rPr>
            </w:pPr>
          </w:p>
        </w:tc>
      </w:tr>
      <w:tr>
        <w:trPr>
          <w:trHeight w:val="186"/>
        </w:trPr>
        <w:tc>
          <w:tcPr>
            <w:tcW w:w="5040" w:type="dxa"/>
            <w:vAlign w:val="bottom"/>
            <w:gridSpan w:val="2"/>
          </w:tcPr>
          <w:p>
            <w:pPr>
              <w:spacing w:after="0"/>
              <w:rPr>
                <w:sz w:val="20"/>
                <w:szCs w:val="20"/>
                <w:color w:val="auto"/>
              </w:rPr>
            </w:pPr>
            <w:r>
              <w:rPr>
                <w:rFonts w:ascii="Arial" w:cs="Arial" w:eastAsia="Arial" w:hAnsi="Arial"/>
                <w:sz w:val="16"/>
                <w:szCs w:val="16"/>
                <w:color w:val="auto"/>
              </w:rPr>
              <w:t>Receivables (net of allowances for doubtful accounts of $1,710,087</w:t>
            </w: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040" w:type="dxa"/>
            <w:vAlign w:val="bottom"/>
            <w:gridSpan w:val="2"/>
          </w:tcPr>
          <w:p>
            <w:pPr>
              <w:spacing w:after="0"/>
              <w:rPr>
                <w:sz w:val="20"/>
                <w:szCs w:val="20"/>
                <w:color w:val="auto"/>
              </w:rPr>
            </w:pPr>
            <w:r>
              <w:rPr>
                <w:rFonts w:ascii="Arial" w:cs="Arial" w:eastAsia="Arial" w:hAnsi="Arial"/>
                <w:sz w:val="16"/>
                <w:szCs w:val="16"/>
                <w:color w:val="auto"/>
              </w:rPr>
              <w:t>and $1,724,156 for 2020 and 2019)</w:t>
            </w: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10,089,043</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9,236,330</w:t>
            </w:r>
          </w:p>
        </w:tc>
        <w:tc>
          <w:tcPr>
            <w:tcW w:w="0" w:type="dxa"/>
            <w:vAlign w:val="bottom"/>
          </w:tcPr>
          <w:p>
            <w:pPr>
              <w:spacing w:after="0"/>
              <w:rPr>
                <w:sz w:val="1"/>
                <w:szCs w:val="1"/>
                <w:color w:val="auto"/>
              </w:rPr>
            </w:pPr>
          </w:p>
        </w:tc>
      </w:tr>
      <w:tr>
        <w:trPr>
          <w:trHeight w:val="192"/>
        </w:trPr>
        <w:tc>
          <w:tcPr>
            <w:tcW w:w="504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1"/>
              </w:rPr>
              <w:t>Restricted assets (including $2,716,047 and $2,985,347 for 2020 and 2019 at</w:t>
            </w:r>
          </w:p>
        </w:tc>
        <w:tc>
          <w:tcPr>
            <w:tcW w:w="3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estimated fair value)</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19,605,629</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13,935,317</w:t>
            </w:r>
          </w:p>
        </w:tc>
        <w:tc>
          <w:tcPr>
            <w:tcW w:w="0" w:type="dxa"/>
            <w:vAlign w:val="bottom"/>
          </w:tcPr>
          <w:p>
            <w:pPr>
              <w:spacing w:after="0"/>
              <w:rPr>
                <w:sz w:val="1"/>
                <w:szCs w:val="1"/>
                <w:color w:val="auto"/>
              </w:rPr>
            </w:pPr>
          </w:p>
        </w:tc>
      </w:tr>
      <w:tr>
        <w:trPr>
          <w:trHeight w:val="186"/>
        </w:trPr>
        <w:tc>
          <w:tcPr>
            <w:tcW w:w="5040" w:type="dxa"/>
            <w:vAlign w:val="bottom"/>
            <w:gridSpan w:val="2"/>
          </w:tcPr>
          <w:p>
            <w:pPr>
              <w:spacing w:after="0"/>
              <w:rPr>
                <w:sz w:val="20"/>
                <w:szCs w:val="20"/>
                <w:color w:val="auto"/>
              </w:rPr>
            </w:pPr>
            <w:r>
              <w:rPr>
                <w:rFonts w:ascii="Arial" w:cs="Arial" w:eastAsia="Arial" w:hAnsi="Arial"/>
                <w:sz w:val="16"/>
                <w:szCs w:val="16"/>
                <w:color w:val="auto"/>
              </w:rPr>
              <w:t>Cemetery perpetual care trust investments (including $2,344,229 and</w:t>
            </w: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040" w:type="dxa"/>
            <w:vAlign w:val="bottom"/>
            <w:gridSpan w:val="2"/>
          </w:tcPr>
          <w:p>
            <w:pPr>
              <w:spacing w:after="0"/>
              <w:rPr>
                <w:sz w:val="20"/>
                <w:szCs w:val="20"/>
                <w:color w:val="auto"/>
              </w:rPr>
            </w:pPr>
            <w:r>
              <w:rPr>
                <w:rFonts w:ascii="Arial" w:cs="Arial" w:eastAsia="Arial" w:hAnsi="Arial"/>
                <w:sz w:val="16"/>
                <w:szCs w:val="16"/>
                <w:color w:val="auto"/>
              </w:rPr>
              <w:t>$2,581,124 for 2020 and 2019 at estimated fair value)</w:t>
            </w: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4,150,667</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4,411,864</w:t>
            </w:r>
          </w:p>
        </w:tc>
        <w:tc>
          <w:tcPr>
            <w:tcW w:w="0" w:type="dxa"/>
            <w:vAlign w:val="bottom"/>
          </w:tcPr>
          <w:p>
            <w:pPr>
              <w:spacing w:after="0"/>
              <w:rPr>
                <w:sz w:val="1"/>
                <w:szCs w:val="1"/>
                <w:color w:val="auto"/>
              </w:rPr>
            </w:pPr>
          </w:p>
        </w:tc>
      </w:tr>
      <w:tr>
        <w:trPr>
          <w:trHeight w:val="240"/>
        </w:trPr>
        <w:tc>
          <w:tcPr>
            <w:tcW w:w="5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Receivable from reinsurers</w:t>
            </w:r>
          </w:p>
        </w:tc>
        <w:tc>
          <w:tcPr>
            <w:tcW w:w="3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15,517,323</w:t>
            </w: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15,747,768</w:t>
            </w:r>
          </w:p>
        </w:tc>
        <w:tc>
          <w:tcPr>
            <w:tcW w:w="0" w:type="dxa"/>
            <w:vAlign w:val="bottom"/>
          </w:tcPr>
          <w:p>
            <w:pPr>
              <w:spacing w:after="0"/>
              <w:rPr>
                <w:sz w:val="1"/>
                <w:szCs w:val="1"/>
                <w:color w:val="auto"/>
              </w:rPr>
            </w:pPr>
          </w:p>
        </w:tc>
      </w:tr>
      <w:tr>
        <w:trPr>
          <w:trHeight w:val="228"/>
        </w:trPr>
        <w:tc>
          <w:tcPr>
            <w:tcW w:w="5040" w:type="dxa"/>
            <w:vAlign w:val="bottom"/>
            <w:gridSpan w:val="2"/>
          </w:tcPr>
          <w:p>
            <w:pPr>
              <w:spacing w:after="0"/>
              <w:rPr>
                <w:sz w:val="20"/>
                <w:szCs w:val="20"/>
                <w:color w:val="auto"/>
              </w:rPr>
            </w:pPr>
            <w:r>
              <w:rPr>
                <w:rFonts w:ascii="Arial" w:cs="Arial" w:eastAsia="Arial" w:hAnsi="Arial"/>
                <w:sz w:val="16"/>
                <w:szCs w:val="16"/>
                <w:color w:val="auto"/>
              </w:rPr>
              <w:t>Cemetery land and improvements</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9,260,286</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9,519,950</w:t>
            </w:r>
          </w:p>
        </w:tc>
        <w:tc>
          <w:tcPr>
            <w:tcW w:w="0" w:type="dxa"/>
            <w:vAlign w:val="bottom"/>
          </w:tcPr>
          <w:p>
            <w:pPr>
              <w:spacing w:after="0"/>
              <w:rPr>
                <w:sz w:val="1"/>
                <w:szCs w:val="1"/>
                <w:color w:val="auto"/>
              </w:rPr>
            </w:pPr>
          </w:p>
        </w:tc>
      </w:tr>
      <w:tr>
        <w:trPr>
          <w:trHeight w:val="240"/>
        </w:trPr>
        <w:tc>
          <w:tcPr>
            <w:tcW w:w="5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policy and pre-need contract acquisition costs</w:t>
            </w:r>
          </w:p>
        </w:tc>
        <w:tc>
          <w:tcPr>
            <w:tcW w:w="3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95,942,560</w:t>
            </w: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94,701,920</w:t>
            </w:r>
          </w:p>
        </w:tc>
        <w:tc>
          <w:tcPr>
            <w:tcW w:w="0" w:type="dxa"/>
            <w:vAlign w:val="bottom"/>
          </w:tcPr>
          <w:p>
            <w:pPr>
              <w:spacing w:after="0"/>
              <w:rPr>
                <w:sz w:val="1"/>
                <w:szCs w:val="1"/>
                <w:color w:val="auto"/>
              </w:rPr>
            </w:pPr>
          </w:p>
        </w:tc>
      </w:tr>
      <w:tr>
        <w:trPr>
          <w:trHeight w:val="228"/>
        </w:trPr>
        <w:tc>
          <w:tcPr>
            <w:tcW w:w="5040" w:type="dxa"/>
            <w:vAlign w:val="bottom"/>
            <w:gridSpan w:val="2"/>
          </w:tcPr>
          <w:p>
            <w:pPr>
              <w:spacing w:after="0"/>
              <w:rPr>
                <w:sz w:val="20"/>
                <w:szCs w:val="20"/>
                <w:color w:val="auto"/>
              </w:rPr>
            </w:pPr>
            <w:r>
              <w:rPr>
                <w:rFonts w:ascii="Arial" w:cs="Arial" w:eastAsia="Arial" w:hAnsi="Arial"/>
                <w:sz w:val="16"/>
                <w:szCs w:val="16"/>
                <w:color w:val="auto"/>
              </w:rPr>
              <w:t>Mortgage servicing rights, net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16,777,131</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17,155,529</w:t>
            </w:r>
          </w:p>
        </w:tc>
        <w:tc>
          <w:tcPr>
            <w:tcW w:w="0" w:type="dxa"/>
            <w:vAlign w:val="bottom"/>
          </w:tcPr>
          <w:p>
            <w:pPr>
              <w:spacing w:after="0"/>
              <w:rPr>
                <w:sz w:val="1"/>
                <w:szCs w:val="1"/>
                <w:color w:val="auto"/>
              </w:rPr>
            </w:pPr>
          </w:p>
        </w:tc>
      </w:tr>
      <w:tr>
        <w:trPr>
          <w:trHeight w:val="240"/>
        </w:trPr>
        <w:tc>
          <w:tcPr>
            <w:tcW w:w="5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3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13,111,612</w:t>
            </w: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14,600,394</w:t>
            </w:r>
          </w:p>
        </w:tc>
        <w:tc>
          <w:tcPr>
            <w:tcW w:w="0" w:type="dxa"/>
            <w:vAlign w:val="bottom"/>
          </w:tcPr>
          <w:p>
            <w:pPr>
              <w:spacing w:after="0"/>
              <w:rPr>
                <w:sz w:val="1"/>
                <w:szCs w:val="1"/>
                <w:color w:val="auto"/>
              </w:rPr>
            </w:pPr>
          </w:p>
        </w:tc>
      </w:tr>
      <w:tr>
        <w:trPr>
          <w:trHeight w:val="228"/>
        </w:trPr>
        <w:tc>
          <w:tcPr>
            <w:tcW w:w="5040" w:type="dxa"/>
            <w:vAlign w:val="bottom"/>
            <w:gridSpan w:val="2"/>
          </w:tcPr>
          <w:p>
            <w:pPr>
              <w:spacing w:after="0"/>
              <w:rPr>
                <w:sz w:val="20"/>
                <w:szCs w:val="20"/>
                <w:color w:val="auto"/>
              </w:rPr>
            </w:pPr>
            <w:r>
              <w:rPr>
                <w:rFonts w:ascii="Arial" w:cs="Arial" w:eastAsia="Arial" w:hAnsi="Arial"/>
                <w:sz w:val="16"/>
                <w:szCs w:val="16"/>
                <w:color w:val="auto"/>
              </w:rPr>
              <w:t>Value of business acquired</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9,821,074</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9,876,647</w:t>
            </w:r>
          </w:p>
        </w:tc>
        <w:tc>
          <w:tcPr>
            <w:tcW w:w="0" w:type="dxa"/>
            <w:vAlign w:val="bottom"/>
          </w:tcPr>
          <w:p>
            <w:pPr>
              <w:spacing w:after="0"/>
              <w:rPr>
                <w:sz w:val="1"/>
                <w:szCs w:val="1"/>
                <w:color w:val="auto"/>
              </w:rPr>
            </w:pPr>
          </w:p>
        </w:tc>
      </w:tr>
      <w:tr>
        <w:trPr>
          <w:trHeight w:val="240"/>
        </w:trPr>
        <w:tc>
          <w:tcPr>
            <w:tcW w:w="68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43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3,519,588</w:t>
            </w: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3,519,588</w:t>
            </w:r>
          </w:p>
        </w:tc>
        <w:tc>
          <w:tcPr>
            <w:tcW w:w="0" w:type="dxa"/>
            <w:vAlign w:val="bottom"/>
          </w:tcPr>
          <w:p>
            <w:pPr>
              <w:spacing w:after="0"/>
              <w:rPr>
                <w:sz w:val="1"/>
                <w:szCs w:val="1"/>
                <w:color w:val="auto"/>
              </w:rPr>
            </w:pPr>
          </w:p>
        </w:tc>
      </w:tr>
      <w:tr>
        <w:trPr>
          <w:trHeight w:val="228"/>
        </w:trPr>
        <w:tc>
          <w:tcPr>
            <w:tcW w:w="6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w:t>
            </w:r>
          </w:p>
        </w:tc>
        <w:tc>
          <w:tcPr>
            <w:tcW w:w="43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26,872,727</w:t>
            </w:r>
          </w:p>
        </w:tc>
        <w:tc>
          <w:tcPr>
            <w:tcW w:w="16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18,649,812</w:t>
            </w:r>
          </w:p>
        </w:tc>
        <w:tc>
          <w:tcPr>
            <w:tcW w:w="0" w:type="dxa"/>
            <w:vAlign w:val="bottom"/>
          </w:tcPr>
          <w:p>
            <w:pPr>
              <w:spacing w:after="0"/>
              <w:rPr>
                <w:sz w:val="1"/>
                <w:szCs w:val="1"/>
                <w:color w:val="auto"/>
              </w:rPr>
            </w:pPr>
          </w:p>
        </w:tc>
      </w:tr>
      <w:tr>
        <w:trPr>
          <w:trHeight w:val="208"/>
        </w:trPr>
        <w:tc>
          <w:tcPr>
            <w:tcW w:w="68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040" w:type="dxa"/>
            <w:vAlign w:val="bottom"/>
            <w:gridSpan w:val="2"/>
          </w:tcPr>
          <w:p>
            <w:pPr>
              <w:spacing w:after="0"/>
              <w:rPr>
                <w:sz w:val="20"/>
                <w:szCs w:val="20"/>
                <w:color w:val="auto"/>
              </w:rPr>
            </w:pPr>
            <w:r>
              <w:rPr>
                <w:rFonts w:ascii="Arial" w:cs="Arial" w:eastAsia="Arial" w:hAnsi="Arial"/>
                <w:sz w:val="16"/>
                <w:szCs w:val="16"/>
                <w:b w:val="1"/>
                <w:bCs w:val="1"/>
                <w:color w:val="auto"/>
              </w:rPr>
              <w:t>Total Assets</w:t>
            </w:r>
          </w:p>
        </w:tc>
        <w:tc>
          <w:tcPr>
            <w:tcW w:w="3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1,376,160,837</w:t>
            </w:r>
          </w:p>
        </w:tc>
        <w:tc>
          <w:tcPr>
            <w:tcW w:w="16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$ 1,334,444,075</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93345</wp:posOffset>
            </wp:positionV>
            <wp:extent cx="49898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89830" cy="29845"/>
                    </a:xfrm>
                    <a:prstGeom prst="rect">
                      <a:avLst/>
                    </a:prstGeom>
                    <a:noFill/>
                  </pic:spPr>
                </pic:pic>
              </a:graphicData>
            </a:graphic>
          </wp:anchor>
        </w:drawing>
      </w:r>
    </w:p>
    <w:p>
      <w:pPr>
        <w:sectPr>
          <w:pgSz w:w="11900" w:h="16838" w:orient="portrait"/>
          <w:cols w:equalWidth="0" w:num="1">
            <w:col w:w="9299"/>
          </w:cols>
          <w:pgMar w:left="1160" w:top="124" w:right="1440" w:bottom="1440" w:gutter="0" w:footer="0" w:header="0"/>
        </w:sectPr>
      </w:pPr>
    </w:p>
    <w:bookmarkStart w:id="3" w:name="page4"/>
    <w:bookmarkEnd w:id="3"/>
    <w:p>
      <w:pPr>
        <w:jc w:val="center"/>
        <w:ind w:right="1439"/>
        <w:spacing w:after="0"/>
        <w:rPr>
          <w:sz w:val="20"/>
          <w:szCs w:val="20"/>
          <w:color w:val="auto"/>
        </w:rPr>
      </w:pPr>
      <w:r>
        <w:rPr>
          <w:rFonts w:ascii="Arial" w:cs="Arial" w:eastAsia="Arial" w:hAnsi="Arial"/>
          <w:sz w:val="17"/>
          <w:szCs w:val="17"/>
          <w:color w:val="auto"/>
        </w:rPr>
        <w:t>SECURITY NATIONAL FINANCIAL CORPORATION</w:t>
      </w:r>
    </w:p>
    <w:p>
      <w:pPr>
        <w:spacing w:after="0" w:line="19" w:lineRule="exact"/>
        <w:rPr>
          <w:sz w:val="20"/>
          <w:szCs w:val="20"/>
          <w:color w:val="auto"/>
        </w:rPr>
      </w:pPr>
    </w:p>
    <w:p>
      <w:pPr>
        <w:jc w:val="center"/>
        <w:ind w:right="1439"/>
        <w:spacing w:after="0"/>
        <w:rPr>
          <w:sz w:val="20"/>
          <w:szCs w:val="20"/>
          <w:color w:val="auto"/>
        </w:rPr>
      </w:pPr>
      <w:r>
        <w:rPr>
          <w:rFonts w:ascii="Arial" w:cs="Arial" w:eastAsia="Arial" w:hAnsi="Arial"/>
          <w:sz w:val="17"/>
          <w:szCs w:val="17"/>
          <w:color w:val="auto"/>
        </w:rPr>
        <w:t>AND SUBSIDIARIES</w:t>
      </w:r>
    </w:p>
    <w:p>
      <w:pPr>
        <w:spacing w:after="0" w:line="3" w:lineRule="exact"/>
        <w:rPr>
          <w:sz w:val="20"/>
          <w:szCs w:val="20"/>
          <w:color w:val="auto"/>
        </w:rPr>
      </w:pPr>
    </w:p>
    <w:p>
      <w:pPr>
        <w:jc w:val="center"/>
        <w:ind w:right="1439"/>
        <w:spacing w:after="0"/>
        <w:rPr>
          <w:sz w:val="20"/>
          <w:szCs w:val="20"/>
          <w:color w:val="auto"/>
        </w:rPr>
      </w:pPr>
      <w:r>
        <w:rPr>
          <w:rFonts w:ascii="Arial" w:cs="Arial" w:eastAsia="Arial" w:hAnsi="Arial"/>
          <w:sz w:val="17"/>
          <w:szCs w:val="17"/>
          <w:color w:val="auto"/>
        </w:rPr>
        <w:t>CONDENSED CONSOLIDATED BALANCE SHEETS (Continued)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color w:val="auto"/>
                <w:w w:val="89"/>
              </w:rPr>
              <w:t>March 31</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7"/>
        </w:trPr>
        <w:tc>
          <w:tcPr>
            <w:tcW w:w="5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ind w:right="42"/>
              <w:spacing w:after="0"/>
              <w:rPr>
                <w:sz w:val="20"/>
                <w:szCs w:val="20"/>
                <w:color w:val="auto"/>
              </w:rPr>
            </w:pPr>
            <w:r>
              <w:rPr>
                <w:rFonts w:ascii="Arial" w:cs="Arial" w:eastAsia="Arial" w:hAnsi="Arial"/>
                <w:sz w:val="16"/>
                <w:szCs w:val="16"/>
                <w:color w:val="auto"/>
                <w:w w:val="89"/>
              </w:rPr>
              <w:t>2020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02"/>
              <w:spacing w:after="0"/>
              <w:rPr>
                <w:sz w:val="20"/>
                <w:szCs w:val="20"/>
                <w:color w:val="auto"/>
              </w:rPr>
            </w:pPr>
            <w:r>
              <w:rPr>
                <w:rFonts w:ascii="Arial" w:cs="Arial" w:eastAsia="Arial" w:hAnsi="Arial"/>
                <w:sz w:val="16"/>
                <w:szCs w:val="16"/>
                <w:color w:val="auto"/>
                <w:w w:val="93"/>
              </w:rPr>
              <w:t>December 31</w:t>
            </w:r>
          </w:p>
        </w:tc>
      </w:tr>
      <w:tr>
        <w:trPr>
          <w:trHeight w:val="205"/>
        </w:trPr>
        <w:tc>
          <w:tcPr>
            <w:tcW w:w="5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color w:val="auto"/>
                <w:w w:val="90"/>
              </w:rPr>
              <w:t>(Unaudited)</w:t>
            </w:r>
          </w:p>
        </w:tc>
        <w:tc>
          <w:tcPr>
            <w:tcW w:w="100" w:type="dxa"/>
            <w:vAlign w:val="bottom"/>
          </w:tcPr>
          <w:p>
            <w:pPr>
              <w:spacing w:after="0"/>
              <w:rPr>
                <w:sz w:val="17"/>
                <w:szCs w:val="17"/>
                <w:color w:val="auto"/>
              </w:rPr>
            </w:pPr>
          </w:p>
        </w:tc>
        <w:tc>
          <w:tcPr>
            <w:tcW w:w="1100" w:type="dxa"/>
            <w:vAlign w:val="bottom"/>
          </w:tcPr>
          <w:p>
            <w:pPr>
              <w:jc w:val="right"/>
              <w:ind w:right="362"/>
              <w:spacing w:after="0"/>
              <w:rPr>
                <w:sz w:val="20"/>
                <w:szCs w:val="20"/>
                <w:color w:val="auto"/>
              </w:rPr>
            </w:pPr>
            <w:r>
              <w:rPr>
                <w:rFonts w:ascii="Arial" w:cs="Arial" w:eastAsia="Arial" w:hAnsi="Arial"/>
                <w:sz w:val="16"/>
                <w:szCs w:val="16"/>
                <w:color w:val="auto"/>
              </w:rPr>
              <w:t>2019</w:t>
            </w:r>
          </w:p>
        </w:tc>
      </w:tr>
      <w:tr>
        <w:trPr>
          <w:trHeight w:val="220"/>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r>
      <w:tr>
        <w:trPr>
          <w:trHeight w:val="228"/>
        </w:trPr>
        <w:tc>
          <w:tcPr>
            <w:tcW w:w="528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40"/>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Future policy benefits and unpaid claims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94"/>
              </w:rPr>
              <w:t>831,659,523</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96"/>
              </w:rPr>
              <w:t>825,600,918</w:t>
            </w:r>
          </w:p>
        </w:tc>
      </w:tr>
      <w:tr>
        <w:trPr>
          <w:trHeight w:val="228"/>
        </w:trPr>
        <w:tc>
          <w:tcPr>
            <w:tcW w:w="5280" w:type="dxa"/>
            <w:vAlign w:val="bottom"/>
          </w:tcPr>
          <w:p>
            <w:pPr>
              <w:spacing w:after="0"/>
              <w:rPr>
                <w:sz w:val="20"/>
                <w:szCs w:val="20"/>
                <w:color w:val="auto"/>
              </w:rPr>
            </w:pPr>
            <w:r>
              <w:rPr>
                <w:rFonts w:ascii="Arial" w:cs="Arial" w:eastAsia="Arial" w:hAnsi="Arial"/>
                <w:sz w:val="16"/>
                <w:szCs w:val="16"/>
                <w:color w:val="auto"/>
              </w:rPr>
              <w:t>Unearned premium reserve</w:t>
            </w:r>
          </w:p>
        </w:tc>
        <w:tc>
          <w:tcPr>
            <w:tcW w:w="120" w:type="dxa"/>
            <w:vAlign w:val="bottom"/>
          </w:tcPr>
          <w:p>
            <w:pPr>
              <w:spacing w:after="0"/>
              <w:rPr>
                <w:sz w:val="19"/>
                <w:szCs w:val="19"/>
                <w:color w:val="auto"/>
              </w:rPr>
            </w:pPr>
          </w:p>
        </w:tc>
        <w:tc>
          <w:tcPr>
            <w:tcW w:w="1080" w:type="dxa"/>
            <w:vAlign w:val="bottom"/>
          </w:tcPr>
          <w:p>
            <w:pPr>
              <w:jc w:val="right"/>
              <w:ind w:right="142"/>
              <w:spacing w:after="0"/>
              <w:rPr>
                <w:sz w:val="20"/>
                <w:szCs w:val="20"/>
                <w:color w:val="auto"/>
              </w:rPr>
            </w:pPr>
            <w:r>
              <w:rPr>
                <w:rFonts w:ascii="Arial" w:cs="Arial" w:eastAsia="Arial" w:hAnsi="Arial"/>
                <w:sz w:val="16"/>
                <w:szCs w:val="16"/>
                <w:color w:val="auto"/>
              </w:rPr>
              <w:t>3,568,325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142"/>
              <w:spacing w:after="0"/>
              <w:rPr>
                <w:sz w:val="20"/>
                <w:szCs w:val="20"/>
                <w:color w:val="auto"/>
              </w:rPr>
            </w:pPr>
            <w:r>
              <w:rPr>
                <w:rFonts w:ascii="Arial" w:cs="Arial" w:eastAsia="Arial" w:hAnsi="Arial"/>
                <w:sz w:val="16"/>
                <w:szCs w:val="16"/>
                <w:color w:val="auto"/>
              </w:rPr>
              <w:t>3,621,697</w:t>
            </w:r>
          </w:p>
        </w:tc>
      </w:tr>
      <w:tr>
        <w:trPr>
          <w:trHeight w:val="240"/>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Bank and other loans payable</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94"/>
              </w:rPr>
              <w:t>253,965,181</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96"/>
              </w:rPr>
              <w:t>217,572,612</w:t>
            </w:r>
          </w:p>
        </w:tc>
      </w:tr>
      <w:tr>
        <w:trPr>
          <w:trHeight w:val="228"/>
        </w:trPr>
        <w:tc>
          <w:tcPr>
            <w:tcW w:w="5280" w:type="dxa"/>
            <w:vAlign w:val="bottom"/>
          </w:tcPr>
          <w:p>
            <w:pPr>
              <w:spacing w:after="0"/>
              <w:rPr>
                <w:sz w:val="20"/>
                <w:szCs w:val="20"/>
                <w:color w:val="auto"/>
              </w:rPr>
            </w:pPr>
            <w:r>
              <w:rPr>
                <w:rFonts w:ascii="Arial" w:cs="Arial" w:eastAsia="Arial" w:hAnsi="Arial"/>
                <w:sz w:val="16"/>
                <w:szCs w:val="16"/>
                <w:color w:val="auto"/>
              </w:rPr>
              <w:t>Deferred pre-need cemetery and mortuary contract revenues</w:t>
            </w:r>
          </w:p>
        </w:tc>
        <w:tc>
          <w:tcPr>
            <w:tcW w:w="120" w:type="dxa"/>
            <w:vAlign w:val="bottom"/>
          </w:tcPr>
          <w:p>
            <w:pPr>
              <w:spacing w:after="0"/>
              <w:rPr>
                <w:sz w:val="19"/>
                <w:szCs w:val="19"/>
                <w:color w:val="auto"/>
              </w:rPr>
            </w:pPr>
          </w:p>
        </w:tc>
        <w:tc>
          <w:tcPr>
            <w:tcW w:w="1080" w:type="dxa"/>
            <w:vAlign w:val="bottom"/>
          </w:tcPr>
          <w:p>
            <w:pPr>
              <w:jc w:val="right"/>
              <w:ind w:right="142"/>
              <w:spacing w:after="0"/>
              <w:rPr>
                <w:sz w:val="20"/>
                <w:szCs w:val="20"/>
                <w:color w:val="auto"/>
              </w:rPr>
            </w:pPr>
            <w:r>
              <w:rPr>
                <w:rFonts w:ascii="Arial" w:cs="Arial" w:eastAsia="Arial" w:hAnsi="Arial"/>
                <w:sz w:val="16"/>
                <w:szCs w:val="16"/>
                <w:color w:val="auto"/>
              </w:rPr>
              <w:t>12,689,862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142"/>
              <w:spacing w:after="0"/>
              <w:rPr>
                <w:sz w:val="20"/>
                <w:szCs w:val="20"/>
                <w:color w:val="auto"/>
              </w:rPr>
            </w:pPr>
            <w:r>
              <w:rPr>
                <w:rFonts w:ascii="Arial" w:cs="Arial" w:eastAsia="Arial" w:hAnsi="Arial"/>
                <w:sz w:val="16"/>
                <w:szCs w:val="16"/>
                <w:color w:val="auto"/>
              </w:rPr>
              <w:t>12,607,978</w:t>
            </w:r>
          </w:p>
        </w:tc>
      </w:tr>
      <w:tr>
        <w:trPr>
          <w:trHeight w:val="240"/>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Cemetery perpetual care obligation</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3,955,244</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3,933,719</w:t>
            </w:r>
          </w:p>
        </w:tc>
      </w:tr>
      <w:tr>
        <w:trPr>
          <w:trHeight w:val="228"/>
        </w:trPr>
        <w:tc>
          <w:tcPr>
            <w:tcW w:w="5280" w:type="dxa"/>
            <w:vAlign w:val="bottom"/>
          </w:tcPr>
          <w:p>
            <w:pPr>
              <w:spacing w:after="0"/>
              <w:rPr>
                <w:sz w:val="20"/>
                <w:szCs w:val="20"/>
                <w:color w:val="auto"/>
              </w:rPr>
            </w:pPr>
            <w:r>
              <w:rPr>
                <w:rFonts w:ascii="Arial" w:cs="Arial" w:eastAsia="Arial" w:hAnsi="Arial"/>
                <w:sz w:val="16"/>
                <w:szCs w:val="16"/>
                <w:color w:val="auto"/>
              </w:rPr>
              <w:t>Accounts payable</w:t>
            </w:r>
          </w:p>
        </w:tc>
        <w:tc>
          <w:tcPr>
            <w:tcW w:w="120" w:type="dxa"/>
            <w:vAlign w:val="bottom"/>
          </w:tcPr>
          <w:p>
            <w:pPr>
              <w:spacing w:after="0"/>
              <w:rPr>
                <w:sz w:val="19"/>
                <w:szCs w:val="19"/>
                <w:color w:val="auto"/>
              </w:rPr>
            </w:pPr>
          </w:p>
        </w:tc>
        <w:tc>
          <w:tcPr>
            <w:tcW w:w="1080" w:type="dxa"/>
            <w:vAlign w:val="bottom"/>
          </w:tcPr>
          <w:p>
            <w:pPr>
              <w:jc w:val="right"/>
              <w:ind w:right="142"/>
              <w:spacing w:after="0"/>
              <w:rPr>
                <w:sz w:val="20"/>
                <w:szCs w:val="20"/>
                <w:color w:val="auto"/>
              </w:rPr>
            </w:pPr>
            <w:r>
              <w:rPr>
                <w:rFonts w:ascii="Arial" w:cs="Arial" w:eastAsia="Arial" w:hAnsi="Arial"/>
                <w:sz w:val="16"/>
                <w:szCs w:val="16"/>
                <w:color w:val="auto"/>
              </w:rPr>
              <w:t>4,345,576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142"/>
              <w:spacing w:after="0"/>
              <w:rPr>
                <w:sz w:val="20"/>
                <w:szCs w:val="20"/>
                <w:color w:val="auto"/>
              </w:rPr>
            </w:pPr>
            <w:r>
              <w:rPr>
                <w:rFonts w:ascii="Arial" w:cs="Arial" w:eastAsia="Arial" w:hAnsi="Arial"/>
                <w:sz w:val="16"/>
                <w:szCs w:val="16"/>
                <w:color w:val="auto"/>
              </w:rPr>
              <w:t>5,056,983</w:t>
            </w:r>
          </w:p>
        </w:tc>
      </w:tr>
      <w:tr>
        <w:trPr>
          <w:trHeight w:val="240"/>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Other liabilities and accrued expenses</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59,882,522</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50,652,591</w:t>
            </w:r>
          </w:p>
        </w:tc>
      </w:tr>
      <w:tr>
        <w:trPr>
          <w:trHeight w:val="228"/>
        </w:trPr>
        <w:tc>
          <w:tcPr>
            <w:tcW w:w="52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Income taxes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16,382,341</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18,686,972</w:t>
            </w:r>
          </w:p>
        </w:tc>
      </w:tr>
      <w:tr>
        <w:trPr>
          <w:trHeight w:val="214"/>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5"/>
              </w:rPr>
              <w:t>1,186,448,574</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7"/>
              </w:rPr>
              <w:t>1,137,733,470</w:t>
            </w:r>
          </w:p>
        </w:tc>
      </w:tr>
      <w:tr>
        <w:trPr>
          <w:trHeight w:val="220"/>
        </w:trPr>
        <w:tc>
          <w:tcPr>
            <w:tcW w:w="5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4"/>
        </w:trPr>
        <w:tc>
          <w:tcPr>
            <w:tcW w:w="5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Stockholders' Equity</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198"/>
        </w:trPr>
        <w:tc>
          <w:tcPr>
            <w:tcW w:w="5280" w:type="dxa"/>
            <w:vAlign w:val="bottom"/>
          </w:tcPr>
          <w:p>
            <w:pPr>
              <w:spacing w:after="0"/>
              <w:rPr>
                <w:sz w:val="20"/>
                <w:szCs w:val="20"/>
                <w:color w:val="auto"/>
              </w:rPr>
            </w:pPr>
            <w:r>
              <w:rPr>
                <w:rFonts w:ascii="Arial" w:cs="Arial" w:eastAsia="Arial" w:hAnsi="Arial"/>
                <w:sz w:val="16"/>
                <w:szCs w:val="16"/>
                <w:color w:val="auto"/>
                <w:w w:val="90"/>
              </w:rPr>
              <w:t>Preferred Stock - non-voting - $1.00 par value; 5,000,000 shares authorized; none</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5"/>
        </w:trPr>
        <w:tc>
          <w:tcPr>
            <w:tcW w:w="5280" w:type="dxa"/>
            <w:vAlign w:val="bottom"/>
          </w:tcPr>
          <w:p>
            <w:pPr>
              <w:spacing w:after="0"/>
              <w:rPr>
                <w:sz w:val="20"/>
                <w:szCs w:val="20"/>
                <w:color w:val="auto"/>
              </w:rPr>
            </w:pPr>
            <w:r>
              <w:rPr>
                <w:rFonts w:ascii="Arial" w:cs="Arial" w:eastAsia="Arial" w:hAnsi="Arial"/>
                <w:sz w:val="16"/>
                <w:szCs w:val="16"/>
                <w:color w:val="auto"/>
              </w:rPr>
              <w:t>issued or outstanding</w:t>
            </w:r>
          </w:p>
        </w:tc>
        <w:tc>
          <w:tcPr>
            <w:tcW w:w="120" w:type="dxa"/>
            <w:vAlign w:val="bottom"/>
          </w:tcPr>
          <w:p>
            <w:pPr>
              <w:spacing w:after="0"/>
              <w:rPr>
                <w:sz w:val="17"/>
                <w:szCs w:val="17"/>
                <w:color w:val="auto"/>
              </w:rPr>
            </w:pPr>
          </w:p>
        </w:tc>
        <w:tc>
          <w:tcPr>
            <w:tcW w:w="108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242"/>
              <w:spacing w:after="0"/>
              <w:rPr>
                <w:sz w:val="20"/>
                <w:szCs w:val="20"/>
                <w:color w:val="auto"/>
              </w:rPr>
            </w:pPr>
            <w:r>
              <w:rPr>
                <w:rFonts w:ascii="Arial" w:cs="Arial" w:eastAsia="Arial" w:hAnsi="Arial"/>
                <w:sz w:val="16"/>
                <w:szCs w:val="16"/>
                <w:color w:val="auto"/>
              </w:rPr>
              <w:t>-</w:t>
            </w:r>
          </w:p>
        </w:tc>
      </w:tr>
      <w:tr>
        <w:trPr>
          <w:trHeight w:val="192"/>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w w:val="92"/>
              </w:rPr>
              <w:t>Class A: common stock - $2.00 par value; 20,000,000 shares authorized; issued</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1"/>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16,142,513 shares in 2020 and 16,107,779 shares in 2019</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32,285,026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32,215,558</w:t>
            </w:r>
          </w:p>
        </w:tc>
      </w:tr>
      <w:tr>
        <w:trPr>
          <w:trHeight w:val="198"/>
        </w:trPr>
        <w:tc>
          <w:tcPr>
            <w:tcW w:w="5280" w:type="dxa"/>
            <w:vAlign w:val="bottom"/>
          </w:tcPr>
          <w:p>
            <w:pPr>
              <w:spacing w:after="0"/>
              <w:rPr>
                <w:sz w:val="20"/>
                <w:szCs w:val="20"/>
                <w:color w:val="auto"/>
              </w:rPr>
            </w:pPr>
            <w:r>
              <w:rPr>
                <w:rFonts w:ascii="Arial" w:cs="Arial" w:eastAsia="Arial" w:hAnsi="Arial"/>
                <w:sz w:val="16"/>
                <w:szCs w:val="16"/>
                <w:color w:val="auto"/>
                <w:w w:val="89"/>
              </w:rPr>
              <w:t>Class B: non-voting common stock - $1.00 par value; 5,000,000 shares authorized;</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5"/>
        </w:trPr>
        <w:tc>
          <w:tcPr>
            <w:tcW w:w="5280" w:type="dxa"/>
            <w:vAlign w:val="bottom"/>
          </w:tcPr>
          <w:p>
            <w:pPr>
              <w:spacing w:after="0"/>
              <w:rPr>
                <w:sz w:val="20"/>
                <w:szCs w:val="20"/>
                <w:color w:val="auto"/>
              </w:rPr>
            </w:pPr>
            <w:r>
              <w:rPr>
                <w:rFonts w:ascii="Arial" w:cs="Arial" w:eastAsia="Arial" w:hAnsi="Arial"/>
                <w:sz w:val="16"/>
                <w:szCs w:val="16"/>
                <w:color w:val="auto"/>
              </w:rPr>
              <w:t>none issued or outstanding</w:t>
            </w:r>
          </w:p>
        </w:tc>
        <w:tc>
          <w:tcPr>
            <w:tcW w:w="120" w:type="dxa"/>
            <w:vAlign w:val="bottom"/>
          </w:tcPr>
          <w:p>
            <w:pPr>
              <w:spacing w:after="0"/>
              <w:rPr>
                <w:sz w:val="17"/>
                <w:szCs w:val="17"/>
                <w:color w:val="auto"/>
              </w:rPr>
            </w:pPr>
          </w:p>
        </w:tc>
        <w:tc>
          <w:tcPr>
            <w:tcW w:w="108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242"/>
              <w:spacing w:after="0"/>
              <w:rPr>
                <w:sz w:val="20"/>
                <w:szCs w:val="20"/>
                <w:color w:val="auto"/>
              </w:rPr>
            </w:pPr>
            <w:r>
              <w:rPr>
                <w:rFonts w:ascii="Arial" w:cs="Arial" w:eastAsia="Arial" w:hAnsi="Arial"/>
                <w:sz w:val="16"/>
                <w:szCs w:val="16"/>
                <w:color w:val="auto"/>
              </w:rPr>
              <w:t>-</w:t>
            </w:r>
          </w:p>
        </w:tc>
      </w:tr>
      <w:tr>
        <w:trPr>
          <w:trHeight w:val="192"/>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w w:val="89"/>
              </w:rPr>
              <w:t>Class C: convertible common stock - $2.00 par value; 3,000,000 shares authorized;</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1"/>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issued 2,489,215 shares in 2020 and 2,500,887 shares in 2019</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4,978,430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5,001,774</w:t>
            </w:r>
          </w:p>
        </w:tc>
      </w:tr>
      <w:tr>
        <w:trPr>
          <w:trHeight w:val="228"/>
        </w:trPr>
        <w:tc>
          <w:tcPr>
            <w:tcW w:w="528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120" w:type="dxa"/>
            <w:vAlign w:val="bottom"/>
          </w:tcPr>
          <w:p>
            <w:pPr>
              <w:spacing w:after="0"/>
              <w:rPr>
                <w:sz w:val="19"/>
                <w:szCs w:val="19"/>
                <w:color w:val="auto"/>
              </w:rPr>
            </w:pPr>
          </w:p>
        </w:tc>
        <w:tc>
          <w:tcPr>
            <w:tcW w:w="1080" w:type="dxa"/>
            <w:vAlign w:val="bottom"/>
          </w:tcPr>
          <w:p>
            <w:pPr>
              <w:jc w:val="right"/>
              <w:ind w:right="142"/>
              <w:spacing w:after="0"/>
              <w:rPr>
                <w:sz w:val="20"/>
                <w:szCs w:val="20"/>
                <w:color w:val="auto"/>
              </w:rPr>
            </w:pPr>
            <w:r>
              <w:rPr>
                <w:rFonts w:ascii="Arial" w:cs="Arial" w:eastAsia="Arial" w:hAnsi="Arial"/>
                <w:sz w:val="16"/>
                <w:szCs w:val="16"/>
                <w:color w:val="auto"/>
              </w:rPr>
              <w:t>46,343,631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142"/>
              <w:spacing w:after="0"/>
              <w:rPr>
                <w:sz w:val="20"/>
                <w:szCs w:val="20"/>
                <w:color w:val="auto"/>
              </w:rPr>
            </w:pPr>
            <w:r>
              <w:rPr>
                <w:rFonts w:ascii="Arial" w:cs="Arial" w:eastAsia="Arial" w:hAnsi="Arial"/>
                <w:sz w:val="16"/>
                <w:szCs w:val="16"/>
                <w:color w:val="auto"/>
              </w:rPr>
              <w:t>46,091,112</w:t>
            </w:r>
          </w:p>
        </w:tc>
      </w:tr>
      <w:tr>
        <w:trPr>
          <w:trHeight w:val="240"/>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Accumulated other comprehensive income, net of taxes</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4,874,201</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13,726,514</w:t>
            </w:r>
          </w:p>
        </w:tc>
      </w:tr>
      <w:tr>
        <w:trPr>
          <w:trHeight w:val="228"/>
        </w:trPr>
        <w:tc>
          <w:tcPr>
            <w:tcW w:w="5280" w:type="dxa"/>
            <w:vAlign w:val="bottom"/>
          </w:tcPr>
          <w:p>
            <w:pPr>
              <w:spacing w:after="0"/>
              <w:rPr>
                <w:sz w:val="20"/>
                <w:szCs w:val="20"/>
                <w:color w:val="auto"/>
              </w:rPr>
            </w:pPr>
            <w:r>
              <w:rPr>
                <w:rFonts w:ascii="Arial" w:cs="Arial" w:eastAsia="Arial" w:hAnsi="Arial"/>
                <w:sz w:val="16"/>
                <w:szCs w:val="16"/>
                <w:color w:val="auto"/>
              </w:rPr>
              <w:t>Retained earnings</w:t>
            </w:r>
          </w:p>
        </w:tc>
        <w:tc>
          <w:tcPr>
            <w:tcW w:w="120" w:type="dxa"/>
            <w:vAlign w:val="bottom"/>
          </w:tcPr>
          <w:p>
            <w:pPr>
              <w:spacing w:after="0"/>
              <w:rPr>
                <w:sz w:val="19"/>
                <w:szCs w:val="19"/>
                <w:color w:val="auto"/>
              </w:rPr>
            </w:pPr>
          </w:p>
        </w:tc>
        <w:tc>
          <w:tcPr>
            <w:tcW w:w="1080" w:type="dxa"/>
            <w:vAlign w:val="bottom"/>
          </w:tcPr>
          <w:p>
            <w:pPr>
              <w:jc w:val="right"/>
              <w:ind w:right="142"/>
              <w:spacing w:after="0"/>
              <w:rPr>
                <w:sz w:val="20"/>
                <w:szCs w:val="20"/>
                <w:color w:val="auto"/>
              </w:rPr>
            </w:pPr>
            <w:r>
              <w:rPr>
                <w:rFonts w:ascii="Arial" w:cs="Arial" w:eastAsia="Arial" w:hAnsi="Arial"/>
                <w:sz w:val="16"/>
                <w:szCs w:val="16"/>
                <w:color w:val="auto"/>
                <w:w w:val="94"/>
              </w:rPr>
              <w:t>102,677,084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142"/>
              <w:spacing w:after="0"/>
              <w:rPr>
                <w:sz w:val="20"/>
                <w:szCs w:val="20"/>
                <w:color w:val="auto"/>
              </w:rPr>
            </w:pPr>
            <w:r>
              <w:rPr>
                <w:rFonts w:ascii="Arial" w:cs="Arial" w:eastAsia="Arial" w:hAnsi="Arial"/>
                <w:sz w:val="16"/>
                <w:szCs w:val="16"/>
                <w:color w:val="auto"/>
                <w:w w:val="96"/>
              </w:rPr>
              <w:t>101,256,229</w:t>
            </w:r>
          </w:p>
        </w:tc>
      </w:tr>
      <w:tr>
        <w:trPr>
          <w:trHeight w:val="263"/>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w w:val="87"/>
              </w:rPr>
              <w:t>Treasury stock at cost - 430,280 Class A shares in 2020 and 490,823 Class A shares</w:t>
            </w: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11"/>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in 2019</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(1,446,109)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(1,580,582)</w:t>
            </w:r>
          </w:p>
        </w:tc>
      </w:tr>
      <w:tr>
        <w:trPr>
          <w:trHeight w:val="210"/>
        </w:trPr>
        <w:tc>
          <w:tcPr>
            <w:tcW w:w="5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08"/>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Total stockholders' equity</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94"/>
              </w:rPr>
              <w:t>189,712,263</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96"/>
              </w:rPr>
              <w:t>196,710,605</w:t>
            </w:r>
          </w:p>
        </w:tc>
      </w:tr>
      <w:tr>
        <w:trPr>
          <w:trHeight w:val="208"/>
        </w:trPr>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3"/>
        </w:trPr>
        <w:tc>
          <w:tcPr>
            <w:tcW w:w="5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5"/>
              </w:rPr>
              <w:t>1,376,160,837</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7"/>
              </w:rPr>
              <w:t>1,334,444,075</w:t>
            </w:r>
          </w:p>
        </w:tc>
      </w:tr>
      <w:tr>
        <w:trPr>
          <w:trHeight w:val="20"/>
        </w:trPr>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93345</wp:posOffset>
            </wp:positionV>
            <wp:extent cx="49898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89830" cy="29845"/>
                    </a:xfrm>
                    <a:prstGeom prst="rect">
                      <a:avLst/>
                    </a:prstGeom>
                    <a:noFill/>
                  </pic:spPr>
                </pic:pic>
              </a:graphicData>
            </a:graphic>
          </wp:anchor>
        </w:drawing>
      </w:r>
    </w:p>
    <w:p>
      <w:pPr>
        <w:sectPr>
          <w:pgSz w:w="11900" w:h="16838" w:orient="portrait"/>
          <w:cols w:equalWidth="0" w:num="1">
            <w:col w:w="9299"/>
          </w:cols>
          <w:pgMar w:left="1160" w:top="124" w:right="1440" w:bottom="1440" w:gutter="0" w:footer="0" w:header="0"/>
        </w:sectPr>
      </w:pPr>
    </w:p>
    <w:bookmarkStart w:id="4" w:name="page5"/>
    <w:bookmarkEnd w:id="4"/>
    <w:p>
      <w:pPr>
        <w:jc w:val="center"/>
        <w:ind w:right="1455"/>
        <w:spacing w:after="0"/>
        <w:rPr>
          <w:sz w:val="20"/>
          <w:szCs w:val="20"/>
          <w:color w:val="auto"/>
        </w:rPr>
      </w:pPr>
      <w:r>
        <w:rPr>
          <w:rFonts w:ascii="Arial" w:cs="Arial" w:eastAsia="Arial" w:hAnsi="Arial"/>
          <w:sz w:val="17"/>
          <w:szCs w:val="17"/>
          <w:color w:val="auto"/>
        </w:rPr>
        <w:t>SECURITY NATIONAL FINANCIAL CORPORATION</w:t>
      </w:r>
    </w:p>
    <w:p>
      <w:pPr>
        <w:spacing w:after="0" w:line="19" w:lineRule="exact"/>
        <w:rPr>
          <w:sz w:val="20"/>
          <w:szCs w:val="20"/>
          <w:color w:val="auto"/>
        </w:rPr>
      </w:pPr>
    </w:p>
    <w:p>
      <w:pPr>
        <w:jc w:val="center"/>
        <w:ind w:right="1455"/>
        <w:spacing w:after="0"/>
        <w:rPr>
          <w:sz w:val="20"/>
          <w:szCs w:val="20"/>
          <w:color w:val="auto"/>
        </w:rPr>
      </w:pPr>
      <w:r>
        <w:rPr>
          <w:rFonts w:ascii="Arial" w:cs="Arial" w:eastAsia="Arial" w:hAnsi="Arial"/>
          <w:sz w:val="17"/>
          <w:szCs w:val="17"/>
          <w:color w:val="auto"/>
        </w:rPr>
        <w:t>AND SUBSIDIARIES</w:t>
      </w:r>
    </w:p>
    <w:p>
      <w:pPr>
        <w:spacing w:after="0" w:line="3" w:lineRule="exact"/>
        <w:rPr>
          <w:sz w:val="20"/>
          <w:szCs w:val="20"/>
          <w:color w:val="auto"/>
        </w:rPr>
      </w:pPr>
    </w:p>
    <w:p>
      <w:pPr>
        <w:jc w:val="center"/>
        <w:ind w:right="1455"/>
        <w:spacing w:after="0"/>
        <w:rPr>
          <w:sz w:val="20"/>
          <w:szCs w:val="20"/>
          <w:color w:val="auto"/>
        </w:rPr>
      </w:pPr>
      <w:r>
        <w:rPr>
          <w:rFonts w:ascii="Arial" w:cs="Arial" w:eastAsia="Arial" w:hAnsi="Arial"/>
          <w:sz w:val="17"/>
          <w:szCs w:val="17"/>
          <w:color w:val="auto"/>
        </w:rPr>
        <w:t>CONDENSED CONSOLIDATED STATEMENTS OF EARNINGS</w:t>
      </w:r>
    </w:p>
    <w:p>
      <w:pPr>
        <w:spacing w:after="0" w:line="3" w:lineRule="exact"/>
        <w:rPr>
          <w:sz w:val="20"/>
          <w:szCs w:val="20"/>
          <w:color w:val="auto"/>
        </w:rPr>
      </w:pPr>
    </w:p>
    <w:p>
      <w:pPr>
        <w:jc w:val="center"/>
        <w:ind w:right="1455"/>
        <w:spacing w:after="0"/>
        <w:rPr>
          <w:sz w:val="20"/>
          <w:szCs w:val="20"/>
          <w:color w:val="auto"/>
        </w:rPr>
      </w:pPr>
      <w:r>
        <w:rPr>
          <w:rFonts w:ascii="Arial" w:cs="Arial" w:eastAsia="Arial" w:hAnsi="Arial"/>
          <w:sz w:val="17"/>
          <w:szCs w:val="17"/>
          <w:color w:val="auto"/>
        </w:rPr>
        <w:t>(Unaudited)</w:t>
      </w:r>
    </w:p>
    <w:p>
      <w:pPr>
        <w:spacing w:after="0" w:line="155" w:lineRule="exact"/>
        <w:rPr>
          <w:sz w:val="20"/>
          <w:szCs w:val="20"/>
          <w:color w:val="auto"/>
        </w:rPr>
      </w:pPr>
    </w:p>
    <w:tbl>
      <w:tblPr>
        <w:tblLayout w:type="fixed"/>
        <w:tblInd w:w="5" w:type="dxa"/>
        <w:tblCellMar>
          <w:top w:w="0" w:type="dxa"/>
          <w:left w:w="0" w:type="dxa"/>
          <w:bottom w:w="0" w:type="dxa"/>
          <w:right w:w="0" w:type="dxa"/>
        </w:tblCellMar>
      </w:tblPr>
      <w:tr>
        <w:trPr>
          <w:trHeight w:val="205"/>
        </w:trPr>
        <w:tc>
          <w:tcPr>
            <w:tcW w:w="474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color w:val="auto"/>
              </w:rPr>
              <w:t>Three Months Ended March 31</w:t>
            </w:r>
          </w:p>
        </w:tc>
      </w:tr>
      <w:tr>
        <w:trPr>
          <w:trHeight w:val="214"/>
        </w:trPr>
        <w:tc>
          <w:tcPr>
            <w:tcW w:w="474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2020</w:t>
            </w:r>
          </w:p>
        </w:tc>
        <w:tc>
          <w:tcPr>
            <w:tcW w:w="2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color w:val="auto"/>
                <w:w w:val="95"/>
              </w:rPr>
              <w:t>2019</w:t>
            </w:r>
          </w:p>
        </w:tc>
      </w:tr>
      <w:tr>
        <w:trPr>
          <w:trHeight w:val="220"/>
        </w:trPr>
        <w:tc>
          <w:tcPr>
            <w:tcW w:w="47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05"/>
        </w:trPr>
        <w:tc>
          <w:tcPr>
            <w:tcW w:w="4740" w:type="dxa"/>
            <w:vAlign w:val="bottom"/>
          </w:tcPr>
          <w:p>
            <w:pPr>
              <w:spacing w:after="0"/>
              <w:rPr>
                <w:sz w:val="20"/>
                <w:szCs w:val="20"/>
                <w:color w:val="auto"/>
              </w:rPr>
            </w:pPr>
            <w:r>
              <w:rPr>
                <w:rFonts w:ascii="Arial" w:cs="Arial" w:eastAsia="Arial" w:hAnsi="Arial"/>
                <w:sz w:val="16"/>
                <w:szCs w:val="16"/>
                <w:color w:val="auto"/>
              </w:rPr>
              <w:t>Insurance premiums and other considerations</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22,291,276</w:t>
            </w: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19,027,002</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rPr>
              <w:t>Net investment income</w:t>
            </w: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13,400,499</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10,041,668</w:t>
            </w:r>
          </w:p>
        </w:tc>
      </w:tr>
      <w:tr>
        <w:trPr>
          <w:trHeight w:val="205"/>
        </w:trPr>
        <w:tc>
          <w:tcPr>
            <w:tcW w:w="4740" w:type="dxa"/>
            <w:vAlign w:val="bottom"/>
          </w:tcPr>
          <w:p>
            <w:pPr>
              <w:spacing w:after="0"/>
              <w:rPr>
                <w:sz w:val="20"/>
                <w:szCs w:val="20"/>
                <w:color w:val="auto"/>
              </w:rPr>
            </w:pPr>
            <w:r>
              <w:rPr>
                <w:rFonts w:ascii="Arial" w:cs="Arial" w:eastAsia="Arial" w:hAnsi="Arial"/>
                <w:sz w:val="16"/>
                <w:szCs w:val="16"/>
                <w:color w:val="auto"/>
              </w:rPr>
              <w:t>Net mortuary and cemetery sales</w:t>
            </w: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4,458,091</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3,678,628</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rPr>
              <w:t>Gains (losses) on investments and other assets</w:t>
            </w: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(3,212,247)</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1,806,661</w:t>
            </w:r>
          </w:p>
        </w:tc>
      </w:tr>
      <w:tr>
        <w:trPr>
          <w:trHeight w:val="205"/>
        </w:trPr>
        <w:tc>
          <w:tcPr>
            <w:tcW w:w="4740" w:type="dxa"/>
            <w:vAlign w:val="bottom"/>
          </w:tcPr>
          <w:p>
            <w:pPr>
              <w:spacing w:after="0"/>
              <w:rPr>
                <w:sz w:val="20"/>
                <w:szCs w:val="20"/>
                <w:color w:val="auto"/>
              </w:rPr>
            </w:pPr>
            <w:r>
              <w:rPr>
                <w:rFonts w:ascii="Arial" w:cs="Arial" w:eastAsia="Arial" w:hAnsi="Arial"/>
                <w:sz w:val="16"/>
                <w:szCs w:val="16"/>
                <w:color w:val="auto"/>
              </w:rPr>
              <w:t>Mortgage fee income</w:t>
            </w: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40,281,761</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24,478,871</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5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2,389,569</w:t>
            </w:r>
          </w:p>
        </w:tc>
        <w:tc>
          <w:tcPr>
            <w:tcW w:w="2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2,461,005</w:t>
            </w:r>
          </w:p>
        </w:tc>
      </w:tr>
      <w:tr>
        <w:trPr>
          <w:trHeight w:val="196"/>
        </w:trPr>
        <w:tc>
          <w:tcPr>
            <w:tcW w:w="47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revenues</w:t>
            </w: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79,608,949</w:t>
            </w:r>
          </w:p>
        </w:tc>
        <w:tc>
          <w:tcPr>
            <w:tcW w:w="2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61,493,835</w:t>
            </w:r>
          </w:p>
        </w:tc>
      </w:tr>
      <w:tr>
        <w:trPr>
          <w:trHeight w:val="208"/>
        </w:trPr>
        <w:tc>
          <w:tcPr>
            <w:tcW w:w="4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7"/>
        </w:trPr>
        <w:tc>
          <w:tcPr>
            <w:tcW w:w="4740" w:type="dxa"/>
            <w:vAlign w:val="bottom"/>
          </w:tcPr>
          <w:p>
            <w:pPr>
              <w:spacing w:after="0"/>
              <w:rPr>
                <w:sz w:val="20"/>
                <w:szCs w:val="20"/>
                <w:color w:val="auto"/>
              </w:rPr>
            </w:pPr>
            <w:r>
              <w:rPr>
                <w:rFonts w:ascii="Arial" w:cs="Arial" w:eastAsia="Arial" w:hAnsi="Arial"/>
                <w:sz w:val="16"/>
                <w:szCs w:val="16"/>
                <w:b w:val="1"/>
                <w:bCs w:val="1"/>
                <w:color w:val="auto"/>
              </w:rPr>
              <w:t>Benefits and expenses:</w:t>
            </w: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4"/>
        </w:trPr>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rPr>
              <w:t>Death benefits</w:t>
            </w: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13,407,627</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10,077,903</w:t>
            </w:r>
          </w:p>
        </w:tc>
      </w:tr>
      <w:tr>
        <w:trPr>
          <w:trHeight w:val="205"/>
        </w:trPr>
        <w:tc>
          <w:tcPr>
            <w:tcW w:w="4740" w:type="dxa"/>
            <w:vAlign w:val="bottom"/>
          </w:tcPr>
          <w:p>
            <w:pPr>
              <w:spacing w:after="0"/>
              <w:rPr>
                <w:sz w:val="20"/>
                <w:szCs w:val="20"/>
                <w:color w:val="auto"/>
              </w:rPr>
            </w:pPr>
            <w:r>
              <w:rPr>
                <w:rFonts w:ascii="Arial" w:cs="Arial" w:eastAsia="Arial" w:hAnsi="Arial"/>
                <w:sz w:val="16"/>
                <w:szCs w:val="16"/>
                <w:color w:val="auto"/>
              </w:rPr>
              <w:t>Surrenders and other policy benefits</w:t>
            </w: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1,070,475</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865,931</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rPr>
              <w:t>Increase in future policy benefits</w:t>
            </w: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7,038,033</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5,751,130</w:t>
            </w:r>
          </w:p>
        </w:tc>
      </w:tr>
      <w:tr>
        <w:trPr>
          <w:trHeight w:val="186"/>
        </w:trPr>
        <w:tc>
          <w:tcPr>
            <w:tcW w:w="4740" w:type="dxa"/>
            <w:vAlign w:val="bottom"/>
          </w:tcPr>
          <w:p>
            <w:pPr>
              <w:spacing w:after="0"/>
              <w:rPr>
                <w:sz w:val="20"/>
                <w:szCs w:val="20"/>
                <w:color w:val="auto"/>
              </w:rPr>
            </w:pPr>
            <w:r>
              <w:rPr>
                <w:rFonts w:ascii="Arial" w:cs="Arial" w:eastAsia="Arial" w:hAnsi="Arial"/>
                <w:sz w:val="16"/>
                <w:szCs w:val="16"/>
                <w:color w:val="auto"/>
                <w:w w:val="92"/>
              </w:rPr>
              <w:t>Amortization of deferred policy and pre-need acquisition costs and value</w:t>
            </w: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5"/>
        </w:trPr>
        <w:tc>
          <w:tcPr>
            <w:tcW w:w="4740" w:type="dxa"/>
            <w:vAlign w:val="bottom"/>
          </w:tcPr>
          <w:p>
            <w:pPr>
              <w:spacing w:after="0"/>
              <w:rPr>
                <w:sz w:val="20"/>
                <w:szCs w:val="20"/>
                <w:color w:val="auto"/>
              </w:rPr>
            </w:pPr>
            <w:r>
              <w:rPr>
                <w:rFonts w:ascii="Arial" w:cs="Arial" w:eastAsia="Arial" w:hAnsi="Arial"/>
                <w:sz w:val="16"/>
                <w:szCs w:val="16"/>
                <w:color w:val="auto"/>
              </w:rPr>
              <w:t>of business acquired</w:t>
            </w: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3,515,057</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3,128,274</w:t>
            </w:r>
          </w:p>
        </w:tc>
      </w:tr>
      <w:tr>
        <w:trPr>
          <w:trHeight w:val="217"/>
        </w:trPr>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 expenses:</w:t>
            </w: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5"/>
        </w:trPr>
        <w:tc>
          <w:tcPr>
            <w:tcW w:w="4740" w:type="dxa"/>
            <w:vAlign w:val="bottom"/>
          </w:tcPr>
          <w:p>
            <w:pPr>
              <w:ind w:left="160"/>
              <w:spacing w:after="0"/>
              <w:rPr>
                <w:sz w:val="20"/>
                <w:szCs w:val="20"/>
                <w:color w:val="auto"/>
              </w:rPr>
            </w:pPr>
            <w:r>
              <w:rPr>
                <w:rFonts w:ascii="Arial" w:cs="Arial" w:eastAsia="Arial" w:hAnsi="Arial"/>
                <w:sz w:val="16"/>
                <w:szCs w:val="16"/>
                <w:color w:val="auto"/>
              </w:rPr>
              <w:t>Commissions</w:t>
            </w: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16,554,743</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9,675,092</w:t>
            </w:r>
          </w:p>
        </w:tc>
      </w:tr>
      <w:tr>
        <w:trPr>
          <w:trHeight w:val="216"/>
        </w:trPr>
        <w:tc>
          <w:tcPr>
            <w:tcW w:w="47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Personnel</w:t>
            </w: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18,719,998</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15,031,336</w:t>
            </w:r>
          </w:p>
        </w:tc>
      </w:tr>
      <w:tr>
        <w:trPr>
          <w:trHeight w:val="205"/>
        </w:trPr>
        <w:tc>
          <w:tcPr>
            <w:tcW w:w="4740" w:type="dxa"/>
            <w:vAlign w:val="bottom"/>
          </w:tcPr>
          <w:p>
            <w:pPr>
              <w:ind w:left="160"/>
              <w:spacing w:after="0"/>
              <w:rPr>
                <w:sz w:val="20"/>
                <w:szCs w:val="20"/>
                <w:color w:val="auto"/>
              </w:rPr>
            </w:pPr>
            <w:r>
              <w:rPr>
                <w:rFonts w:ascii="Arial" w:cs="Arial" w:eastAsia="Arial" w:hAnsi="Arial"/>
                <w:sz w:val="16"/>
                <w:szCs w:val="16"/>
                <w:color w:val="auto"/>
              </w:rPr>
              <w:t>Advertising</w:t>
            </w: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1,005,317</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1,033,175</w:t>
            </w:r>
          </w:p>
        </w:tc>
      </w:tr>
      <w:tr>
        <w:trPr>
          <w:trHeight w:val="216"/>
        </w:trPr>
        <w:tc>
          <w:tcPr>
            <w:tcW w:w="47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Rent and rent related</w:t>
            </w: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1,614,741</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1,904,288</w:t>
            </w:r>
          </w:p>
        </w:tc>
      </w:tr>
      <w:tr>
        <w:trPr>
          <w:trHeight w:val="205"/>
        </w:trPr>
        <w:tc>
          <w:tcPr>
            <w:tcW w:w="4740" w:type="dxa"/>
            <w:vAlign w:val="bottom"/>
          </w:tcPr>
          <w:p>
            <w:pPr>
              <w:ind w:left="160"/>
              <w:spacing w:after="0"/>
              <w:rPr>
                <w:sz w:val="20"/>
                <w:szCs w:val="20"/>
                <w:color w:val="auto"/>
              </w:rPr>
            </w:pPr>
            <w:r>
              <w:rPr>
                <w:rFonts w:ascii="Arial" w:cs="Arial" w:eastAsia="Arial" w:hAnsi="Arial"/>
                <w:sz w:val="16"/>
                <w:szCs w:val="16"/>
                <w:color w:val="auto"/>
              </w:rPr>
              <w:t>Depreciation on property and equipment</w:t>
            </w: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516,213</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449,680</w:t>
            </w:r>
          </w:p>
        </w:tc>
      </w:tr>
      <w:tr>
        <w:trPr>
          <w:trHeight w:val="216"/>
        </w:trPr>
        <w:tc>
          <w:tcPr>
            <w:tcW w:w="47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Costs related to funding mortgage loans</w:t>
            </w: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1,956,282</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1,354,925</w:t>
            </w:r>
          </w:p>
        </w:tc>
      </w:tr>
      <w:tr>
        <w:trPr>
          <w:trHeight w:val="205"/>
        </w:trPr>
        <w:tc>
          <w:tcPr>
            <w:tcW w:w="4740" w:type="dxa"/>
            <w:vAlign w:val="bottom"/>
          </w:tcPr>
          <w:p>
            <w:pPr>
              <w:ind w:left="160"/>
              <w:spacing w:after="0"/>
              <w:rPr>
                <w:sz w:val="20"/>
                <w:szCs w:val="20"/>
                <w:color w:val="auto"/>
              </w:rPr>
            </w:pPr>
            <w:r>
              <w:rPr>
                <w:rFonts w:ascii="Arial" w:cs="Arial" w:eastAsia="Arial" w:hAnsi="Arial"/>
                <w:sz w:val="16"/>
                <w:szCs w:val="16"/>
                <w:color w:val="auto"/>
              </w:rPr>
              <w:t>Other</w:t>
            </w: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10,075,542</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7,645,127</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1,818,609</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1,491,887</w:t>
            </w:r>
          </w:p>
        </w:tc>
      </w:tr>
      <w:tr>
        <w:trPr>
          <w:trHeight w:val="205"/>
        </w:trPr>
        <w:tc>
          <w:tcPr>
            <w:tcW w:w="47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Cost of goods and services sold-mortuaries and cemeteries</w:t>
            </w: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842,078</w:t>
            </w:r>
          </w:p>
        </w:tc>
        <w:tc>
          <w:tcPr>
            <w:tcW w:w="2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652,928</w:t>
            </w:r>
          </w:p>
        </w:tc>
      </w:tr>
      <w:tr>
        <w:trPr>
          <w:trHeight w:val="202"/>
        </w:trPr>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rPr>
              <w:t>Total benefits and expenses</w:t>
            </w:r>
          </w:p>
        </w:tc>
        <w:tc>
          <w:tcPr>
            <w:tcW w:w="5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78,134,715</w:t>
            </w:r>
          </w:p>
        </w:tc>
        <w:tc>
          <w:tcPr>
            <w:tcW w:w="2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59,061,676</w:t>
            </w:r>
          </w:p>
        </w:tc>
      </w:tr>
      <w:tr>
        <w:trPr>
          <w:trHeight w:val="208"/>
        </w:trPr>
        <w:tc>
          <w:tcPr>
            <w:tcW w:w="4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Earnings before income taxes</w:t>
            </w: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1,474,234</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2,432,159</w:t>
            </w:r>
          </w:p>
        </w:tc>
      </w:tr>
      <w:tr>
        <w:trPr>
          <w:trHeight w:val="205"/>
        </w:trPr>
        <w:tc>
          <w:tcPr>
            <w:tcW w:w="47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Income tax expense</w:t>
            </w: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(49,785)</w:t>
            </w:r>
          </w:p>
        </w:tc>
        <w:tc>
          <w:tcPr>
            <w:tcW w:w="2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(501,841)</w:t>
            </w:r>
          </w:p>
        </w:tc>
      </w:tr>
      <w:tr>
        <w:trPr>
          <w:trHeight w:val="208"/>
        </w:trPr>
        <w:tc>
          <w:tcPr>
            <w:tcW w:w="4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50"/>
        </w:trPr>
        <w:tc>
          <w:tcPr>
            <w:tcW w:w="474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Net earnings</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1,424,449</w:t>
            </w:r>
          </w:p>
        </w:tc>
        <w:tc>
          <w:tcPr>
            <w:tcW w:w="2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1,930,318</w:t>
            </w:r>
          </w:p>
        </w:tc>
      </w:tr>
      <w:tr>
        <w:trPr>
          <w:trHeight w:val="186"/>
        </w:trPr>
        <w:tc>
          <w:tcPr>
            <w:tcW w:w="47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50"/>
        </w:trPr>
        <w:tc>
          <w:tcPr>
            <w:tcW w:w="474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Net earnings per Class A Equivalent common share (1)</w:t>
            </w: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$0.08</w:t>
            </w:r>
          </w:p>
        </w:tc>
        <w:tc>
          <w:tcPr>
            <w:tcW w:w="2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$0.11</w:t>
            </w:r>
          </w:p>
        </w:tc>
      </w:tr>
      <w:tr>
        <w:trPr>
          <w:trHeight w:val="186"/>
        </w:trPr>
        <w:tc>
          <w:tcPr>
            <w:tcW w:w="47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bl>
    <w:p>
      <w:pPr>
        <w:spacing w:after="0" w:line="1" w:lineRule="exact"/>
        <w:rPr>
          <w:sz w:val="20"/>
          <w:szCs w:val="20"/>
          <w:color w:val="auto"/>
        </w:rPr>
      </w:pPr>
    </w:p>
    <w:p>
      <w:pPr>
        <w:sectPr>
          <w:pgSz w:w="11900" w:h="16838" w:orient="portrait"/>
          <w:cols w:equalWidth="0" w:num="1">
            <w:col w:w="9304"/>
          </w:cols>
          <w:pgMar w:left="1155" w:top="124" w:right="1440" w:bottom="1440" w:gutter="0" w:footer="0" w:header="0"/>
        </w:sectPr>
      </w:pPr>
    </w:p>
    <w:p>
      <w:pPr>
        <w:ind w:left="5" w:right="100"/>
        <w:spacing w:after="0" w:line="262" w:lineRule="auto"/>
        <w:rPr>
          <w:sz w:val="20"/>
          <w:szCs w:val="20"/>
          <w:color w:val="auto"/>
        </w:rPr>
      </w:pPr>
      <w:r>
        <w:rPr>
          <w:rFonts w:ascii="Arial" w:cs="Arial" w:eastAsia="Arial" w:hAnsi="Arial"/>
          <w:sz w:val="16"/>
          <w:szCs w:val="16"/>
          <w:b w:val="1"/>
          <w:bCs w:val="1"/>
          <w:color w:val="auto"/>
        </w:rPr>
        <w:t>Net earnings per Class A Equivalent common share-assuming dilution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4989830" cy="148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89830" cy="148590"/>
                    </a:xfrm>
                    <a:prstGeom prst="rect">
                      <a:avLst/>
                    </a:prstGeom>
                    <a:noFill/>
                  </pic:spPr>
                </pic:pic>
              </a:graphicData>
            </a:graphic>
          </wp:anchor>
        </w:drawing>
      </w:r>
    </w:p>
    <w:p>
      <w:pPr>
        <w:spacing w:after="0" w:line="221" w:lineRule="exact"/>
        <w:rPr>
          <w:sz w:val="20"/>
          <w:szCs w:val="20"/>
          <w:color w:val="auto"/>
        </w:rPr>
      </w:pPr>
    </w:p>
    <w:p>
      <w:pPr>
        <w:ind w:left="5"/>
        <w:spacing w:after="0"/>
        <w:rPr>
          <w:sz w:val="20"/>
          <w:szCs w:val="20"/>
          <w:color w:val="auto"/>
        </w:rPr>
      </w:pPr>
      <w:r>
        <w:rPr>
          <w:rFonts w:ascii="Arial" w:cs="Arial" w:eastAsia="Arial" w:hAnsi="Arial"/>
          <w:sz w:val="14"/>
          <w:szCs w:val="14"/>
          <w:color w:val="auto"/>
        </w:rPr>
        <w:t>Weighted-average Class A equivalent common share outstanding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4989830" cy="148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89830" cy="148590"/>
                    </a:xfrm>
                    <a:prstGeom prst="rect">
                      <a:avLst/>
                    </a:prstGeom>
                    <a:noFill/>
                  </pic:spPr>
                </pic:pic>
              </a:graphicData>
            </a:graphic>
          </wp:anchor>
        </w:drawing>
      </w:r>
    </w:p>
    <w:p>
      <w:pPr>
        <w:spacing w:after="0" w:line="263" w:lineRule="exact"/>
        <w:rPr>
          <w:sz w:val="20"/>
          <w:szCs w:val="20"/>
          <w:color w:val="auto"/>
        </w:rPr>
      </w:pPr>
    </w:p>
    <w:p>
      <w:pPr>
        <w:ind w:left="5" w:right="600"/>
        <w:spacing w:after="0" w:line="263" w:lineRule="auto"/>
        <w:rPr>
          <w:sz w:val="20"/>
          <w:szCs w:val="20"/>
          <w:color w:val="auto"/>
        </w:rPr>
      </w:pPr>
      <w:r>
        <w:rPr>
          <w:rFonts w:ascii="Arial" w:cs="Arial" w:eastAsia="Arial" w:hAnsi="Arial"/>
          <w:sz w:val="16"/>
          <w:szCs w:val="16"/>
          <w:color w:val="auto"/>
        </w:rPr>
        <w:t>Weighted-average Class A equivalent common shares outstanding-assuming dilution (1)</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right"/>
        <w:ind w:right="220"/>
        <w:spacing w:after="0"/>
        <w:rPr>
          <w:sz w:val="20"/>
          <w:szCs w:val="20"/>
          <w:color w:val="auto"/>
        </w:rPr>
      </w:pPr>
      <w:r>
        <w:rPr>
          <w:rFonts w:ascii="Arial" w:cs="Arial" w:eastAsia="Arial" w:hAnsi="Arial"/>
          <w:sz w:val="16"/>
          <w:szCs w:val="16"/>
          <w:color w:val="auto"/>
        </w:rPr>
        <w:t>$0.08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17145</wp:posOffset>
            </wp:positionV>
            <wp:extent cx="94297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42975" cy="7620"/>
                    </a:xfrm>
                    <a:prstGeom prst="rect">
                      <a:avLst/>
                    </a:prstGeom>
                    <a:noFill/>
                  </pic:spPr>
                </pic:pic>
              </a:graphicData>
            </a:graphic>
          </wp:anchor>
        </w:drawing>
      </w: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color w:val="auto"/>
        </w:rPr>
        <w:t>18,184,575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39370</wp:posOffset>
            </wp:positionV>
            <wp:extent cx="94297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42975" cy="762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3"/>
          <w:szCs w:val="13"/>
          <w:color w:val="auto"/>
        </w:rPr>
        <w:t>18,371,352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39370</wp:posOffset>
            </wp:positionV>
            <wp:extent cx="94297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42975" cy="7620"/>
                    </a:xfrm>
                    <a:prstGeom prst="rect">
                      <a:avLst/>
                    </a:prstGeom>
                    <a:noFill/>
                  </pic:spPr>
                </pic:pic>
              </a:graphicData>
            </a:graphic>
          </wp:anchor>
        </w:drawing>
        <w:drawing>
          <wp:anchor simplePos="0" relativeHeight="251657728" behindDoc="1" locked="0" layoutInCell="0" allowOverlap="1">
            <wp:simplePos x="0" y="0"/>
            <wp:positionH relativeFrom="column">
              <wp:posOffset>-487680</wp:posOffset>
            </wp:positionH>
            <wp:positionV relativeFrom="paragraph">
              <wp:posOffset>53975</wp:posOffset>
            </wp:positionV>
            <wp:extent cx="94297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4297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right"/>
        <w:ind w:right="1459"/>
        <w:spacing w:after="0"/>
        <w:rPr>
          <w:sz w:val="20"/>
          <w:szCs w:val="20"/>
          <w:color w:val="auto"/>
        </w:rPr>
      </w:pPr>
      <w:r>
        <w:rPr>
          <w:rFonts w:ascii="Arial" w:cs="Arial" w:eastAsia="Arial" w:hAnsi="Arial"/>
          <w:sz w:val="16"/>
          <w:szCs w:val="16"/>
          <w:color w:val="auto"/>
        </w:rPr>
        <w:t>$0.11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17145</wp:posOffset>
            </wp:positionV>
            <wp:extent cx="91313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13130" cy="7620"/>
                    </a:xfrm>
                    <a:prstGeom prst="rect">
                      <a:avLst/>
                    </a:prstGeom>
                    <a:noFill/>
                  </pic:spPr>
                </pic:pic>
              </a:graphicData>
            </a:graphic>
          </wp:anchor>
        </w:drawing>
      </w: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color w:val="auto"/>
        </w:rPr>
        <w:t>18,102,318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39370</wp:posOffset>
            </wp:positionV>
            <wp:extent cx="91313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13130" cy="762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3"/>
          <w:szCs w:val="13"/>
          <w:color w:val="auto"/>
        </w:rPr>
        <w:t>18,323,402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39370</wp:posOffset>
            </wp:positionV>
            <wp:extent cx="91313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13130" cy="7620"/>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53975</wp:posOffset>
            </wp:positionV>
            <wp:extent cx="91313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13130" cy="7620"/>
                    </a:xfrm>
                    <a:prstGeom prst="rect">
                      <a:avLst/>
                    </a:prstGeom>
                    <a:noFill/>
                  </pic:spPr>
                </pic:pic>
              </a:graphicData>
            </a:graphic>
          </wp:anchor>
        </w:drawing>
      </w:r>
    </w:p>
    <w:p>
      <w:pPr>
        <w:spacing w:after="0" w:line="278" w:lineRule="exact"/>
        <w:rPr>
          <w:sz w:val="20"/>
          <w:szCs w:val="20"/>
          <w:color w:val="auto"/>
        </w:rPr>
      </w:pPr>
    </w:p>
    <w:p>
      <w:pPr>
        <w:sectPr>
          <w:pgSz w:w="11900" w:h="16838" w:orient="portrait"/>
          <w:cols w:equalWidth="0" w:num="3">
            <w:col w:w="4785" w:space="720"/>
            <w:col w:w="920" w:space="720"/>
            <w:col w:w="2159"/>
          </w:cols>
          <w:pgMar w:left="1155" w:top="124" w:right="1440" w:bottom="1440" w:gutter="0" w:footer="0" w:header="0"/>
          <w:type w:val="continuous"/>
        </w:sectPr>
      </w:pPr>
    </w:p>
    <w:p>
      <w:pPr>
        <w:spacing w:after="0" w:line="38" w:lineRule="exact"/>
        <w:rPr>
          <w:sz w:val="20"/>
          <w:szCs w:val="20"/>
          <w:color w:val="auto"/>
        </w:rPr>
      </w:pPr>
    </w:p>
    <w:p>
      <w:pPr>
        <w:ind w:left="5" w:right="1899" w:hanging="5"/>
        <w:spacing w:after="0" w:line="399" w:lineRule="auto"/>
        <w:tabs>
          <w:tab w:leader="none" w:pos="235" w:val="left"/>
        </w:tabs>
        <w:numPr>
          <w:ilvl w:val="0"/>
          <w:numId w:val="3"/>
        </w:numPr>
        <w:rPr>
          <w:rFonts w:ascii="Arial" w:cs="Arial" w:eastAsia="Arial" w:hAnsi="Arial"/>
          <w:sz w:val="17"/>
          <w:szCs w:val="17"/>
          <w:color w:val="auto"/>
        </w:rPr>
      </w:pPr>
      <w:r>
        <w:rPr>
          <w:rFonts w:ascii="Arial" w:cs="Arial" w:eastAsia="Arial" w:hAnsi="Arial"/>
          <w:sz w:val="17"/>
          <w:szCs w:val="17"/>
          <w:color w:val="auto"/>
        </w:rPr>
        <w:t>Net earnings per share amounts have been adjusted retroactively for the effect of annual stock dividends. See accompanying 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498983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89830" cy="29845"/>
                    </a:xfrm>
                    <a:prstGeom prst="rect">
                      <a:avLst/>
                    </a:prstGeom>
                    <a:noFill/>
                  </pic:spPr>
                </pic:pic>
              </a:graphicData>
            </a:graphic>
          </wp:anchor>
        </w:drawing>
      </w:r>
    </w:p>
    <w:p>
      <w:pPr>
        <w:sectPr>
          <w:pgSz w:w="11900" w:h="16838" w:orient="portrait"/>
          <w:cols w:equalWidth="0" w:num="1">
            <w:col w:w="9304"/>
          </w:cols>
          <w:pgMar w:left="1155" w:top="124" w:right="1440" w:bottom="1440" w:gutter="0" w:footer="0" w:header="0"/>
          <w:type w:val="continuous"/>
        </w:sectPr>
      </w:pPr>
    </w:p>
    <w:bookmarkStart w:id="5" w:name="page6"/>
    <w:bookmarkEnd w:id="5"/>
    <w:p>
      <w:pPr>
        <w:jc w:val="center"/>
        <w:ind w:right="1439"/>
        <w:spacing w:after="0"/>
        <w:rPr>
          <w:sz w:val="20"/>
          <w:szCs w:val="20"/>
          <w:color w:val="auto"/>
        </w:rPr>
      </w:pPr>
      <w:r>
        <w:rPr>
          <w:rFonts w:ascii="Arial" w:cs="Arial" w:eastAsia="Arial" w:hAnsi="Arial"/>
          <w:sz w:val="17"/>
          <w:szCs w:val="17"/>
          <w:color w:val="auto"/>
        </w:rPr>
        <w:t>SECURITY NATIONAL FINANCIAL CORPORATION</w:t>
      </w:r>
    </w:p>
    <w:p>
      <w:pPr>
        <w:spacing w:after="0" w:line="17" w:lineRule="exact"/>
        <w:rPr>
          <w:sz w:val="20"/>
          <w:szCs w:val="20"/>
          <w:color w:val="auto"/>
        </w:rPr>
      </w:pPr>
    </w:p>
    <w:p>
      <w:pPr>
        <w:jc w:val="center"/>
        <w:ind w:right="1439"/>
        <w:spacing w:after="0"/>
        <w:rPr>
          <w:sz w:val="20"/>
          <w:szCs w:val="20"/>
          <w:color w:val="auto"/>
        </w:rPr>
      </w:pPr>
      <w:r>
        <w:rPr>
          <w:rFonts w:ascii="Arial" w:cs="Arial" w:eastAsia="Arial" w:hAnsi="Arial"/>
          <w:sz w:val="17"/>
          <w:szCs w:val="17"/>
          <w:color w:val="auto"/>
        </w:rPr>
        <w:t>AND SUBSIDIARIES</w:t>
      </w:r>
    </w:p>
    <w:p>
      <w:pPr>
        <w:spacing w:after="0" w:line="3" w:lineRule="exact"/>
        <w:rPr>
          <w:sz w:val="20"/>
          <w:szCs w:val="20"/>
          <w:color w:val="auto"/>
        </w:rPr>
      </w:pPr>
    </w:p>
    <w:p>
      <w:pPr>
        <w:jc w:val="center"/>
        <w:ind w:right="1439"/>
        <w:spacing w:after="0"/>
        <w:rPr>
          <w:sz w:val="20"/>
          <w:szCs w:val="20"/>
          <w:color w:val="auto"/>
        </w:rPr>
      </w:pPr>
      <w:r>
        <w:rPr>
          <w:rFonts w:ascii="Arial" w:cs="Arial" w:eastAsia="Arial" w:hAnsi="Arial"/>
          <w:sz w:val="17"/>
          <w:szCs w:val="17"/>
          <w:color w:val="auto"/>
        </w:rPr>
        <w:t>CONDENSED CONSOLIDATED STATEMENTS OF COMPREHENSIVE INCOME</w:t>
      </w:r>
    </w:p>
    <w:p>
      <w:pPr>
        <w:spacing w:after="0" w:line="3" w:lineRule="exact"/>
        <w:rPr>
          <w:sz w:val="20"/>
          <w:szCs w:val="20"/>
          <w:color w:val="auto"/>
        </w:rPr>
      </w:pPr>
    </w:p>
    <w:p>
      <w:pPr>
        <w:jc w:val="center"/>
        <w:ind w:right="1439"/>
        <w:spacing w:after="0"/>
        <w:rPr>
          <w:sz w:val="20"/>
          <w:szCs w:val="20"/>
          <w:color w:val="auto"/>
        </w:rPr>
      </w:pPr>
      <w:r>
        <w:rPr>
          <w:rFonts w:ascii="Arial" w:cs="Arial" w:eastAsia="Arial" w:hAnsi="Arial"/>
          <w:sz w:val="17"/>
          <w:szCs w:val="17"/>
          <w:color w:val="auto"/>
        </w:rPr>
        <w:t>(Unaudited)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9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402"/>
              <w:spacing w:after="0"/>
              <w:rPr>
                <w:sz w:val="20"/>
                <w:szCs w:val="20"/>
                <w:color w:val="auto"/>
              </w:rPr>
            </w:pPr>
            <w:r>
              <w:rPr>
                <w:rFonts w:ascii="Arial" w:cs="Arial" w:eastAsia="Arial" w:hAnsi="Arial"/>
                <w:sz w:val="16"/>
                <w:szCs w:val="16"/>
                <w:color w:val="auto"/>
              </w:rPr>
              <w:t>Three Months Ended March 31</w:t>
            </w:r>
          </w:p>
        </w:tc>
      </w:tr>
      <w:tr>
        <w:trPr>
          <w:trHeight w:val="214"/>
        </w:trPr>
        <w:tc>
          <w:tcPr>
            <w:tcW w:w="49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color w:val="auto"/>
              </w:rPr>
              <w:t>2020</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color w:val="auto"/>
              </w:rPr>
              <w:t>2019</w:t>
            </w:r>
          </w:p>
        </w:tc>
      </w:tr>
      <w:tr>
        <w:trPr>
          <w:trHeight w:val="220"/>
        </w:trPr>
        <w:tc>
          <w:tcPr>
            <w:tcW w:w="4940" w:type="dxa"/>
            <w:vAlign w:val="bottom"/>
            <w:shd w:val="clear" w:color="auto" w:fill="CCEEFF"/>
          </w:tcPr>
          <w:p>
            <w:pPr>
              <w:spacing w:after="0"/>
              <w:rPr>
                <w:sz w:val="20"/>
                <w:szCs w:val="20"/>
                <w:color w:val="auto"/>
              </w:rPr>
            </w:pPr>
            <w:r>
              <w:rPr>
                <w:rFonts w:ascii="Arial" w:cs="Arial" w:eastAsia="Arial" w:hAnsi="Arial"/>
                <w:sz w:val="16"/>
                <w:szCs w:val="16"/>
                <w:color w:val="auto"/>
              </w:rPr>
              <w:t>Net earnings</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322"/>
              <w:spacing w:after="0"/>
              <w:rPr>
                <w:sz w:val="20"/>
                <w:szCs w:val="20"/>
                <w:color w:val="auto"/>
              </w:rPr>
            </w:pPr>
            <w:r>
              <w:rPr>
                <w:rFonts w:ascii="Arial" w:cs="Arial" w:eastAsia="Arial" w:hAnsi="Arial"/>
                <w:sz w:val="16"/>
                <w:szCs w:val="16"/>
                <w:color w:val="auto"/>
              </w:rPr>
              <w:t>1,424,449</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ind w:right="222"/>
              <w:spacing w:after="0"/>
              <w:rPr>
                <w:sz w:val="20"/>
                <w:szCs w:val="20"/>
                <w:color w:val="auto"/>
              </w:rPr>
            </w:pPr>
            <w:r>
              <w:rPr>
                <w:rFonts w:ascii="Arial" w:cs="Arial" w:eastAsia="Arial" w:hAnsi="Arial"/>
                <w:sz w:val="16"/>
                <w:szCs w:val="16"/>
                <w:color w:val="auto"/>
              </w:rPr>
              <w:t>1,930,318</w:t>
            </w:r>
          </w:p>
        </w:tc>
      </w:tr>
      <w:tr>
        <w:trPr>
          <w:trHeight w:val="208"/>
        </w:trPr>
        <w:tc>
          <w:tcPr>
            <w:tcW w:w="494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0"/>
        </w:trPr>
        <w:tc>
          <w:tcPr>
            <w:tcW w:w="49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Unrealized losses on fixed maturity securities available for sale</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w w:val="96"/>
              </w:rPr>
              <w:t>(11,181,151)</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22"/>
              <w:spacing w:after="0"/>
              <w:rPr>
                <w:sz w:val="20"/>
                <w:szCs w:val="20"/>
                <w:color w:val="auto"/>
              </w:rPr>
            </w:pPr>
            <w:r>
              <w:rPr>
                <w:rFonts w:ascii="Arial" w:cs="Arial" w:eastAsia="Arial" w:hAnsi="Arial"/>
                <w:sz w:val="16"/>
                <w:szCs w:val="16"/>
                <w:color w:val="auto"/>
              </w:rPr>
              <w:t>-</w:t>
            </w:r>
          </w:p>
        </w:tc>
      </w:tr>
      <w:tr>
        <w:trPr>
          <w:trHeight w:val="228"/>
        </w:trPr>
        <w:tc>
          <w:tcPr>
            <w:tcW w:w="4940" w:type="dxa"/>
            <w:vAlign w:val="bottom"/>
          </w:tcPr>
          <w:p>
            <w:pPr>
              <w:ind w:left="160"/>
              <w:spacing w:after="0"/>
              <w:rPr>
                <w:sz w:val="20"/>
                <w:szCs w:val="20"/>
                <w:color w:val="auto"/>
              </w:rPr>
            </w:pPr>
            <w:r>
              <w:rPr>
                <w:rFonts w:ascii="Arial" w:cs="Arial" w:eastAsia="Arial" w:hAnsi="Arial"/>
                <w:sz w:val="16"/>
                <w:szCs w:val="16"/>
                <w:color w:val="auto"/>
              </w:rPr>
              <w:t>Unrealized losses on restricted assets</w:t>
            </w:r>
          </w:p>
        </w:tc>
        <w:tc>
          <w:tcPr>
            <w:tcW w:w="180" w:type="dxa"/>
            <w:vAlign w:val="bottom"/>
          </w:tcPr>
          <w:p>
            <w:pPr>
              <w:spacing w:after="0"/>
              <w:rPr>
                <w:sz w:val="19"/>
                <w:szCs w:val="19"/>
                <w:color w:val="auto"/>
              </w:rPr>
            </w:pPr>
          </w:p>
        </w:tc>
        <w:tc>
          <w:tcPr>
            <w:tcW w:w="1240" w:type="dxa"/>
            <w:vAlign w:val="bottom"/>
          </w:tcPr>
          <w:p>
            <w:pPr>
              <w:jc w:val="right"/>
              <w:ind w:right="282"/>
              <w:spacing w:after="0"/>
              <w:rPr>
                <w:sz w:val="20"/>
                <w:szCs w:val="20"/>
                <w:color w:val="auto"/>
              </w:rPr>
            </w:pPr>
            <w:r>
              <w:rPr>
                <w:rFonts w:ascii="Arial" w:cs="Arial" w:eastAsia="Arial" w:hAnsi="Arial"/>
                <w:sz w:val="16"/>
                <w:szCs w:val="16"/>
                <w:color w:val="auto"/>
              </w:rPr>
              <w:t>(13,085)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322"/>
              <w:spacing w:after="0"/>
              <w:rPr>
                <w:sz w:val="20"/>
                <w:szCs w:val="20"/>
                <w:color w:val="auto"/>
              </w:rPr>
            </w:pPr>
            <w:r>
              <w:rPr>
                <w:rFonts w:ascii="Arial" w:cs="Arial" w:eastAsia="Arial" w:hAnsi="Arial"/>
                <w:sz w:val="16"/>
                <w:szCs w:val="16"/>
                <w:color w:val="auto"/>
              </w:rPr>
              <w:t>-</w:t>
            </w:r>
          </w:p>
        </w:tc>
      </w:tr>
      <w:tr>
        <w:trPr>
          <w:trHeight w:val="240"/>
        </w:trPr>
        <w:tc>
          <w:tcPr>
            <w:tcW w:w="49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Unrealized losses on cemetery perpetual care trust investments</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rPr>
              <w:t>(12,046)</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22"/>
              <w:spacing w:after="0"/>
              <w:rPr>
                <w:sz w:val="20"/>
                <w:szCs w:val="20"/>
                <w:color w:val="auto"/>
              </w:rPr>
            </w:pPr>
            <w:r>
              <w:rPr>
                <w:rFonts w:ascii="Arial" w:cs="Arial" w:eastAsia="Arial" w:hAnsi="Arial"/>
                <w:sz w:val="16"/>
                <w:szCs w:val="16"/>
                <w:color w:val="auto"/>
              </w:rPr>
              <w:t>-</w:t>
            </w:r>
          </w:p>
        </w:tc>
      </w:tr>
      <w:tr>
        <w:trPr>
          <w:trHeight w:val="228"/>
        </w:trPr>
        <w:tc>
          <w:tcPr>
            <w:tcW w:w="494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Foreign currency translation adjustments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color w:val="auto"/>
              </w:rPr>
              <w:t>(445)</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rPr>
              <w:t>1,092</w:t>
            </w:r>
          </w:p>
        </w:tc>
      </w:tr>
      <w:tr>
        <w:trPr>
          <w:trHeight w:val="214"/>
        </w:trPr>
        <w:tc>
          <w:tcPr>
            <w:tcW w:w="49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comprehensive income (loss), before income tax</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62"/>
              <w:spacing w:after="0"/>
              <w:rPr>
                <w:sz w:val="20"/>
                <w:szCs w:val="20"/>
                <w:color w:val="auto"/>
              </w:rPr>
            </w:pPr>
            <w:r>
              <w:rPr>
                <w:rFonts w:ascii="Arial" w:cs="Arial" w:eastAsia="Arial" w:hAnsi="Arial"/>
                <w:sz w:val="16"/>
                <w:szCs w:val="16"/>
                <w:color w:val="auto"/>
                <w:w w:val="96"/>
              </w:rPr>
              <w:t>(11,206,727)</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62"/>
              <w:spacing w:after="0"/>
              <w:rPr>
                <w:sz w:val="20"/>
                <w:szCs w:val="20"/>
                <w:color w:val="auto"/>
              </w:rPr>
            </w:pPr>
            <w:r>
              <w:rPr>
                <w:rFonts w:ascii="Arial" w:cs="Arial" w:eastAsia="Arial" w:hAnsi="Arial"/>
                <w:sz w:val="16"/>
                <w:szCs w:val="16"/>
                <w:color w:val="auto"/>
              </w:rPr>
              <w:t>1,092</w:t>
            </w:r>
          </w:p>
        </w:tc>
      </w:tr>
      <w:tr>
        <w:trPr>
          <w:trHeight w:val="214"/>
        </w:trPr>
        <w:tc>
          <w:tcPr>
            <w:tcW w:w="494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Income tax benefit (expense)</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color w:val="auto"/>
              </w:rPr>
              <w:t>2,354,414</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rPr>
              <w:t>(272)</w:t>
            </w:r>
          </w:p>
        </w:tc>
      </w:tr>
      <w:tr>
        <w:trPr>
          <w:trHeight w:val="214"/>
        </w:trPr>
        <w:tc>
          <w:tcPr>
            <w:tcW w:w="494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 (loss), net of income tax</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82"/>
              <w:spacing w:after="0"/>
              <w:rPr>
                <w:sz w:val="20"/>
                <w:szCs w:val="20"/>
                <w:color w:val="auto"/>
              </w:rPr>
            </w:pPr>
            <w:r>
              <w:rPr>
                <w:rFonts w:ascii="Arial" w:cs="Arial" w:eastAsia="Arial" w:hAnsi="Arial"/>
                <w:sz w:val="16"/>
                <w:szCs w:val="16"/>
                <w:color w:val="auto"/>
              </w:rPr>
              <w:t>(8,852,313)</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rPr>
              <w:t>820</w:t>
            </w:r>
          </w:p>
        </w:tc>
      </w:tr>
      <w:tr>
        <w:trPr>
          <w:trHeight w:val="220"/>
        </w:trPr>
        <w:tc>
          <w:tcPr>
            <w:tcW w:w="4940" w:type="dxa"/>
            <w:vAlign w:val="bottom"/>
          </w:tcPr>
          <w:p>
            <w:pPr>
              <w:spacing w:after="0"/>
              <w:rPr>
                <w:sz w:val="20"/>
                <w:szCs w:val="20"/>
                <w:color w:val="auto"/>
              </w:rPr>
            </w:pPr>
            <w:r>
              <w:rPr>
                <w:rFonts w:ascii="Arial" w:cs="Arial" w:eastAsia="Arial" w:hAnsi="Arial"/>
                <w:sz w:val="16"/>
                <w:szCs w:val="16"/>
                <w:color w:val="auto"/>
              </w:rPr>
              <w:t>Comprehensive income (loss)</w:t>
            </w: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rPr>
              <w:t>(7,427,864)</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1,931,138</w:t>
            </w:r>
          </w:p>
        </w:tc>
      </w:tr>
      <w:tr>
        <w:trPr>
          <w:trHeight w:val="20"/>
        </w:trPr>
        <w:tc>
          <w:tcPr>
            <w:tcW w:w="4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93345</wp:posOffset>
            </wp:positionV>
            <wp:extent cx="498983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89830" cy="29845"/>
                    </a:xfrm>
                    <a:prstGeom prst="rect">
                      <a:avLst/>
                    </a:prstGeom>
                    <a:noFill/>
                  </pic:spPr>
                </pic:pic>
              </a:graphicData>
            </a:graphic>
          </wp:anchor>
        </w:drawing>
      </w:r>
    </w:p>
    <w:p>
      <w:pPr>
        <w:sectPr>
          <w:pgSz w:w="11900" w:h="16838" w:orient="portrait"/>
          <w:cols w:equalWidth="0" w:num="1">
            <w:col w:w="9299"/>
          </w:cols>
          <w:pgMar w:left="1160" w:top="324" w:right="1440" w:bottom="1440" w:gutter="0" w:footer="0" w:header="0"/>
        </w:sectPr>
      </w:pPr>
    </w:p>
    <w:bookmarkStart w:id="6" w:name="page7"/>
    <w:bookmarkEnd w:id="6"/>
    <w:p>
      <w:pPr>
        <w:jc w:val="center"/>
        <w:ind w:right="1439"/>
        <w:spacing w:after="0"/>
        <w:rPr>
          <w:sz w:val="20"/>
          <w:szCs w:val="20"/>
          <w:color w:val="auto"/>
        </w:rPr>
      </w:pPr>
      <w:r>
        <w:rPr>
          <w:rFonts w:ascii="Arial" w:cs="Arial" w:eastAsia="Arial" w:hAnsi="Arial"/>
          <w:sz w:val="17"/>
          <w:szCs w:val="17"/>
          <w:color w:val="auto"/>
        </w:rPr>
        <w:t>SECURITY NATIONAL FINANCIAL CORPORATION</w:t>
      </w:r>
    </w:p>
    <w:p>
      <w:pPr>
        <w:spacing w:after="0" w:line="19" w:lineRule="exact"/>
        <w:rPr>
          <w:sz w:val="20"/>
          <w:szCs w:val="20"/>
          <w:color w:val="auto"/>
        </w:rPr>
      </w:pPr>
    </w:p>
    <w:p>
      <w:pPr>
        <w:jc w:val="center"/>
        <w:ind w:right="1439"/>
        <w:spacing w:after="0"/>
        <w:rPr>
          <w:sz w:val="20"/>
          <w:szCs w:val="20"/>
          <w:color w:val="auto"/>
        </w:rPr>
      </w:pPr>
      <w:r>
        <w:rPr>
          <w:rFonts w:ascii="Arial" w:cs="Arial" w:eastAsia="Arial" w:hAnsi="Arial"/>
          <w:sz w:val="17"/>
          <w:szCs w:val="17"/>
          <w:color w:val="auto"/>
        </w:rPr>
        <w:t>AND SUBSIDIARIES</w:t>
      </w:r>
    </w:p>
    <w:p>
      <w:pPr>
        <w:spacing w:after="0" w:line="3" w:lineRule="exact"/>
        <w:rPr>
          <w:sz w:val="20"/>
          <w:szCs w:val="20"/>
          <w:color w:val="auto"/>
        </w:rPr>
      </w:pPr>
    </w:p>
    <w:p>
      <w:pPr>
        <w:jc w:val="center"/>
        <w:ind w:right="1439"/>
        <w:spacing w:after="0"/>
        <w:rPr>
          <w:sz w:val="20"/>
          <w:szCs w:val="20"/>
          <w:color w:val="auto"/>
        </w:rPr>
      </w:pPr>
      <w:r>
        <w:rPr>
          <w:rFonts w:ascii="Arial" w:cs="Arial" w:eastAsia="Arial" w:hAnsi="Arial"/>
          <w:sz w:val="17"/>
          <w:szCs w:val="17"/>
          <w:color w:val="auto"/>
        </w:rPr>
        <w:t>CONDENSED CONSOLIDATED STATEMENTS OF STOCKHOLDERS’ EQUITY</w:t>
      </w:r>
    </w:p>
    <w:p>
      <w:pPr>
        <w:spacing w:after="0" w:line="3" w:lineRule="exact"/>
        <w:rPr>
          <w:sz w:val="20"/>
          <w:szCs w:val="20"/>
          <w:color w:val="auto"/>
        </w:rPr>
      </w:pPr>
    </w:p>
    <w:p>
      <w:pPr>
        <w:jc w:val="center"/>
        <w:ind w:right="1439"/>
        <w:spacing w:after="0"/>
        <w:rPr>
          <w:sz w:val="20"/>
          <w:szCs w:val="20"/>
          <w:color w:val="auto"/>
        </w:rPr>
      </w:pPr>
      <w:r>
        <w:rPr>
          <w:rFonts w:ascii="Arial" w:cs="Arial" w:eastAsia="Arial" w:hAnsi="Arial"/>
          <w:sz w:val="17"/>
          <w:szCs w:val="17"/>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gridSpan w:val="6"/>
          </w:tcPr>
          <w:p>
            <w:pPr>
              <w:jc w:val="right"/>
              <w:spacing w:after="0"/>
              <w:rPr>
                <w:sz w:val="20"/>
                <w:szCs w:val="20"/>
                <w:color w:val="auto"/>
              </w:rPr>
            </w:pPr>
            <w:r>
              <w:rPr>
                <w:rFonts w:ascii="Arial" w:cs="Arial" w:eastAsia="Arial" w:hAnsi="Arial"/>
                <w:sz w:val="12"/>
                <w:szCs w:val="12"/>
                <w:color w:val="auto"/>
              </w:rPr>
              <w:t>Three Months Ended March 31, 2020</w:t>
            </w:r>
          </w:p>
        </w:tc>
        <w:tc>
          <w:tcPr>
            <w:tcW w:w="6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3"/>
          </w:tcPr>
          <w:p>
            <w:pPr>
              <w:jc w:val="center"/>
              <w:ind w:right="80"/>
              <w:spacing w:after="0"/>
              <w:rPr>
                <w:sz w:val="20"/>
                <w:szCs w:val="20"/>
                <w:color w:val="auto"/>
              </w:rPr>
            </w:pPr>
            <w:r>
              <w:rPr>
                <w:rFonts w:ascii="Arial" w:cs="Arial" w:eastAsia="Arial" w:hAnsi="Arial"/>
                <w:sz w:val="12"/>
                <w:szCs w:val="12"/>
                <w:color w:val="auto"/>
                <w:w w:val="89"/>
              </w:rPr>
              <w:t>Accumulated Other</w:t>
            </w: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2"/>
          </w:tcPr>
          <w:p>
            <w:pPr>
              <w:jc w:val="right"/>
              <w:ind w:right="20"/>
              <w:spacing w:after="0" w:line="129" w:lineRule="exact"/>
              <w:rPr>
                <w:sz w:val="20"/>
                <w:szCs w:val="20"/>
                <w:color w:val="auto"/>
              </w:rPr>
            </w:pPr>
            <w:r>
              <w:rPr>
                <w:rFonts w:ascii="Arial" w:cs="Arial" w:eastAsia="Arial" w:hAnsi="Arial"/>
                <w:sz w:val="12"/>
                <w:szCs w:val="12"/>
                <w:color w:val="auto"/>
                <w:w w:val="89"/>
              </w:rPr>
              <w:t>Class A Common</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4"/>
          </w:tcPr>
          <w:p>
            <w:pPr>
              <w:jc w:val="center"/>
              <w:ind w:right="80"/>
              <w:spacing w:after="0" w:line="129" w:lineRule="exact"/>
              <w:rPr>
                <w:sz w:val="20"/>
                <w:szCs w:val="20"/>
                <w:color w:val="auto"/>
              </w:rPr>
            </w:pPr>
            <w:r>
              <w:rPr>
                <w:rFonts w:ascii="Arial" w:cs="Arial" w:eastAsia="Arial" w:hAnsi="Arial"/>
                <w:sz w:val="12"/>
                <w:szCs w:val="12"/>
                <w:color w:val="auto"/>
                <w:w w:val="85"/>
              </w:rPr>
              <w:t>Class C</w:t>
            </w:r>
          </w:p>
        </w:tc>
        <w:tc>
          <w:tcPr>
            <w:tcW w:w="20" w:type="dxa"/>
            <w:vAlign w:val="bottom"/>
          </w:tcPr>
          <w:p>
            <w:pPr>
              <w:spacing w:after="0"/>
              <w:rPr>
                <w:sz w:val="11"/>
                <w:szCs w:val="11"/>
                <w:color w:val="auto"/>
              </w:rPr>
            </w:pPr>
          </w:p>
        </w:tc>
        <w:tc>
          <w:tcPr>
            <w:tcW w:w="1040" w:type="dxa"/>
            <w:vAlign w:val="bottom"/>
            <w:gridSpan w:val="3"/>
          </w:tcPr>
          <w:p>
            <w:pPr>
              <w:jc w:val="center"/>
              <w:ind w:right="100"/>
              <w:spacing w:after="0" w:line="129" w:lineRule="exact"/>
              <w:rPr>
                <w:sz w:val="20"/>
                <w:szCs w:val="20"/>
                <w:color w:val="auto"/>
              </w:rPr>
            </w:pPr>
            <w:r>
              <w:rPr>
                <w:rFonts w:ascii="Arial" w:cs="Arial" w:eastAsia="Arial" w:hAnsi="Arial"/>
                <w:sz w:val="12"/>
                <w:szCs w:val="12"/>
                <w:color w:val="auto"/>
                <w:w w:val="92"/>
              </w:rPr>
              <w:t>Additional Paid-in</w:t>
            </w:r>
          </w:p>
        </w:tc>
        <w:tc>
          <w:tcPr>
            <w:tcW w:w="1200" w:type="dxa"/>
            <w:vAlign w:val="bottom"/>
            <w:gridSpan w:val="3"/>
          </w:tcPr>
          <w:p>
            <w:pPr>
              <w:jc w:val="center"/>
              <w:ind w:right="80"/>
              <w:spacing w:after="0" w:line="129" w:lineRule="exact"/>
              <w:rPr>
                <w:sz w:val="20"/>
                <w:szCs w:val="20"/>
                <w:color w:val="auto"/>
              </w:rPr>
            </w:pPr>
            <w:r>
              <w:rPr>
                <w:rFonts w:ascii="Arial" w:cs="Arial" w:eastAsia="Arial" w:hAnsi="Arial"/>
                <w:sz w:val="12"/>
                <w:szCs w:val="12"/>
                <w:color w:val="auto"/>
                <w:w w:val="85"/>
              </w:rPr>
              <w:t>Comprehensive</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2"/>
                <w:szCs w:val="12"/>
                <w:color w:val="auto"/>
              </w:rPr>
              <w:t>Stock</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4"/>
          </w:tcPr>
          <w:p>
            <w:pPr>
              <w:jc w:val="center"/>
              <w:ind w:right="60"/>
              <w:spacing w:after="0"/>
              <w:rPr>
                <w:sz w:val="20"/>
                <w:szCs w:val="20"/>
                <w:color w:val="auto"/>
              </w:rPr>
            </w:pPr>
            <w:r>
              <w:rPr>
                <w:rFonts w:ascii="Arial" w:cs="Arial" w:eastAsia="Arial" w:hAnsi="Arial"/>
                <w:sz w:val="12"/>
                <w:szCs w:val="12"/>
                <w:color w:val="auto"/>
                <w:w w:val="90"/>
              </w:rPr>
              <w:t>Common Stock</w:t>
            </w:r>
          </w:p>
        </w:tc>
        <w:tc>
          <w:tcPr>
            <w:tcW w:w="20" w:type="dxa"/>
            <w:vAlign w:val="bottom"/>
          </w:tcPr>
          <w:p>
            <w:pPr>
              <w:spacing w:after="0"/>
              <w:rPr>
                <w:sz w:val="12"/>
                <w:szCs w:val="12"/>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2"/>
                <w:szCs w:val="12"/>
                <w:color w:val="auto"/>
                <w:w w:val="90"/>
              </w:rPr>
              <w:t>Capital</w:t>
            </w:r>
          </w:p>
        </w:tc>
        <w:tc>
          <w:tcPr>
            <w:tcW w:w="340" w:type="dxa"/>
            <w:vAlign w:val="bottom"/>
          </w:tcPr>
          <w:p>
            <w:pPr>
              <w:spacing w:after="0"/>
              <w:rPr>
                <w:sz w:val="12"/>
                <w:szCs w:val="12"/>
                <w:color w:val="auto"/>
              </w:rPr>
            </w:pPr>
          </w:p>
        </w:tc>
        <w:tc>
          <w:tcPr>
            <w:tcW w:w="860" w:type="dxa"/>
            <w:vAlign w:val="bottom"/>
            <w:gridSpan w:val="2"/>
          </w:tcPr>
          <w:p>
            <w:pPr>
              <w:jc w:val="center"/>
              <w:ind w:right="420"/>
              <w:spacing w:after="0"/>
              <w:rPr>
                <w:sz w:val="20"/>
                <w:szCs w:val="20"/>
                <w:color w:val="auto"/>
              </w:rPr>
            </w:pPr>
            <w:r>
              <w:rPr>
                <w:rFonts w:ascii="Arial" w:cs="Arial" w:eastAsia="Arial" w:hAnsi="Arial"/>
                <w:sz w:val="12"/>
                <w:szCs w:val="12"/>
                <w:color w:val="auto"/>
                <w:w w:val="91"/>
              </w:rPr>
              <w:t>Income</w:t>
            </w:r>
          </w:p>
        </w:tc>
        <w:tc>
          <w:tcPr>
            <w:tcW w:w="1040" w:type="dxa"/>
            <w:vAlign w:val="bottom"/>
            <w:gridSpan w:val="4"/>
          </w:tcPr>
          <w:p>
            <w:pPr>
              <w:ind w:left="40"/>
              <w:spacing w:after="0"/>
              <w:rPr>
                <w:sz w:val="20"/>
                <w:szCs w:val="20"/>
                <w:color w:val="auto"/>
              </w:rPr>
            </w:pPr>
            <w:r>
              <w:rPr>
                <w:rFonts w:ascii="Arial" w:cs="Arial" w:eastAsia="Arial" w:hAnsi="Arial"/>
                <w:sz w:val="12"/>
                <w:szCs w:val="12"/>
                <w:color w:val="auto"/>
                <w:w w:val="99"/>
              </w:rPr>
              <w:t>Retained Earnings</w:t>
            </w:r>
          </w:p>
        </w:tc>
        <w:tc>
          <w:tcPr>
            <w:tcW w:w="920" w:type="dxa"/>
            <w:vAlign w:val="bottom"/>
            <w:gridSpan w:val="5"/>
          </w:tcPr>
          <w:p>
            <w:pPr>
              <w:ind w:left="60"/>
              <w:spacing w:after="0"/>
              <w:rPr>
                <w:sz w:val="20"/>
                <w:szCs w:val="20"/>
                <w:color w:val="auto"/>
              </w:rPr>
            </w:pPr>
            <w:r>
              <w:rPr>
                <w:rFonts w:ascii="Arial" w:cs="Arial" w:eastAsia="Arial" w:hAnsi="Arial"/>
                <w:sz w:val="12"/>
                <w:szCs w:val="12"/>
                <w:color w:val="auto"/>
              </w:rPr>
              <w:t>Treasury Stock</w:t>
            </w:r>
          </w:p>
        </w:tc>
        <w:tc>
          <w:tcPr>
            <w:tcW w:w="340" w:type="dxa"/>
            <w:vAlign w:val="bottom"/>
          </w:tcPr>
          <w:p>
            <w:pPr>
              <w:spacing w:after="0"/>
              <w:rPr>
                <w:sz w:val="12"/>
                <w:szCs w:val="12"/>
                <w:color w:val="auto"/>
              </w:rPr>
            </w:pPr>
          </w:p>
        </w:tc>
        <w:tc>
          <w:tcPr>
            <w:tcW w:w="620" w:type="dxa"/>
            <w:vAlign w:val="bottom"/>
          </w:tcPr>
          <w:p>
            <w:pPr>
              <w:jc w:val="right"/>
              <w:ind w:right="302"/>
              <w:spacing w:after="0"/>
              <w:rPr>
                <w:sz w:val="20"/>
                <w:szCs w:val="20"/>
                <w:color w:val="auto"/>
              </w:rPr>
            </w:pPr>
            <w:r>
              <w:rPr>
                <w:rFonts w:ascii="Arial" w:cs="Arial" w:eastAsia="Arial" w:hAnsi="Arial"/>
                <w:sz w:val="12"/>
                <w:szCs w:val="12"/>
                <w:color w:val="auto"/>
                <w:w w:val="89"/>
              </w:rPr>
              <w:t>Total</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800" w:type="dxa"/>
            <w:vAlign w:val="bottom"/>
            <w:shd w:val="clear" w:color="auto" w:fill="CCEEFF"/>
          </w:tcPr>
          <w:p>
            <w:pPr>
              <w:spacing w:after="0" w:line="130" w:lineRule="exact"/>
              <w:rPr>
                <w:sz w:val="20"/>
                <w:szCs w:val="20"/>
                <w:color w:val="auto"/>
              </w:rPr>
            </w:pPr>
            <w:r>
              <w:rPr>
                <w:rFonts w:ascii="Arial" w:cs="Arial" w:eastAsia="Arial" w:hAnsi="Arial"/>
                <w:sz w:val="12"/>
                <w:szCs w:val="12"/>
                <w:b w:val="1"/>
                <w:bCs w:val="1"/>
                <w:color w:val="auto"/>
              </w:rPr>
              <w:t>January 1,</w:t>
            </w: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8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2020</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$ 32,215,558</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$ 5,001,774</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46,091,112</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13,726,514</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101,256,229</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 (1,580,582)</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6"/>
              </w:rPr>
              <w:t>196,710,605</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800" w:type="dxa"/>
            <w:vAlign w:val="bottom"/>
            <w:shd w:val="clear" w:color="auto" w:fill="CCEEFF"/>
          </w:tcPr>
          <w:p>
            <w:pPr>
              <w:spacing w:after="0"/>
              <w:rPr>
                <w:sz w:val="20"/>
                <w:szCs w:val="20"/>
                <w:color w:val="auto"/>
              </w:rPr>
            </w:pPr>
            <w:r>
              <w:rPr>
                <w:rFonts w:ascii="Arial" w:cs="Arial" w:eastAsia="Arial" w:hAnsi="Arial"/>
                <w:sz w:val="12"/>
                <w:szCs w:val="12"/>
                <w:color w:val="auto"/>
              </w:rPr>
              <w:t>Net earnings</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1,424,449</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1,424,449</w:t>
            </w:r>
          </w:p>
        </w:tc>
        <w:tc>
          <w:tcPr>
            <w:tcW w:w="0" w:type="dxa"/>
            <w:vAlign w:val="bottom"/>
          </w:tcPr>
          <w:p>
            <w:pPr>
              <w:spacing w:after="0"/>
              <w:rPr>
                <w:sz w:val="1"/>
                <w:szCs w:val="1"/>
                <w:color w:val="auto"/>
              </w:rPr>
            </w:pPr>
          </w:p>
        </w:tc>
      </w:tr>
      <w:tr>
        <w:trPr>
          <w:trHeight w:val="131"/>
        </w:trPr>
        <w:tc>
          <w:tcPr>
            <w:tcW w:w="800" w:type="dxa"/>
            <w:vAlign w:val="bottom"/>
          </w:tcPr>
          <w:p>
            <w:pPr>
              <w:spacing w:after="0" w:line="132" w:lineRule="exact"/>
              <w:rPr>
                <w:sz w:val="20"/>
                <w:szCs w:val="20"/>
                <w:color w:val="auto"/>
              </w:rPr>
            </w:pPr>
            <w:r>
              <w:rPr>
                <w:rFonts w:ascii="Arial" w:cs="Arial" w:eastAsia="Arial" w:hAnsi="Arial"/>
                <w:sz w:val="12"/>
                <w:szCs w:val="12"/>
                <w:color w:val="auto"/>
              </w:rPr>
              <w:t>Other</w:t>
            </w: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00" w:type="dxa"/>
            <w:vAlign w:val="bottom"/>
          </w:tcPr>
          <w:p>
            <w:pPr>
              <w:spacing w:after="0" w:line="129" w:lineRule="exact"/>
              <w:rPr>
                <w:sz w:val="20"/>
                <w:szCs w:val="20"/>
                <w:color w:val="auto"/>
              </w:rPr>
            </w:pPr>
            <w:r>
              <w:rPr>
                <w:rFonts w:ascii="Arial" w:cs="Arial" w:eastAsia="Arial" w:hAnsi="Arial"/>
                <w:sz w:val="12"/>
                <w:szCs w:val="12"/>
                <w:color w:val="auto"/>
                <w:w w:val="95"/>
              </w:rPr>
              <w:t>comprehensive</w:t>
            </w: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00" w:type="dxa"/>
            <w:vAlign w:val="bottom"/>
          </w:tcPr>
          <w:p>
            <w:pPr>
              <w:spacing w:after="0"/>
              <w:rPr>
                <w:sz w:val="20"/>
                <w:szCs w:val="20"/>
                <w:color w:val="auto"/>
              </w:rPr>
            </w:pPr>
            <w:r>
              <w:rPr>
                <w:rFonts w:ascii="Arial" w:cs="Arial" w:eastAsia="Arial" w:hAnsi="Arial"/>
                <w:sz w:val="12"/>
                <w:szCs w:val="12"/>
                <w:color w:val="auto"/>
              </w:rPr>
              <w:t>loss</w:t>
            </w:r>
          </w:p>
        </w:tc>
        <w:tc>
          <w:tcPr>
            <w:tcW w:w="92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(8,852,313)</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4"/>
              </w:rPr>
              <w:t>(8,852,313)</w:t>
            </w:r>
          </w:p>
        </w:tc>
        <w:tc>
          <w:tcPr>
            <w:tcW w:w="0" w:type="dxa"/>
            <w:vAlign w:val="bottom"/>
          </w:tcPr>
          <w:p>
            <w:pPr>
              <w:spacing w:after="0"/>
              <w:rPr>
                <w:sz w:val="1"/>
                <w:szCs w:val="1"/>
                <w:color w:val="auto"/>
              </w:rPr>
            </w:pPr>
          </w:p>
        </w:tc>
      </w:tr>
      <w:tr>
        <w:trPr>
          <w:trHeight w:val="132"/>
        </w:trPr>
        <w:tc>
          <w:tcPr>
            <w:tcW w:w="80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Stock-based</w:t>
            </w: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compensation</w:t>
            </w: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00" w:type="dxa"/>
            <w:vAlign w:val="bottom"/>
            <w:shd w:val="clear" w:color="auto" w:fill="CCEEFF"/>
          </w:tcPr>
          <w:p>
            <w:pPr>
              <w:spacing w:after="0"/>
              <w:rPr>
                <w:sz w:val="20"/>
                <w:szCs w:val="20"/>
                <w:color w:val="auto"/>
              </w:rPr>
            </w:pPr>
            <w:r>
              <w:rPr>
                <w:rFonts w:ascii="Arial" w:cs="Arial" w:eastAsia="Arial" w:hAnsi="Arial"/>
                <w:sz w:val="12"/>
                <w:szCs w:val="12"/>
                <w:color w:val="auto"/>
              </w:rPr>
              <w:t>expense</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65,877</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65,877</w:t>
            </w:r>
          </w:p>
        </w:tc>
        <w:tc>
          <w:tcPr>
            <w:tcW w:w="0" w:type="dxa"/>
            <w:vAlign w:val="bottom"/>
          </w:tcPr>
          <w:p>
            <w:pPr>
              <w:spacing w:after="0"/>
              <w:rPr>
                <w:sz w:val="1"/>
                <w:szCs w:val="1"/>
                <w:color w:val="auto"/>
              </w:rPr>
            </w:pPr>
          </w:p>
        </w:tc>
      </w:tr>
      <w:tr>
        <w:trPr>
          <w:trHeight w:val="131"/>
        </w:trPr>
        <w:tc>
          <w:tcPr>
            <w:tcW w:w="800" w:type="dxa"/>
            <w:vAlign w:val="bottom"/>
          </w:tcPr>
          <w:p>
            <w:pPr>
              <w:spacing w:after="0" w:line="132" w:lineRule="exact"/>
              <w:rPr>
                <w:sz w:val="20"/>
                <w:szCs w:val="20"/>
                <w:color w:val="auto"/>
              </w:rPr>
            </w:pPr>
            <w:r>
              <w:rPr>
                <w:rFonts w:ascii="Arial" w:cs="Arial" w:eastAsia="Arial" w:hAnsi="Arial"/>
                <w:sz w:val="12"/>
                <w:szCs w:val="12"/>
                <w:color w:val="auto"/>
              </w:rPr>
              <w:t>Exercise of</w:t>
            </w: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00" w:type="dxa"/>
            <w:vAlign w:val="bottom"/>
          </w:tcPr>
          <w:p>
            <w:pPr>
              <w:spacing w:after="0"/>
              <w:rPr>
                <w:sz w:val="20"/>
                <w:szCs w:val="20"/>
                <w:color w:val="auto"/>
              </w:rPr>
            </w:pPr>
            <w:r>
              <w:rPr>
                <w:rFonts w:ascii="Arial" w:cs="Arial" w:eastAsia="Arial" w:hAnsi="Arial"/>
                <w:sz w:val="12"/>
                <w:szCs w:val="12"/>
                <w:color w:val="auto"/>
              </w:rPr>
              <w:t>stock options</w:t>
            </w:r>
          </w:p>
        </w:tc>
        <w:tc>
          <w:tcPr>
            <w:tcW w:w="920" w:type="dxa"/>
            <w:vAlign w:val="bottom"/>
            <w:gridSpan w:val="3"/>
          </w:tcPr>
          <w:p>
            <w:pPr>
              <w:jc w:val="right"/>
              <w:spacing w:after="0"/>
              <w:rPr>
                <w:sz w:val="20"/>
                <w:szCs w:val="20"/>
                <w:color w:val="auto"/>
              </w:rPr>
            </w:pPr>
            <w:r>
              <w:rPr>
                <w:rFonts w:ascii="Arial" w:cs="Arial" w:eastAsia="Arial" w:hAnsi="Arial"/>
                <w:sz w:val="12"/>
                <w:szCs w:val="12"/>
                <w:color w:val="auto"/>
              </w:rPr>
              <w:t>44,822</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(33,930)</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10,892</w:t>
            </w:r>
          </w:p>
        </w:tc>
        <w:tc>
          <w:tcPr>
            <w:tcW w:w="0" w:type="dxa"/>
            <w:vAlign w:val="bottom"/>
          </w:tcPr>
          <w:p>
            <w:pPr>
              <w:spacing w:after="0"/>
              <w:rPr>
                <w:sz w:val="1"/>
                <w:szCs w:val="1"/>
                <w:color w:val="auto"/>
              </w:rPr>
            </w:pPr>
          </w:p>
        </w:tc>
      </w:tr>
      <w:tr>
        <w:trPr>
          <w:trHeight w:val="132"/>
        </w:trPr>
        <w:tc>
          <w:tcPr>
            <w:tcW w:w="80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w w:val="92"/>
              </w:rPr>
              <w:t>Sale of treasury</w:t>
            </w: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00" w:type="dxa"/>
            <w:vAlign w:val="bottom"/>
            <w:shd w:val="clear" w:color="auto" w:fill="CCEEFF"/>
          </w:tcPr>
          <w:p>
            <w:pPr>
              <w:spacing w:after="0"/>
              <w:rPr>
                <w:sz w:val="20"/>
                <w:szCs w:val="20"/>
                <w:color w:val="auto"/>
              </w:rPr>
            </w:pPr>
            <w:r>
              <w:rPr>
                <w:rFonts w:ascii="Arial" w:cs="Arial" w:eastAsia="Arial" w:hAnsi="Arial"/>
                <w:sz w:val="12"/>
                <w:szCs w:val="12"/>
                <w:color w:val="auto"/>
              </w:rPr>
              <w:t>stock</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218,280</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264,081</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482,361</w:t>
            </w:r>
          </w:p>
        </w:tc>
        <w:tc>
          <w:tcPr>
            <w:tcW w:w="0" w:type="dxa"/>
            <w:vAlign w:val="bottom"/>
          </w:tcPr>
          <w:p>
            <w:pPr>
              <w:spacing w:after="0"/>
              <w:rPr>
                <w:sz w:val="1"/>
                <w:szCs w:val="1"/>
                <w:color w:val="auto"/>
              </w:rPr>
            </w:pPr>
          </w:p>
        </w:tc>
      </w:tr>
      <w:tr>
        <w:trPr>
          <w:trHeight w:val="131"/>
        </w:trPr>
        <w:tc>
          <w:tcPr>
            <w:tcW w:w="800" w:type="dxa"/>
            <w:vAlign w:val="bottom"/>
          </w:tcPr>
          <w:p>
            <w:pPr>
              <w:spacing w:after="0" w:line="132" w:lineRule="exact"/>
              <w:rPr>
                <w:sz w:val="20"/>
                <w:szCs w:val="20"/>
                <w:color w:val="auto"/>
              </w:rPr>
            </w:pPr>
            <w:r>
              <w:rPr>
                <w:rFonts w:ascii="Arial" w:cs="Arial" w:eastAsia="Arial" w:hAnsi="Arial"/>
                <w:sz w:val="12"/>
                <w:szCs w:val="12"/>
                <w:color w:val="auto"/>
              </w:rPr>
              <w:t>Purchase of</w:t>
            </w: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00" w:type="dxa"/>
            <w:vAlign w:val="bottom"/>
          </w:tcPr>
          <w:p>
            <w:pPr>
              <w:spacing w:after="0"/>
              <w:rPr>
                <w:sz w:val="20"/>
                <w:szCs w:val="20"/>
                <w:color w:val="auto"/>
              </w:rPr>
            </w:pPr>
            <w:r>
              <w:rPr>
                <w:rFonts w:ascii="Arial" w:cs="Arial" w:eastAsia="Arial" w:hAnsi="Arial"/>
                <w:sz w:val="12"/>
                <w:szCs w:val="12"/>
                <w:color w:val="auto"/>
              </w:rPr>
              <w:t>treasury stock</w:t>
            </w:r>
          </w:p>
        </w:tc>
        <w:tc>
          <w:tcPr>
            <w:tcW w:w="92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(129,608)</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(129,608)</w:t>
            </w:r>
          </w:p>
        </w:tc>
        <w:tc>
          <w:tcPr>
            <w:tcW w:w="0" w:type="dxa"/>
            <w:vAlign w:val="bottom"/>
          </w:tcPr>
          <w:p>
            <w:pPr>
              <w:spacing w:after="0"/>
              <w:rPr>
                <w:sz w:val="1"/>
                <w:szCs w:val="1"/>
                <w:color w:val="auto"/>
              </w:rPr>
            </w:pPr>
          </w:p>
        </w:tc>
      </w:tr>
      <w:tr>
        <w:trPr>
          <w:trHeight w:val="132"/>
        </w:trPr>
        <w:tc>
          <w:tcPr>
            <w:tcW w:w="80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Stock</w:t>
            </w: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00" w:type="dxa"/>
            <w:vAlign w:val="bottom"/>
            <w:shd w:val="clear" w:color="auto" w:fill="CCEEFF"/>
          </w:tcPr>
          <w:p>
            <w:pPr>
              <w:spacing w:after="0"/>
              <w:rPr>
                <w:sz w:val="20"/>
                <w:szCs w:val="20"/>
                <w:color w:val="auto"/>
              </w:rPr>
            </w:pPr>
            <w:r>
              <w:rPr>
                <w:rFonts w:ascii="Arial" w:cs="Arial" w:eastAsia="Arial" w:hAnsi="Arial"/>
                <w:sz w:val="12"/>
                <w:szCs w:val="12"/>
                <w:color w:val="auto"/>
              </w:rPr>
              <w:t>dividends</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2,322</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2,292</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(3,594)</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1"/>
        </w:trPr>
        <w:tc>
          <w:tcPr>
            <w:tcW w:w="800" w:type="dxa"/>
            <w:vAlign w:val="bottom"/>
          </w:tcPr>
          <w:p>
            <w:pPr>
              <w:spacing w:after="0" w:line="132" w:lineRule="exact"/>
              <w:rPr>
                <w:sz w:val="20"/>
                <w:szCs w:val="20"/>
                <w:color w:val="auto"/>
              </w:rPr>
            </w:pPr>
            <w:r>
              <w:rPr>
                <w:rFonts w:ascii="Arial" w:cs="Arial" w:eastAsia="Arial" w:hAnsi="Arial"/>
                <w:sz w:val="12"/>
                <w:szCs w:val="12"/>
                <w:color w:val="auto"/>
              </w:rPr>
              <w:t>Conversion</w:t>
            </w: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00" w:type="dxa"/>
            <w:vAlign w:val="bottom"/>
          </w:tcPr>
          <w:p>
            <w:pPr>
              <w:spacing w:after="0" w:line="129" w:lineRule="exact"/>
              <w:rPr>
                <w:sz w:val="20"/>
                <w:szCs w:val="20"/>
                <w:color w:val="auto"/>
              </w:rPr>
            </w:pPr>
            <w:r>
              <w:rPr>
                <w:rFonts w:ascii="Arial" w:cs="Arial" w:eastAsia="Arial" w:hAnsi="Arial"/>
                <w:sz w:val="12"/>
                <w:szCs w:val="12"/>
                <w:color w:val="auto"/>
              </w:rPr>
              <w:t>Class C to</w:t>
            </w: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Class A</w:t>
            </w:r>
          </w:p>
        </w:tc>
        <w:tc>
          <w:tcPr>
            <w:tcW w:w="4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22,324</w:t>
            </w: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(22,324)</w:t>
            </w: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0"/>
        </w:trPr>
        <w:tc>
          <w:tcPr>
            <w:tcW w:w="800" w:type="dxa"/>
            <w:vAlign w:val="bottom"/>
            <w:shd w:val="clear" w:color="auto" w:fill="CCEEFF"/>
          </w:tcPr>
          <w:p>
            <w:pPr>
              <w:spacing w:after="0" w:line="110" w:lineRule="exact"/>
              <w:rPr>
                <w:sz w:val="20"/>
                <w:szCs w:val="20"/>
                <w:color w:val="auto"/>
              </w:rPr>
            </w:pPr>
            <w:r>
              <w:rPr>
                <w:rFonts w:ascii="Arial" w:cs="Arial" w:eastAsia="Arial" w:hAnsi="Arial"/>
                <w:sz w:val="12"/>
                <w:szCs w:val="12"/>
                <w:b w:val="1"/>
                <w:bCs w:val="1"/>
                <w:color w:val="auto"/>
              </w:rPr>
              <w:t>March 31,</w:t>
            </w:r>
          </w:p>
        </w:tc>
        <w:tc>
          <w:tcPr>
            <w:tcW w:w="40" w:type="dxa"/>
            <w:vAlign w:val="bottom"/>
            <w:vMerge w:val="restart"/>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$ 32,285,026</w:t>
            </w:r>
          </w:p>
        </w:tc>
        <w:tc>
          <w:tcPr>
            <w:tcW w:w="80" w:type="dxa"/>
            <w:vAlign w:val="bottom"/>
            <w:gridSpan w:val="2"/>
            <w:vMerge w:val="restart"/>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$4,978,430</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99"/>
              </w:rPr>
              <w:t>46,343,631</w:t>
            </w:r>
          </w:p>
        </w:tc>
        <w:tc>
          <w:tcPr>
            <w:tcW w:w="80" w:type="dxa"/>
            <w:vAlign w:val="bottom"/>
            <w:shd w:val="clear" w:color="auto" w:fill="CCEEFF"/>
          </w:tcPr>
          <w:p>
            <w:pPr>
              <w:spacing w:after="0"/>
              <w:rPr>
                <w:sz w:val="9"/>
                <w:szCs w:val="9"/>
                <w:color w:val="auto"/>
              </w:rPr>
            </w:pPr>
          </w:p>
        </w:tc>
        <w:tc>
          <w:tcPr>
            <w:tcW w:w="34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4,874,201</w:t>
            </w:r>
          </w:p>
        </w:tc>
        <w:tc>
          <w:tcPr>
            <w:tcW w:w="80" w:type="dxa"/>
            <w:vAlign w:val="bottom"/>
            <w:shd w:val="clear" w:color="auto" w:fill="CCEEFF"/>
          </w:tcPr>
          <w:p>
            <w:pPr>
              <w:spacing w:after="0"/>
              <w:rPr>
                <w:sz w:val="9"/>
                <w:szCs w:val="9"/>
                <w:color w:val="auto"/>
              </w:rPr>
            </w:pP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$ 102,677,084</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w w:val="91"/>
              </w:rPr>
              <w:t>(1,446,109)</w:t>
            </w: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6"/>
              </w:rPr>
              <w:t>189,712,263</w:t>
            </w:r>
          </w:p>
        </w:tc>
        <w:tc>
          <w:tcPr>
            <w:tcW w:w="0" w:type="dxa"/>
            <w:vAlign w:val="bottom"/>
          </w:tcPr>
          <w:p>
            <w:pPr>
              <w:spacing w:after="0"/>
              <w:rPr>
                <w:sz w:val="1"/>
                <w:szCs w:val="1"/>
                <w:color w:val="auto"/>
              </w:rPr>
            </w:pPr>
          </w:p>
        </w:tc>
      </w:tr>
      <w:tr>
        <w:trPr>
          <w:trHeight w:val="140"/>
        </w:trPr>
        <w:tc>
          <w:tcPr>
            <w:tcW w:w="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2020</w:t>
            </w:r>
          </w:p>
        </w:tc>
        <w:tc>
          <w:tcPr>
            <w:tcW w:w="40" w:type="dxa"/>
            <w:vAlign w:val="bottom"/>
            <w:tcBorders>
              <w:bottom w:val="single" w:sz="8" w:color="CCEEFF"/>
            </w:tcBorders>
            <w:vMerge w:val="continue"/>
            <w:shd w:val="clear" w:color="auto" w:fill="CCEEFF"/>
          </w:tcPr>
          <w:p>
            <w:pPr>
              <w:spacing w:after="0"/>
              <w:rPr>
                <w:sz w:val="12"/>
                <w:szCs w:val="12"/>
                <w:color w:val="auto"/>
              </w:rPr>
            </w:pPr>
          </w:p>
        </w:tc>
        <w:tc>
          <w:tcPr>
            <w:tcW w:w="880" w:type="dxa"/>
            <w:vAlign w:val="bottom"/>
            <w:tcBorders>
              <w:bottom w:val="single" w:sz="8" w:color="auto"/>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gridSpan w:val="2"/>
            <w:vMerge w:val="continue"/>
            <w:shd w:val="clear" w:color="auto" w:fill="CCEEFF"/>
          </w:tcPr>
          <w:p>
            <w:pPr>
              <w:spacing w:after="0"/>
              <w:rPr>
                <w:sz w:val="12"/>
                <w:szCs w:val="12"/>
                <w:color w:val="auto"/>
              </w:rPr>
            </w:pPr>
          </w:p>
        </w:tc>
        <w:tc>
          <w:tcPr>
            <w:tcW w:w="800" w:type="dxa"/>
            <w:vAlign w:val="bottom"/>
            <w:tcBorders>
              <w:bottom w:val="single" w:sz="8" w:color="auto"/>
            </w:tcBorders>
            <w:gridSpan w:val="2"/>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gridSpan w:val="2"/>
            <w:vMerge w:val="continue"/>
            <w:shd w:val="clear" w:color="auto" w:fill="CCEEFF"/>
          </w:tcPr>
          <w:p>
            <w:pPr>
              <w:spacing w:after="0"/>
              <w:rPr>
                <w:sz w:val="12"/>
                <w:szCs w:val="12"/>
                <w:color w:val="auto"/>
              </w:rPr>
            </w:pPr>
          </w:p>
        </w:tc>
        <w:tc>
          <w:tcPr>
            <w:tcW w:w="64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vMerge w:val="continue"/>
            <w:shd w:val="clear" w:color="auto" w:fill="CCEEFF"/>
          </w:tcPr>
          <w:p>
            <w:pPr>
              <w:spacing w:after="0"/>
              <w:rPr>
                <w:sz w:val="12"/>
                <w:szCs w:val="12"/>
                <w:color w:val="auto"/>
              </w:rPr>
            </w:pPr>
          </w:p>
        </w:tc>
        <w:tc>
          <w:tcPr>
            <w:tcW w:w="78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auto"/>
            </w:tcBorders>
            <w:gridSpan w:val="2"/>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vMerge w:val="continue"/>
            <w:shd w:val="clear" w:color="auto" w:fill="CCEEFF"/>
          </w:tcPr>
          <w:p>
            <w:pPr>
              <w:spacing w:after="0"/>
              <w:rPr>
                <w:sz w:val="12"/>
                <w:szCs w:val="12"/>
                <w:color w:val="auto"/>
              </w:rPr>
            </w:pPr>
          </w:p>
        </w:tc>
        <w:tc>
          <w:tcPr>
            <w:tcW w:w="580" w:type="dxa"/>
            <w:vAlign w:val="bottom"/>
            <w:tcBorders>
              <w:bottom w:val="single" w:sz="8" w:color="auto"/>
            </w:tcBorders>
            <w:gridSpan w:val="2"/>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vMerge w:val="continue"/>
            <w:shd w:val="clear" w:color="auto" w:fill="CCEEFF"/>
          </w:tcPr>
          <w:p>
            <w:pPr>
              <w:spacing w:after="0"/>
              <w:rPr>
                <w:sz w:val="12"/>
                <w:szCs w:val="12"/>
                <w:color w:val="auto"/>
              </w:rPr>
            </w:pPr>
          </w:p>
        </w:tc>
        <w:tc>
          <w:tcPr>
            <w:tcW w:w="62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8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6"/>
          </w:tcPr>
          <w:p>
            <w:pPr>
              <w:jc w:val="right"/>
              <w:ind w:right="2"/>
              <w:spacing w:after="0"/>
              <w:rPr>
                <w:sz w:val="20"/>
                <w:szCs w:val="20"/>
                <w:color w:val="auto"/>
              </w:rPr>
            </w:pPr>
            <w:r>
              <w:rPr>
                <w:rFonts w:ascii="Arial" w:cs="Arial" w:eastAsia="Arial" w:hAnsi="Arial"/>
                <w:sz w:val="12"/>
                <w:szCs w:val="12"/>
                <w:color w:val="auto"/>
              </w:rPr>
              <w:t>Three Months Ended March 31, 2019</w:t>
            </w: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3"/>
          </w:tcPr>
          <w:p>
            <w:pPr>
              <w:jc w:val="center"/>
              <w:ind w:right="80"/>
              <w:spacing w:after="0"/>
              <w:rPr>
                <w:sz w:val="20"/>
                <w:szCs w:val="20"/>
                <w:color w:val="auto"/>
              </w:rPr>
            </w:pPr>
            <w:r>
              <w:rPr>
                <w:rFonts w:ascii="Arial" w:cs="Arial" w:eastAsia="Arial" w:hAnsi="Arial"/>
                <w:sz w:val="12"/>
                <w:szCs w:val="12"/>
                <w:color w:val="auto"/>
                <w:w w:val="89"/>
              </w:rPr>
              <w:t>Accumulated Other</w:t>
            </w: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920" w:type="dxa"/>
            <w:vAlign w:val="bottom"/>
            <w:gridSpan w:val="3"/>
          </w:tcPr>
          <w:p>
            <w:pPr>
              <w:jc w:val="right"/>
              <w:ind w:right="60"/>
              <w:spacing w:after="0" w:line="129" w:lineRule="exact"/>
              <w:rPr>
                <w:sz w:val="20"/>
                <w:szCs w:val="20"/>
                <w:color w:val="auto"/>
              </w:rPr>
            </w:pPr>
            <w:r>
              <w:rPr>
                <w:rFonts w:ascii="Arial" w:cs="Arial" w:eastAsia="Arial" w:hAnsi="Arial"/>
                <w:sz w:val="12"/>
                <w:szCs w:val="12"/>
                <w:color w:val="auto"/>
                <w:w w:val="89"/>
              </w:rPr>
              <w:t>Class A Common</w:t>
            </w:r>
          </w:p>
        </w:tc>
        <w:tc>
          <w:tcPr>
            <w:tcW w:w="40" w:type="dxa"/>
            <w:vAlign w:val="bottom"/>
          </w:tcPr>
          <w:p>
            <w:pPr>
              <w:spacing w:after="0"/>
              <w:rPr>
                <w:sz w:val="11"/>
                <w:szCs w:val="11"/>
                <w:color w:val="auto"/>
              </w:rPr>
            </w:pPr>
          </w:p>
        </w:tc>
        <w:tc>
          <w:tcPr>
            <w:tcW w:w="920" w:type="dxa"/>
            <w:vAlign w:val="bottom"/>
            <w:gridSpan w:val="5"/>
          </w:tcPr>
          <w:p>
            <w:pPr>
              <w:jc w:val="center"/>
              <w:ind w:right="60"/>
              <w:spacing w:after="0" w:line="129" w:lineRule="exact"/>
              <w:rPr>
                <w:sz w:val="20"/>
                <w:szCs w:val="20"/>
                <w:color w:val="auto"/>
              </w:rPr>
            </w:pPr>
            <w:r>
              <w:rPr>
                <w:rFonts w:ascii="Arial" w:cs="Arial" w:eastAsia="Arial" w:hAnsi="Arial"/>
                <w:sz w:val="12"/>
                <w:szCs w:val="12"/>
                <w:color w:val="auto"/>
                <w:w w:val="87"/>
              </w:rPr>
              <w:t>Class C Common</w:t>
            </w:r>
          </w:p>
        </w:tc>
        <w:tc>
          <w:tcPr>
            <w:tcW w:w="20" w:type="dxa"/>
            <w:vAlign w:val="bottom"/>
          </w:tcPr>
          <w:p>
            <w:pPr>
              <w:spacing w:after="0"/>
              <w:rPr>
                <w:sz w:val="11"/>
                <w:szCs w:val="11"/>
                <w:color w:val="auto"/>
              </w:rPr>
            </w:pPr>
          </w:p>
        </w:tc>
        <w:tc>
          <w:tcPr>
            <w:tcW w:w="1040" w:type="dxa"/>
            <w:vAlign w:val="bottom"/>
            <w:gridSpan w:val="3"/>
          </w:tcPr>
          <w:p>
            <w:pPr>
              <w:jc w:val="center"/>
              <w:ind w:right="80"/>
              <w:spacing w:after="0" w:line="129" w:lineRule="exact"/>
              <w:rPr>
                <w:sz w:val="20"/>
                <w:szCs w:val="20"/>
                <w:color w:val="auto"/>
              </w:rPr>
            </w:pPr>
            <w:r>
              <w:rPr>
                <w:rFonts w:ascii="Arial" w:cs="Arial" w:eastAsia="Arial" w:hAnsi="Arial"/>
                <w:sz w:val="12"/>
                <w:szCs w:val="12"/>
                <w:color w:val="auto"/>
                <w:w w:val="94"/>
              </w:rPr>
              <w:t>Additional Paid-in</w:t>
            </w:r>
          </w:p>
        </w:tc>
        <w:tc>
          <w:tcPr>
            <w:tcW w:w="1200" w:type="dxa"/>
            <w:vAlign w:val="bottom"/>
            <w:gridSpan w:val="3"/>
          </w:tcPr>
          <w:p>
            <w:pPr>
              <w:jc w:val="center"/>
              <w:ind w:right="80"/>
              <w:spacing w:after="0" w:line="129" w:lineRule="exact"/>
              <w:rPr>
                <w:sz w:val="20"/>
                <w:szCs w:val="20"/>
                <w:color w:val="auto"/>
              </w:rPr>
            </w:pPr>
            <w:r>
              <w:rPr>
                <w:rFonts w:ascii="Arial" w:cs="Arial" w:eastAsia="Arial" w:hAnsi="Arial"/>
                <w:sz w:val="12"/>
                <w:szCs w:val="12"/>
                <w:color w:val="auto"/>
                <w:w w:val="85"/>
              </w:rPr>
              <w:t>Comprehensive</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2"/>
                <w:szCs w:val="12"/>
                <w:color w:val="auto"/>
              </w:rPr>
              <w:t>Stock</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4"/>
          </w:tcPr>
          <w:p>
            <w:pPr>
              <w:jc w:val="center"/>
              <w:ind w:right="100"/>
              <w:spacing w:after="0"/>
              <w:rPr>
                <w:sz w:val="20"/>
                <w:szCs w:val="20"/>
                <w:color w:val="auto"/>
              </w:rPr>
            </w:pPr>
            <w:r>
              <w:rPr>
                <w:rFonts w:ascii="Arial" w:cs="Arial" w:eastAsia="Arial" w:hAnsi="Arial"/>
                <w:sz w:val="12"/>
                <w:szCs w:val="12"/>
                <w:color w:val="auto"/>
                <w:w w:val="86"/>
              </w:rPr>
              <w:t>Stock</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gridSpan w:val="2"/>
          </w:tcPr>
          <w:p>
            <w:pPr>
              <w:spacing w:after="0"/>
              <w:rPr>
                <w:sz w:val="20"/>
                <w:szCs w:val="20"/>
                <w:color w:val="auto"/>
              </w:rPr>
            </w:pPr>
            <w:r>
              <w:rPr>
                <w:rFonts w:ascii="Arial" w:cs="Arial" w:eastAsia="Arial" w:hAnsi="Arial"/>
                <w:sz w:val="12"/>
                <w:szCs w:val="12"/>
                <w:color w:val="auto"/>
              </w:rPr>
              <w:t>Capital</w:t>
            </w:r>
          </w:p>
        </w:tc>
        <w:tc>
          <w:tcPr>
            <w:tcW w:w="340" w:type="dxa"/>
            <w:vAlign w:val="bottom"/>
          </w:tcPr>
          <w:p>
            <w:pPr>
              <w:spacing w:after="0"/>
              <w:rPr>
                <w:sz w:val="12"/>
                <w:szCs w:val="12"/>
                <w:color w:val="auto"/>
              </w:rPr>
            </w:pPr>
          </w:p>
        </w:tc>
        <w:tc>
          <w:tcPr>
            <w:tcW w:w="860" w:type="dxa"/>
            <w:vAlign w:val="bottom"/>
            <w:gridSpan w:val="2"/>
          </w:tcPr>
          <w:p>
            <w:pPr>
              <w:jc w:val="center"/>
              <w:ind w:right="420"/>
              <w:spacing w:after="0"/>
              <w:rPr>
                <w:sz w:val="20"/>
                <w:szCs w:val="20"/>
                <w:color w:val="auto"/>
              </w:rPr>
            </w:pPr>
            <w:r>
              <w:rPr>
                <w:rFonts w:ascii="Arial" w:cs="Arial" w:eastAsia="Arial" w:hAnsi="Arial"/>
                <w:sz w:val="12"/>
                <w:szCs w:val="12"/>
                <w:color w:val="auto"/>
                <w:w w:val="91"/>
              </w:rPr>
              <w:t>Income</w:t>
            </w:r>
          </w:p>
        </w:tc>
        <w:tc>
          <w:tcPr>
            <w:tcW w:w="1040" w:type="dxa"/>
            <w:vAlign w:val="bottom"/>
            <w:gridSpan w:val="4"/>
          </w:tcPr>
          <w:p>
            <w:pPr>
              <w:ind w:left="40"/>
              <w:spacing w:after="0"/>
              <w:rPr>
                <w:sz w:val="20"/>
                <w:szCs w:val="20"/>
                <w:color w:val="auto"/>
              </w:rPr>
            </w:pPr>
            <w:r>
              <w:rPr>
                <w:rFonts w:ascii="Arial" w:cs="Arial" w:eastAsia="Arial" w:hAnsi="Arial"/>
                <w:sz w:val="12"/>
                <w:szCs w:val="12"/>
                <w:color w:val="auto"/>
                <w:w w:val="99"/>
              </w:rPr>
              <w:t>Retained Earnings</w:t>
            </w:r>
          </w:p>
        </w:tc>
        <w:tc>
          <w:tcPr>
            <w:tcW w:w="920" w:type="dxa"/>
            <w:vAlign w:val="bottom"/>
            <w:gridSpan w:val="5"/>
          </w:tcPr>
          <w:p>
            <w:pPr>
              <w:ind w:left="40"/>
              <w:spacing w:after="0"/>
              <w:rPr>
                <w:sz w:val="20"/>
                <w:szCs w:val="20"/>
                <w:color w:val="auto"/>
              </w:rPr>
            </w:pPr>
            <w:r>
              <w:rPr>
                <w:rFonts w:ascii="Arial" w:cs="Arial" w:eastAsia="Arial" w:hAnsi="Arial"/>
                <w:sz w:val="12"/>
                <w:szCs w:val="12"/>
                <w:color w:val="auto"/>
              </w:rPr>
              <w:t>Treasury Stock</w:t>
            </w:r>
          </w:p>
        </w:tc>
        <w:tc>
          <w:tcPr>
            <w:tcW w:w="340" w:type="dxa"/>
            <w:vAlign w:val="bottom"/>
          </w:tcPr>
          <w:p>
            <w:pPr>
              <w:spacing w:after="0"/>
              <w:rPr>
                <w:sz w:val="12"/>
                <w:szCs w:val="12"/>
                <w:color w:val="auto"/>
              </w:rPr>
            </w:pPr>
          </w:p>
        </w:tc>
        <w:tc>
          <w:tcPr>
            <w:tcW w:w="620" w:type="dxa"/>
            <w:vAlign w:val="bottom"/>
          </w:tcPr>
          <w:p>
            <w:pPr>
              <w:jc w:val="right"/>
              <w:ind w:right="322"/>
              <w:spacing w:after="0"/>
              <w:rPr>
                <w:sz w:val="20"/>
                <w:szCs w:val="20"/>
                <w:color w:val="auto"/>
              </w:rPr>
            </w:pPr>
            <w:r>
              <w:rPr>
                <w:rFonts w:ascii="Arial" w:cs="Arial" w:eastAsia="Arial" w:hAnsi="Arial"/>
                <w:sz w:val="12"/>
                <w:szCs w:val="12"/>
                <w:color w:val="auto"/>
                <w:w w:val="82"/>
              </w:rPr>
              <w:t>Total</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800" w:type="dxa"/>
            <w:vAlign w:val="bottom"/>
            <w:shd w:val="clear" w:color="auto" w:fill="CCEEFF"/>
          </w:tcPr>
          <w:p>
            <w:pPr>
              <w:spacing w:after="0" w:line="130" w:lineRule="exact"/>
              <w:rPr>
                <w:sz w:val="20"/>
                <w:szCs w:val="20"/>
                <w:color w:val="auto"/>
              </w:rPr>
            </w:pPr>
            <w:r>
              <w:rPr>
                <w:rFonts w:ascii="Arial" w:cs="Arial" w:eastAsia="Arial" w:hAnsi="Arial"/>
                <w:sz w:val="12"/>
                <w:szCs w:val="12"/>
                <w:b w:val="1"/>
                <w:bCs w:val="1"/>
                <w:color w:val="auto"/>
              </w:rPr>
              <w:t>January 1,</w:t>
            </w: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8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2019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$ 30,609,596</w:t>
            </w:r>
          </w:p>
        </w:tc>
        <w:tc>
          <w:tcPr>
            <w:tcW w:w="20" w:type="dxa"/>
            <w:vAlign w:val="bottom"/>
            <w:shd w:val="clear" w:color="auto" w:fill="CCEEFF"/>
          </w:tcPr>
          <w:p>
            <w:pPr>
              <w:spacing w:after="0"/>
              <w:rPr>
                <w:sz w:val="13"/>
                <w:szCs w:val="13"/>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89"/>
              </w:rPr>
              <w:t>4,387,286</w:t>
            </w:r>
          </w:p>
        </w:tc>
        <w:tc>
          <w:tcPr>
            <w:tcW w:w="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41,821,778</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(2,823)</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6"/>
              </w:rPr>
              <w:t>95,201,732</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(206,396)</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6"/>
              </w:rPr>
              <w:t>171,811,173</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800" w:type="dxa"/>
            <w:vAlign w:val="bottom"/>
            <w:shd w:val="clear" w:color="auto" w:fill="CCEEFF"/>
          </w:tcPr>
          <w:p>
            <w:pPr>
              <w:spacing w:after="0"/>
              <w:rPr>
                <w:sz w:val="20"/>
                <w:szCs w:val="20"/>
                <w:color w:val="auto"/>
              </w:rPr>
            </w:pPr>
            <w:r>
              <w:rPr>
                <w:rFonts w:ascii="Arial" w:cs="Arial" w:eastAsia="Arial" w:hAnsi="Arial"/>
                <w:sz w:val="12"/>
                <w:szCs w:val="12"/>
                <w:color w:val="auto"/>
              </w:rPr>
              <w:t>Net earnings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1,930,318</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1,930,318</w:t>
            </w:r>
          </w:p>
        </w:tc>
        <w:tc>
          <w:tcPr>
            <w:tcW w:w="0" w:type="dxa"/>
            <w:vAlign w:val="bottom"/>
          </w:tcPr>
          <w:p>
            <w:pPr>
              <w:spacing w:after="0"/>
              <w:rPr>
                <w:sz w:val="1"/>
                <w:szCs w:val="1"/>
                <w:color w:val="auto"/>
              </w:rPr>
            </w:pPr>
          </w:p>
        </w:tc>
      </w:tr>
      <w:tr>
        <w:trPr>
          <w:trHeight w:val="131"/>
        </w:trPr>
        <w:tc>
          <w:tcPr>
            <w:tcW w:w="800" w:type="dxa"/>
            <w:vAlign w:val="bottom"/>
          </w:tcPr>
          <w:p>
            <w:pPr>
              <w:spacing w:after="0" w:line="132" w:lineRule="exact"/>
              <w:rPr>
                <w:sz w:val="20"/>
                <w:szCs w:val="20"/>
                <w:color w:val="auto"/>
              </w:rPr>
            </w:pPr>
            <w:r>
              <w:rPr>
                <w:rFonts w:ascii="Arial" w:cs="Arial" w:eastAsia="Arial" w:hAnsi="Arial"/>
                <w:sz w:val="12"/>
                <w:szCs w:val="12"/>
                <w:color w:val="auto"/>
              </w:rPr>
              <w:t>Other</w:t>
            </w: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00" w:type="dxa"/>
            <w:vAlign w:val="bottom"/>
          </w:tcPr>
          <w:p>
            <w:pPr>
              <w:spacing w:after="0" w:line="129" w:lineRule="exact"/>
              <w:rPr>
                <w:sz w:val="20"/>
                <w:szCs w:val="20"/>
                <w:color w:val="auto"/>
              </w:rPr>
            </w:pPr>
            <w:r>
              <w:rPr>
                <w:rFonts w:ascii="Arial" w:cs="Arial" w:eastAsia="Arial" w:hAnsi="Arial"/>
                <w:sz w:val="12"/>
                <w:szCs w:val="12"/>
                <w:color w:val="auto"/>
                <w:w w:val="95"/>
              </w:rPr>
              <w:t>comprehensive</w:t>
            </w: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00" w:type="dxa"/>
            <w:vAlign w:val="bottom"/>
          </w:tcPr>
          <w:p>
            <w:pPr>
              <w:spacing w:after="0"/>
              <w:rPr>
                <w:sz w:val="20"/>
                <w:szCs w:val="20"/>
                <w:color w:val="auto"/>
              </w:rPr>
            </w:pPr>
            <w:r>
              <w:rPr>
                <w:rFonts w:ascii="Arial" w:cs="Arial" w:eastAsia="Arial" w:hAnsi="Arial"/>
                <w:sz w:val="12"/>
                <w:szCs w:val="12"/>
                <w:color w:val="auto"/>
              </w:rPr>
              <w:t>gain</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820</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820</w:t>
            </w:r>
          </w:p>
        </w:tc>
        <w:tc>
          <w:tcPr>
            <w:tcW w:w="0" w:type="dxa"/>
            <w:vAlign w:val="bottom"/>
          </w:tcPr>
          <w:p>
            <w:pPr>
              <w:spacing w:after="0"/>
              <w:rPr>
                <w:sz w:val="1"/>
                <w:szCs w:val="1"/>
                <w:color w:val="auto"/>
              </w:rPr>
            </w:pPr>
          </w:p>
        </w:tc>
      </w:tr>
      <w:tr>
        <w:trPr>
          <w:trHeight w:val="132"/>
        </w:trPr>
        <w:tc>
          <w:tcPr>
            <w:tcW w:w="80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Stock-based</w:t>
            </w: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compensation</w:t>
            </w: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00" w:type="dxa"/>
            <w:vAlign w:val="bottom"/>
            <w:shd w:val="clear" w:color="auto" w:fill="CCEEFF"/>
          </w:tcPr>
          <w:p>
            <w:pPr>
              <w:spacing w:after="0"/>
              <w:rPr>
                <w:sz w:val="20"/>
                <w:szCs w:val="20"/>
                <w:color w:val="auto"/>
              </w:rPr>
            </w:pPr>
            <w:r>
              <w:rPr>
                <w:rFonts w:ascii="Arial" w:cs="Arial" w:eastAsia="Arial" w:hAnsi="Arial"/>
                <w:sz w:val="12"/>
                <w:szCs w:val="12"/>
                <w:color w:val="auto"/>
              </w:rPr>
              <w:t>expense</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64,704</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64,704</w:t>
            </w:r>
          </w:p>
        </w:tc>
        <w:tc>
          <w:tcPr>
            <w:tcW w:w="0" w:type="dxa"/>
            <w:vAlign w:val="bottom"/>
          </w:tcPr>
          <w:p>
            <w:pPr>
              <w:spacing w:after="0"/>
              <w:rPr>
                <w:sz w:val="1"/>
                <w:szCs w:val="1"/>
                <w:color w:val="auto"/>
              </w:rPr>
            </w:pPr>
          </w:p>
        </w:tc>
      </w:tr>
      <w:tr>
        <w:trPr>
          <w:trHeight w:val="131"/>
        </w:trPr>
        <w:tc>
          <w:tcPr>
            <w:tcW w:w="800" w:type="dxa"/>
            <w:vAlign w:val="bottom"/>
          </w:tcPr>
          <w:p>
            <w:pPr>
              <w:spacing w:after="0" w:line="132" w:lineRule="exact"/>
              <w:rPr>
                <w:sz w:val="20"/>
                <w:szCs w:val="20"/>
                <w:color w:val="auto"/>
              </w:rPr>
            </w:pPr>
            <w:r>
              <w:rPr>
                <w:rFonts w:ascii="Arial" w:cs="Arial" w:eastAsia="Arial" w:hAnsi="Arial"/>
                <w:sz w:val="12"/>
                <w:szCs w:val="12"/>
                <w:color w:val="auto"/>
              </w:rPr>
              <w:t>Exercise of</w:t>
            </w: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00" w:type="dxa"/>
            <w:vAlign w:val="bottom"/>
          </w:tcPr>
          <w:p>
            <w:pPr>
              <w:spacing w:after="0"/>
              <w:rPr>
                <w:sz w:val="20"/>
                <w:szCs w:val="20"/>
                <w:color w:val="auto"/>
              </w:rPr>
            </w:pPr>
            <w:r>
              <w:rPr>
                <w:rFonts w:ascii="Arial" w:cs="Arial" w:eastAsia="Arial" w:hAnsi="Arial"/>
                <w:sz w:val="12"/>
                <w:szCs w:val="12"/>
                <w:color w:val="auto"/>
              </w:rPr>
              <w:t>stock options</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8,936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8,444</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17,380</w:t>
            </w:r>
          </w:p>
        </w:tc>
        <w:tc>
          <w:tcPr>
            <w:tcW w:w="0" w:type="dxa"/>
            <w:vAlign w:val="bottom"/>
          </w:tcPr>
          <w:p>
            <w:pPr>
              <w:spacing w:after="0"/>
              <w:rPr>
                <w:sz w:val="1"/>
                <w:szCs w:val="1"/>
                <w:color w:val="auto"/>
              </w:rPr>
            </w:pPr>
          </w:p>
        </w:tc>
      </w:tr>
      <w:tr>
        <w:trPr>
          <w:trHeight w:val="132"/>
        </w:trPr>
        <w:tc>
          <w:tcPr>
            <w:tcW w:w="80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Sale of</w:t>
            </w: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00" w:type="dxa"/>
            <w:vAlign w:val="bottom"/>
            <w:shd w:val="clear" w:color="auto" w:fill="CCEEFF"/>
          </w:tcPr>
          <w:p>
            <w:pPr>
              <w:spacing w:after="0"/>
              <w:rPr>
                <w:sz w:val="20"/>
                <w:szCs w:val="20"/>
                <w:color w:val="auto"/>
              </w:rPr>
            </w:pPr>
            <w:r>
              <w:rPr>
                <w:rFonts w:ascii="Arial" w:cs="Arial" w:eastAsia="Arial" w:hAnsi="Arial"/>
                <w:sz w:val="12"/>
                <w:szCs w:val="12"/>
                <w:color w:val="auto"/>
              </w:rPr>
              <w:t>treasury stock</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295,153</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42,343</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337,496</w:t>
            </w:r>
          </w:p>
        </w:tc>
        <w:tc>
          <w:tcPr>
            <w:tcW w:w="0" w:type="dxa"/>
            <w:vAlign w:val="bottom"/>
          </w:tcPr>
          <w:p>
            <w:pPr>
              <w:spacing w:after="0"/>
              <w:rPr>
                <w:sz w:val="1"/>
                <w:szCs w:val="1"/>
                <w:color w:val="auto"/>
              </w:rPr>
            </w:pPr>
          </w:p>
        </w:tc>
      </w:tr>
      <w:tr>
        <w:trPr>
          <w:trHeight w:val="131"/>
        </w:trPr>
        <w:tc>
          <w:tcPr>
            <w:tcW w:w="800" w:type="dxa"/>
            <w:vAlign w:val="bottom"/>
          </w:tcPr>
          <w:p>
            <w:pPr>
              <w:spacing w:after="0" w:line="132" w:lineRule="exact"/>
              <w:rPr>
                <w:sz w:val="20"/>
                <w:szCs w:val="20"/>
                <w:color w:val="auto"/>
              </w:rPr>
            </w:pPr>
            <w:r>
              <w:rPr>
                <w:rFonts w:ascii="Arial" w:cs="Arial" w:eastAsia="Arial" w:hAnsi="Arial"/>
                <w:sz w:val="12"/>
                <w:szCs w:val="12"/>
                <w:color w:val="auto"/>
              </w:rPr>
              <w:t>Purchase of</w:t>
            </w: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00" w:type="dxa"/>
            <w:vAlign w:val="bottom"/>
          </w:tcPr>
          <w:p>
            <w:pPr>
              <w:spacing w:after="0"/>
              <w:rPr>
                <w:sz w:val="20"/>
                <w:szCs w:val="20"/>
                <w:color w:val="auto"/>
              </w:rPr>
            </w:pPr>
            <w:r>
              <w:rPr>
                <w:rFonts w:ascii="Arial" w:cs="Arial" w:eastAsia="Arial" w:hAnsi="Arial"/>
                <w:sz w:val="12"/>
                <w:szCs w:val="12"/>
                <w:color w:val="auto"/>
              </w:rPr>
              <w:t>treasury stock</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(112,404)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(112,404)</w:t>
            </w:r>
          </w:p>
        </w:tc>
        <w:tc>
          <w:tcPr>
            <w:tcW w:w="0" w:type="dxa"/>
            <w:vAlign w:val="bottom"/>
          </w:tcPr>
          <w:p>
            <w:pPr>
              <w:spacing w:after="0"/>
              <w:rPr>
                <w:sz w:val="1"/>
                <w:szCs w:val="1"/>
                <w:color w:val="auto"/>
              </w:rPr>
            </w:pPr>
          </w:p>
        </w:tc>
      </w:tr>
      <w:tr>
        <w:trPr>
          <w:trHeight w:val="132"/>
        </w:trPr>
        <w:tc>
          <w:tcPr>
            <w:tcW w:w="80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Stock</w:t>
            </w: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00" w:type="dxa"/>
            <w:vAlign w:val="bottom"/>
            <w:shd w:val="clear" w:color="auto" w:fill="CCEEFF"/>
          </w:tcPr>
          <w:p>
            <w:pPr>
              <w:spacing w:after="0"/>
              <w:rPr>
                <w:sz w:val="20"/>
                <w:szCs w:val="20"/>
                <w:color w:val="auto"/>
              </w:rPr>
            </w:pPr>
            <w:r>
              <w:rPr>
                <w:rFonts w:ascii="Arial" w:cs="Arial" w:eastAsia="Arial" w:hAnsi="Arial"/>
                <w:sz w:val="12"/>
                <w:szCs w:val="12"/>
                <w:color w:val="auto"/>
              </w:rPr>
              <w:t>dividends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282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489</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(769)</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31"/>
        </w:trPr>
        <w:tc>
          <w:tcPr>
            <w:tcW w:w="800" w:type="dxa"/>
            <w:vAlign w:val="bottom"/>
          </w:tcPr>
          <w:p>
            <w:pPr>
              <w:spacing w:after="0" w:line="132" w:lineRule="exact"/>
              <w:rPr>
                <w:sz w:val="20"/>
                <w:szCs w:val="20"/>
                <w:color w:val="auto"/>
              </w:rPr>
            </w:pPr>
            <w:r>
              <w:rPr>
                <w:rFonts w:ascii="Arial" w:cs="Arial" w:eastAsia="Arial" w:hAnsi="Arial"/>
                <w:sz w:val="12"/>
                <w:szCs w:val="12"/>
                <w:color w:val="auto"/>
              </w:rPr>
              <w:t>Conversion</w:t>
            </w: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00" w:type="dxa"/>
            <w:vAlign w:val="bottom"/>
          </w:tcPr>
          <w:p>
            <w:pPr>
              <w:spacing w:after="0" w:line="129" w:lineRule="exact"/>
              <w:rPr>
                <w:sz w:val="20"/>
                <w:szCs w:val="20"/>
                <w:color w:val="auto"/>
              </w:rPr>
            </w:pPr>
            <w:r>
              <w:rPr>
                <w:rFonts w:ascii="Arial" w:cs="Arial" w:eastAsia="Arial" w:hAnsi="Arial"/>
                <w:sz w:val="12"/>
                <w:szCs w:val="12"/>
                <w:color w:val="auto"/>
              </w:rPr>
              <w:t>Class C to</w:t>
            </w: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Class A</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6,560</w:t>
            </w: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(6,560)</w:t>
            </w: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0"/>
        </w:trPr>
        <w:tc>
          <w:tcPr>
            <w:tcW w:w="800" w:type="dxa"/>
            <w:vAlign w:val="bottom"/>
            <w:shd w:val="clear" w:color="auto" w:fill="CCEEFF"/>
          </w:tcPr>
          <w:p>
            <w:pPr>
              <w:spacing w:after="0" w:line="110" w:lineRule="exact"/>
              <w:rPr>
                <w:sz w:val="20"/>
                <w:szCs w:val="20"/>
                <w:color w:val="auto"/>
              </w:rPr>
            </w:pPr>
            <w:r>
              <w:rPr>
                <w:rFonts w:ascii="Arial" w:cs="Arial" w:eastAsia="Arial" w:hAnsi="Arial"/>
                <w:sz w:val="12"/>
                <w:szCs w:val="12"/>
                <w:b w:val="1"/>
                <w:bCs w:val="1"/>
                <w:color w:val="auto"/>
              </w:rPr>
              <w:t>March 31,</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$ 30,625,374</w:t>
            </w:r>
          </w:p>
        </w:tc>
        <w:tc>
          <w:tcPr>
            <w:tcW w:w="20" w:type="dxa"/>
            <w:vAlign w:val="bottom"/>
            <w:shd w:val="clear" w:color="auto" w:fill="CCEEFF"/>
          </w:tcPr>
          <w:p>
            <w:pPr>
              <w:spacing w:after="0"/>
              <w:rPr>
                <w:sz w:val="9"/>
                <w:szCs w:val="9"/>
                <w:color w:val="auto"/>
              </w:rPr>
            </w:pPr>
          </w:p>
        </w:tc>
        <w:tc>
          <w:tcPr>
            <w:tcW w:w="400" w:type="dxa"/>
            <w:vAlign w:val="bottom"/>
            <w:gridSpan w:val="3"/>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4,380,722</w:t>
            </w:r>
          </w:p>
        </w:tc>
        <w:tc>
          <w:tcPr>
            <w:tcW w:w="60" w:type="dxa"/>
            <w:vAlign w:val="bottom"/>
            <w:shd w:val="clear" w:color="auto" w:fill="CCEEFF"/>
          </w:tcPr>
          <w:p>
            <w:pPr>
              <w:spacing w:after="0"/>
              <w:rPr>
                <w:sz w:val="9"/>
                <w:szCs w:val="9"/>
                <w:color w:val="auto"/>
              </w:rPr>
            </w:pPr>
          </w:p>
        </w:tc>
        <w:tc>
          <w:tcPr>
            <w:tcW w:w="34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42,190,568</w:t>
            </w:r>
          </w:p>
        </w:tc>
        <w:tc>
          <w:tcPr>
            <w:tcW w:w="80" w:type="dxa"/>
            <w:vAlign w:val="bottom"/>
            <w:shd w:val="clear" w:color="auto" w:fill="CCEEFF"/>
          </w:tcPr>
          <w:p>
            <w:pPr>
              <w:spacing w:after="0"/>
              <w:rPr>
                <w:sz w:val="9"/>
                <w:szCs w:val="9"/>
                <w:color w:val="auto"/>
              </w:rPr>
            </w:pPr>
          </w:p>
        </w:tc>
        <w:tc>
          <w:tcPr>
            <w:tcW w:w="340" w:type="dxa"/>
            <w:vAlign w:val="bottom"/>
            <w:vMerge w:val="restart"/>
            <w:shd w:val="clear" w:color="auto" w:fill="CCEEFF"/>
          </w:tcPr>
          <w:p>
            <w:pPr>
              <w:jc w:val="right"/>
              <w:ind w:right="102"/>
              <w:spacing w:after="0"/>
              <w:rPr>
                <w:sz w:val="20"/>
                <w:szCs w:val="20"/>
                <w:color w:val="auto"/>
              </w:rPr>
            </w:pPr>
            <w:r>
              <w:rPr>
                <w:rFonts w:ascii="Arial" w:cs="Arial" w:eastAsia="Arial" w:hAnsi="Arial"/>
                <w:sz w:val="12"/>
                <w:szCs w:val="12"/>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(2,003)</w:t>
            </w:r>
          </w:p>
        </w:tc>
        <w:tc>
          <w:tcPr>
            <w:tcW w:w="80" w:type="dxa"/>
            <w:vAlign w:val="bottom"/>
            <w:shd w:val="clear" w:color="auto" w:fill="CCEEFF"/>
          </w:tcPr>
          <w:p>
            <w:pPr>
              <w:spacing w:after="0"/>
              <w:rPr>
                <w:sz w:val="9"/>
                <w:szCs w:val="9"/>
                <w:color w:val="auto"/>
              </w:rPr>
            </w:pPr>
          </w:p>
        </w:tc>
        <w:tc>
          <w:tcPr>
            <w:tcW w:w="32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96"/>
              </w:rPr>
              <w:t>97,131,281</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6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(276,457)</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6"/>
              </w:rPr>
              <w:t>174,049,485</w:t>
            </w:r>
          </w:p>
        </w:tc>
        <w:tc>
          <w:tcPr>
            <w:tcW w:w="0" w:type="dxa"/>
            <w:vAlign w:val="bottom"/>
          </w:tcPr>
          <w:p>
            <w:pPr>
              <w:spacing w:after="0"/>
              <w:rPr>
                <w:sz w:val="1"/>
                <w:szCs w:val="1"/>
                <w:color w:val="auto"/>
              </w:rPr>
            </w:pPr>
          </w:p>
        </w:tc>
      </w:tr>
      <w:tr>
        <w:trPr>
          <w:trHeight w:val="140"/>
        </w:trPr>
        <w:tc>
          <w:tcPr>
            <w:tcW w:w="8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2019</w:t>
            </w:r>
          </w:p>
        </w:tc>
        <w:tc>
          <w:tcPr>
            <w:tcW w:w="900" w:type="dxa"/>
            <w:vAlign w:val="bottom"/>
            <w:gridSpan w:val="2"/>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gridSpan w:val="3"/>
            <w:vMerge w:val="continue"/>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gridSpan w:val="2"/>
            <w:vMerge w:val="continue"/>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vMerge w:val="continue"/>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93345</wp:posOffset>
            </wp:positionV>
            <wp:extent cx="498983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89830" cy="29845"/>
                    </a:xfrm>
                    <a:prstGeom prst="rect">
                      <a:avLst/>
                    </a:prstGeom>
                    <a:noFill/>
                  </pic:spPr>
                </pic:pic>
              </a:graphicData>
            </a:graphic>
          </wp:anchor>
        </w:drawing>
      </w:r>
    </w:p>
    <w:p>
      <w:pPr>
        <w:sectPr>
          <w:pgSz w:w="11900" w:h="16838" w:orient="portrait"/>
          <w:cols w:equalWidth="0" w:num="1">
            <w:col w:w="9299"/>
          </w:cols>
          <w:pgMar w:left="1160" w:top="124" w:right="1440" w:bottom="1440" w:gutter="0" w:footer="0" w:header="0"/>
        </w:sectPr>
      </w:pPr>
    </w:p>
    <w:bookmarkStart w:id="7" w:name="page8"/>
    <w:bookmarkEnd w:id="7"/>
    <w:p>
      <w:pPr>
        <w:jc w:val="center"/>
        <w:ind w:right="1459"/>
        <w:spacing w:after="0"/>
        <w:rPr>
          <w:sz w:val="20"/>
          <w:szCs w:val="20"/>
          <w:color w:val="auto"/>
        </w:rPr>
      </w:pPr>
      <w:r>
        <w:rPr>
          <w:rFonts w:ascii="Arial" w:cs="Arial" w:eastAsia="Arial" w:hAnsi="Arial"/>
          <w:sz w:val="17"/>
          <w:szCs w:val="17"/>
          <w:color w:val="auto"/>
        </w:rPr>
        <w:t>SECURITY NATIONAL FINANCIAL CORPORATION</w:t>
      </w:r>
    </w:p>
    <w:p>
      <w:pPr>
        <w:spacing w:after="0" w:line="17" w:lineRule="exact"/>
        <w:rPr>
          <w:sz w:val="20"/>
          <w:szCs w:val="20"/>
          <w:color w:val="auto"/>
        </w:rPr>
      </w:pPr>
    </w:p>
    <w:p>
      <w:pPr>
        <w:jc w:val="center"/>
        <w:ind w:right="1459"/>
        <w:spacing w:after="0"/>
        <w:rPr>
          <w:sz w:val="20"/>
          <w:szCs w:val="20"/>
          <w:color w:val="auto"/>
        </w:rPr>
      </w:pPr>
      <w:r>
        <w:rPr>
          <w:rFonts w:ascii="Arial" w:cs="Arial" w:eastAsia="Arial" w:hAnsi="Arial"/>
          <w:sz w:val="17"/>
          <w:szCs w:val="17"/>
          <w:color w:val="auto"/>
        </w:rPr>
        <w:t>AND SUBSIDIARIES</w:t>
      </w:r>
    </w:p>
    <w:p>
      <w:pPr>
        <w:spacing w:after="0" w:line="3" w:lineRule="exact"/>
        <w:rPr>
          <w:sz w:val="20"/>
          <w:szCs w:val="20"/>
          <w:color w:val="auto"/>
        </w:rPr>
      </w:pPr>
    </w:p>
    <w:p>
      <w:pPr>
        <w:jc w:val="center"/>
        <w:ind w:right="1459"/>
        <w:spacing w:after="0"/>
        <w:rPr>
          <w:sz w:val="20"/>
          <w:szCs w:val="20"/>
          <w:color w:val="auto"/>
        </w:rPr>
      </w:pPr>
      <w:r>
        <w:rPr>
          <w:rFonts w:ascii="Arial" w:cs="Arial" w:eastAsia="Arial" w:hAnsi="Arial"/>
          <w:sz w:val="17"/>
          <w:szCs w:val="17"/>
          <w:color w:val="auto"/>
        </w:rPr>
        <w:t>CONDENSED CONSOLIDATED STATEMENTS OF CASH FLOWS</w:t>
      </w:r>
    </w:p>
    <w:p>
      <w:pPr>
        <w:spacing w:after="0" w:line="3" w:lineRule="exact"/>
        <w:rPr>
          <w:sz w:val="20"/>
          <w:szCs w:val="20"/>
          <w:color w:val="auto"/>
        </w:rPr>
      </w:pPr>
    </w:p>
    <w:p>
      <w:pPr>
        <w:jc w:val="center"/>
        <w:ind w:right="1459"/>
        <w:spacing w:after="0"/>
        <w:rPr>
          <w:sz w:val="20"/>
          <w:szCs w:val="20"/>
          <w:color w:val="auto"/>
        </w:rPr>
      </w:pPr>
      <w:r>
        <w:rPr>
          <w:rFonts w:ascii="Arial" w:cs="Arial" w:eastAsia="Arial" w:hAnsi="Arial"/>
          <w:sz w:val="17"/>
          <w:szCs w:val="17"/>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400" w:type="dxa"/>
            <w:vAlign w:val="bottom"/>
          </w:tcPr>
          <w:p>
            <w:pPr>
              <w:spacing w:after="0"/>
              <w:rPr>
                <w:sz w:val="17"/>
                <w:szCs w:val="17"/>
                <w:color w:val="auto"/>
              </w:rPr>
            </w:pPr>
          </w:p>
        </w:tc>
        <w:tc>
          <w:tcPr>
            <w:tcW w:w="2460" w:type="dxa"/>
            <w:vAlign w:val="bottom"/>
            <w:tcBorders>
              <w:bottom w:val="single" w:sz="8" w:color="auto"/>
            </w:tcBorders>
            <w:gridSpan w:val="5"/>
          </w:tcPr>
          <w:p>
            <w:pPr>
              <w:ind w:left="240"/>
              <w:spacing w:after="0"/>
              <w:rPr>
                <w:sz w:val="20"/>
                <w:szCs w:val="20"/>
                <w:color w:val="auto"/>
              </w:rPr>
            </w:pPr>
            <w:r>
              <w:rPr>
                <w:rFonts w:ascii="Arial" w:cs="Arial" w:eastAsia="Arial" w:hAnsi="Arial"/>
                <w:sz w:val="16"/>
                <w:szCs w:val="16"/>
                <w:color w:val="auto"/>
                <w:w w:val="99"/>
              </w:rPr>
              <w:t>Three Months Ended March 31</w:t>
            </w:r>
          </w:p>
        </w:tc>
        <w:tc>
          <w:tcPr>
            <w:tcW w:w="0" w:type="dxa"/>
            <w:vAlign w:val="bottom"/>
          </w:tcPr>
          <w:p>
            <w:pPr>
              <w:spacing w:after="0"/>
              <w:rPr>
                <w:sz w:val="1"/>
                <w:szCs w:val="1"/>
                <w:color w:val="auto"/>
              </w:rPr>
            </w:pPr>
          </w:p>
        </w:tc>
      </w:tr>
      <w:tr>
        <w:trPr>
          <w:trHeight w:val="214"/>
        </w:trPr>
        <w:tc>
          <w:tcPr>
            <w:tcW w:w="54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color w:val="auto"/>
              </w:rPr>
              <w:t>2020</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color w:val="auto"/>
                <w:w w:val="89"/>
              </w:rPr>
              <w:t>2019</w:t>
            </w:r>
          </w:p>
        </w:tc>
        <w:tc>
          <w:tcPr>
            <w:tcW w:w="0" w:type="dxa"/>
            <w:vAlign w:val="bottom"/>
          </w:tcPr>
          <w:p>
            <w:pPr>
              <w:spacing w:after="0"/>
              <w:rPr>
                <w:sz w:val="1"/>
                <w:szCs w:val="1"/>
                <w:color w:val="auto"/>
              </w:rPr>
            </w:pPr>
          </w:p>
        </w:tc>
      </w:tr>
      <w:tr>
        <w:trPr>
          <w:trHeight w:val="220"/>
        </w:trPr>
        <w:tc>
          <w:tcPr>
            <w:tcW w:w="5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40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Net cash provided by (used in) operating activities</w:t>
            </w:r>
          </w:p>
        </w:tc>
        <w:tc>
          <w:tcPr>
            <w:tcW w:w="3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8"/>
              </w:rPr>
              <w:t>(63,771,244)</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19,519,486</w:t>
            </w:r>
          </w:p>
        </w:tc>
        <w:tc>
          <w:tcPr>
            <w:tcW w:w="0" w:type="dxa"/>
            <w:vAlign w:val="bottom"/>
          </w:tcPr>
          <w:p>
            <w:pPr>
              <w:spacing w:after="0"/>
              <w:rPr>
                <w:sz w:val="1"/>
                <w:szCs w:val="1"/>
                <w:color w:val="auto"/>
              </w:rPr>
            </w:pPr>
          </w:p>
        </w:tc>
      </w:tr>
      <w:tr>
        <w:trPr>
          <w:trHeight w:val="208"/>
        </w:trPr>
        <w:tc>
          <w:tcPr>
            <w:tcW w:w="5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40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Purchases of fixed maturity securities</w:t>
            </w: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8"/>
              </w:rPr>
              <w:t>(28,691,834)</w:t>
            </w: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(928,996)</w:t>
            </w:r>
          </w:p>
        </w:tc>
        <w:tc>
          <w:tcPr>
            <w:tcW w:w="0" w:type="dxa"/>
            <w:vAlign w:val="bottom"/>
          </w:tcPr>
          <w:p>
            <w:pPr>
              <w:spacing w:after="0"/>
              <w:rPr>
                <w:sz w:val="1"/>
                <w:szCs w:val="1"/>
                <w:color w:val="auto"/>
              </w:rPr>
            </w:pPr>
          </w:p>
        </w:tc>
      </w:tr>
      <w:tr>
        <w:trPr>
          <w:trHeight w:val="228"/>
        </w:trPr>
        <w:tc>
          <w:tcPr>
            <w:tcW w:w="5400" w:type="dxa"/>
            <w:vAlign w:val="bottom"/>
          </w:tcPr>
          <w:p>
            <w:pPr>
              <w:spacing w:after="0"/>
              <w:rPr>
                <w:sz w:val="20"/>
                <w:szCs w:val="20"/>
                <w:color w:val="auto"/>
              </w:rPr>
            </w:pPr>
            <w:r>
              <w:rPr>
                <w:rFonts w:ascii="Arial" w:cs="Arial" w:eastAsia="Arial" w:hAnsi="Arial"/>
                <w:sz w:val="16"/>
                <w:szCs w:val="16"/>
                <w:color w:val="auto"/>
              </w:rPr>
              <w:t>Sales, calls and maturities of fixed maturity securities</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44,166,424</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1,541,770</w:t>
            </w:r>
          </w:p>
        </w:tc>
        <w:tc>
          <w:tcPr>
            <w:tcW w:w="0" w:type="dxa"/>
            <w:vAlign w:val="bottom"/>
          </w:tcPr>
          <w:p>
            <w:pPr>
              <w:spacing w:after="0"/>
              <w:rPr>
                <w:sz w:val="1"/>
                <w:szCs w:val="1"/>
                <w:color w:val="auto"/>
              </w:rPr>
            </w:pPr>
          </w:p>
        </w:tc>
      </w:tr>
      <w:tr>
        <w:trPr>
          <w:trHeight w:val="240"/>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Purchases of equity securities</w:t>
            </w: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8"/>
              </w:rPr>
              <w:t>(10,650,102)</w:t>
            </w: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(1,061,710)</w:t>
            </w:r>
          </w:p>
        </w:tc>
        <w:tc>
          <w:tcPr>
            <w:tcW w:w="0" w:type="dxa"/>
            <w:vAlign w:val="bottom"/>
          </w:tcPr>
          <w:p>
            <w:pPr>
              <w:spacing w:after="0"/>
              <w:rPr>
                <w:sz w:val="1"/>
                <w:szCs w:val="1"/>
                <w:color w:val="auto"/>
              </w:rPr>
            </w:pPr>
          </w:p>
        </w:tc>
      </w:tr>
      <w:tr>
        <w:trPr>
          <w:trHeight w:val="228"/>
        </w:trPr>
        <w:tc>
          <w:tcPr>
            <w:tcW w:w="5400" w:type="dxa"/>
            <w:vAlign w:val="bottom"/>
          </w:tcPr>
          <w:p>
            <w:pPr>
              <w:spacing w:after="0"/>
              <w:rPr>
                <w:sz w:val="20"/>
                <w:szCs w:val="20"/>
                <w:color w:val="auto"/>
              </w:rPr>
            </w:pPr>
            <w:r>
              <w:rPr>
                <w:rFonts w:ascii="Arial" w:cs="Arial" w:eastAsia="Arial" w:hAnsi="Arial"/>
                <w:sz w:val="16"/>
                <w:szCs w:val="16"/>
                <w:color w:val="auto"/>
              </w:rPr>
              <w:t>Sales of equity securities</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7,576,507</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355,562</w:t>
            </w:r>
          </w:p>
        </w:tc>
        <w:tc>
          <w:tcPr>
            <w:tcW w:w="0" w:type="dxa"/>
            <w:vAlign w:val="bottom"/>
          </w:tcPr>
          <w:p>
            <w:pPr>
              <w:spacing w:after="0"/>
              <w:rPr>
                <w:sz w:val="1"/>
                <w:szCs w:val="1"/>
                <w:color w:val="auto"/>
              </w:rPr>
            </w:pPr>
          </w:p>
        </w:tc>
      </w:tr>
      <w:tr>
        <w:trPr>
          <w:trHeight w:val="240"/>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Net changes in restricted assets</w:t>
            </w: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753,326</w:t>
            </w: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(482,975)</w:t>
            </w:r>
          </w:p>
        </w:tc>
        <w:tc>
          <w:tcPr>
            <w:tcW w:w="0" w:type="dxa"/>
            <w:vAlign w:val="bottom"/>
          </w:tcPr>
          <w:p>
            <w:pPr>
              <w:spacing w:after="0"/>
              <w:rPr>
                <w:sz w:val="1"/>
                <w:szCs w:val="1"/>
                <w:color w:val="auto"/>
              </w:rPr>
            </w:pPr>
          </w:p>
        </w:tc>
      </w:tr>
      <w:tr>
        <w:trPr>
          <w:trHeight w:val="228"/>
        </w:trPr>
        <w:tc>
          <w:tcPr>
            <w:tcW w:w="5400" w:type="dxa"/>
            <w:vAlign w:val="bottom"/>
          </w:tcPr>
          <w:p>
            <w:pPr>
              <w:spacing w:after="0"/>
              <w:rPr>
                <w:sz w:val="20"/>
                <w:szCs w:val="20"/>
                <w:color w:val="auto"/>
              </w:rPr>
            </w:pPr>
            <w:r>
              <w:rPr>
                <w:rFonts w:ascii="Arial" w:cs="Arial" w:eastAsia="Arial" w:hAnsi="Arial"/>
                <w:sz w:val="16"/>
                <w:szCs w:val="16"/>
                <w:color w:val="auto"/>
              </w:rPr>
              <w:t>Net changes in perpetual care trusts</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(107,286)</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484,581</w:t>
            </w:r>
          </w:p>
        </w:tc>
        <w:tc>
          <w:tcPr>
            <w:tcW w:w="0" w:type="dxa"/>
            <w:vAlign w:val="bottom"/>
          </w:tcPr>
          <w:p>
            <w:pPr>
              <w:spacing w:after="0"/>
              <w:rPr>
                <w:sz w:val="1"/>
                <w:szCs w:val="1"/>
                <w:color w:val="auto"/>
              </w:rPr>
            </w:pPr>
          </w:p>
        </w:tc>
      </w:tr>
      <w:tr>
        <w:trPr>
          <w:trHeight w:val="240"/>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w w:val="98"/>
              </w:rPr>
              <w:t>Mortgage loans held for investment, other investments and policy loans made</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(153,050,405)</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(137,912,509)</w:t>
            </w:r>
          </w:p>
        </w:tc>
        <w:tc>
          <w:tcPr>
            <w:tcW w:w="0" w:type="dxa"/>
            <w:vAlign w:val="bottom"/>
          </w:tcPr>
          <w:p>
            <w:pPr>
              <w:spacing w:after="0"/>
              <w:rPr>
                <w:sz w:val="1"/>
                <w:szCs w:val="1"/>
                <w:color w:val="auto"/>
              </w:rPr>
            </w:pPr>
          </w:p>
        </w:tc>
      </w:tr>
      <w:tr>
        <w:trPr>
          <w:trHeight w:val="256"/>
        </w:trPr>
        <w:tc>
          <w:tcPr>
            <w:tcW w:w="5400" w:type="dxa"/>
            <w:vAlign w:val="bottom"/>
          </w:tcPr>
          <w:p>
            <w:pPr>
              <w:spacing w:after="0"/>
              <w:rPr>
                <w:sz w:val="20"/>
                <w:szCs w:val="20"/>
                <w:color w:val="auto"/>
              </w:rPr>
            </w:pPr>
            <w:r>
              <w:rPr>
                <w:rFonts w:ascii="Arial" w:cs="Arial" w:eastAsia="Arial" w:hAnsi="Arial"/>
                <w:sz w:val="16"/>
                <w:szCs w:val="16"/>
                <w:color w:val="auto"/>
                <w:w w:val="92"/>
              </w:rPr>
              <w:t>Payments received for mortgage loans held for investment, other investments and</w:t>
            </w: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5400" w:type="dxa"/>
            <w:vAlign w:val="bottom"/>
          </w:tcPr>
          <w:p>
            <w:pPr>
              <w:spacing w:after="0"/>
              <w:rPr>
                <w:sz w:val="20"/>
                <w:szCs w:val="20"/>
                <w:color w:val="auto"/>
              </w:rPr>
            </w:pPr>
            <w:r>
              <w:rPr>
                <w:rFonts w:ascii="Arial" w:cs="Arial" w:eastAsia="Arial" w:hAnsi="Arial"/>
                <w:sz w:val="16"/>
                <w:szCs w:val="16"/>
                <w:color w:val="auto"/>
              </w:rPr>
              <w:t>policy loans</w:t>
            </w: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89"/>
              </w:rPr>
              <w:t>149,366,124</w:t>
            </w:r>
          </w:p>
        </w:tc>
        <w:tc>
          <w:tcPr>
            <w:tcW w:w="16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123,293,624</w:t>
            </w:r>
          </w:p>
        </w:tc>
        <w:tc>
          <w:tcPr>
            <w:tcW w:w="0" w:type="dxa"/>
            <w:vAlign w:val="bottom"/>
          </w:tcPr>
          <w:p>
            <w:pPr>
              <w:spacing w:after="0"/>
              <w:rPr>
                <w:sz w:val="1"/>
                <w:szCs w:val="1"/>
                <w:color w:val="auto"/>
              </w:rPr>
            </w:pPr>
          </w:p>
        </w:tc>
      </w:tr>
      <w:tr>
        <w:trPr>
          <w:trHeight w:val="240"/>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Purchases of property and equipment</w:t>
            </w: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(534,737)</w:t>
            </w: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(76,403)</w:t>
            </w:r>
          </w:p>
        </w:tc>
        <w:tc>
          <w:tcPr>
            <w:tcW w:w="0" w:type="dxa"/>
            <w:vAlign w:val="bottom"/>
          </w:tcPr>
          <w:p>
            <w:pPr>
              <w:spacing w:after="0"/>
              <w:rPr>
                <w:sz w:val="1"/>
                <w:szCs w:val="1"/>
                <w:color w:val="auto"/>
              </w:rPr>
            </w:pPr>
          </w:p>
        </w:tc>
      </w:tr>
      <w:tr>
        <w:trPr>
          <w:trHeight w:val="228"/>
        </w:trPr>
        <w:tc>
          <w:tcPr>
            <w:tcW w:w="5400" w:type="dxa"/>
            <w:vAlign w:val="bottom"/>
          </w:tcPr>
          <w:p>
            <w:pPr>
              <w:spacing w:after="0"/>
              <w:rPr>
                <w:sz w:val="20"/>
                <w:szCs w:val="20"/>
                <w:color w:val="auto"/>
              </w:rPr>
            </w:pPr>
            <w:r>
              <w:rPr>
                <w:rFonts w:ascii="Arial" w:cs="Arial" w:eastAsia="Arial" w:hAnsi="Arial"/>
                <w:sz w:val="16"/>
                <w:szCs w:val="16"/>
                <w:color w:val="auto"/>
              </w:rPr>
              <w:t>Sales of property and equipment</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799</w:t>
            </w:r>
          </w:p>
        </w:tc>
        <w:tc>
          <w:tcPr>
            <w:tcW w:w="0" w:type="dxa"/>
            <w:vAlign w:val="bottom"/>
          </w:tcPr>
          <w:p>
            <w:pPr>
              <w:spacing w:after="0"/>
              <w:rPr>
                <w:sz w:val="1"/>
                <w:szCs w:val="1"/>
                <w:color w:val="auto"/>
              </w:rPr>
            </w:pPr>
          </w:p>
        </w:tc>
      </w:tr>
      <w:tr>
        <w:trPr>
          <w:trHeight w:val="240"/>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Purchases of real estate</w:t>
            </w: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(750,018)</w:t>
            </w: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(1,309,373)</w:t>
            </w:r>
          </w:p>
        </w:tc>
        <w:tc>
          <w:tcPr>
            <w:tcW w:w="0" w:type="dxa"/>
            <w:vAlign w:val="bottom"/>
          </w:tcPr>
          <w:p>
            <w:pPr>
              <w:spacing w:after="0"/>
              <w:rPr>
                <w:sz w:val="1"/>
                <w:szCs w:val="1"/>
                <w:color w:val="auto"/>
              </w:rPr>
            </w:pPr>
          </w:p>
        </w:tc>
      </w:tr>
      <w:tr>
        <w:trPr>
          <w:trHeight w:val="228"/>
        </w:trPr>
        <w:tc>
          <w:tcPr>
            <w:tcW w:w="5400" w:type="dxa"/>
            <w:vAlign w:val="bottom"/>
          </w:tcPr>
          <w:p>
            <w:pPr>
              <w:spacing w:after="0"/>
              <w:rPr>
                <w:sz w:val="20"/>
                <w:szCs w:val="20"/>
                <w:color w:val="auto"/>
              </w:rPr>
            </w:pPr>
            <w:r>
              <w:rPr>
                <w:rFonts w:ascii="Arial" w:cs="Arial" w:eastAsia="Arial" w:hAnsi="Arial"/>
                <w:sz w:val="16"/>
                <w:szCs w:val="16"/>
                <w:color w:val="auto"/>
              </w:rPr>
              <w:t>Sales of real estate</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4,153,329</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2,349,864</w:t>
            </w:r>
          </w:p>
        </w:tc>
        <w:tc>
          <w:tcPr>
            <w:tcW w:w="0" w:type="dxa"/>
            <w:vAlign w:val="bottom"/>
          </w:tcPr>
          <w:p>
            <w:pPr>
              <w:spacing w:after="0"/>
              <w:rPr>
                <w:sz w:val="1"/>
                <w:szCs w:val="1"/>
                <w:color w:val="auto"/>
              </w:rPr>
            </w:pPr>
          </w:p>
        </w:tc>
      </w:tr>
      <w:tr>
        <w:trPr>
          <w:trHeight w:val="234"/>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Cash paid for purchase of subsidiaries, net of cash acquired</w:t>
            </w:r>
          </w:p>
        </w:tc>
        <w:tc>
          <w:tcPr>
            <w:tcW w:w="3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(3,261,788)</w:t>
            </w:r>
          </w:p>
        </w:tc>
        <w:tc>
          <w:tcPr>
            <w:tcW w:w="0" w:type="dxa"/>
            <w:vAlign w:val="bottom"/>
          </w:tcPr>
          <w:p>
            <w:pPr>
              <w:spacing w:after="0"/>
              <w:rPr>
                <w:sz w:val="1"/>
                <w:szCs w:val="1"/>
                <w:color w:val="auto"/>
              </w:rPr>
            </w:pPr>
          </w:p>
        </w:tc>
      </w:tr>
      <w:tr>
        <w:trPr>
          <w:trHeight w:val="214"/>
        </w:trPr>
        <w:tc>
          <w:tcPr>
            <w:tcW w:w="54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Net cash provided by (used in) investing activities</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12,231,328</w:t>
            </w:r>
          </w:p>
        </w:tc>
        <w:tc>
          <w:tcPr>
            <w:tcW w:w="1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(17,007,554)</w:t>
            </w:r>
          </w:p>
        </w:tc>
        <w:tc>
          <w:tcPr>
            <w:tcW w:w="0" w:type="dxa"/>
            <w:vAlign w:val="bottom"/>
          </w:tcPr>
          <w:p>
            <w:pPr>
              <w:spacing w:after="0"/>
              <w:rPr>
                <w:sz w:val="1"/>
                <w:szCs w:val="1"/>
                <w:color w:val="auto"/>
              </w:rPr>
            </w:pPr>
          </w:p>
        </w:tc>
      </w:tr>
      <w:tr>
        <w:trPr>
          <w:trHeight w:val="208"/>
        </w:trPr>
        <w:tc>
          <w:tcPr>
            <w:tcW w:w="5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40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Investment contract receipts</w:t>
            </w: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2,640,020</w:t>
            </w: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2,760,871</w:t>
            </w:r>
          </w:p>
        </w:tc>
        <w:tc>
          <w:tcPr>
            <w:tcW w:w="0" w:type="dxa"/>
            <w:vAlign w:val="bottom"/>
          </w:tcPr>
          <w:p>
            <w:pPr>
              <w:spacing w:after="0"/>
              <w:rPr>
                <w:sz w:val="1"/>
                <w:szCs w:val="1"/>
                <w:color w:val="auto"/>
              </w:rPr>
            </w:pPr>
          </w:p>
        </w:tc>
      </w:tr>
      <w:tr>
        <w:trPr>
          <w:trHeight w:val="228"/>
        </w:trPr>
        <w:tc>
          <w:tcPr>
            <w:tcW w:w="5400" w:type="dxa"/>
            <w:vAlign w:val="bottom"/>
          </w:tcPr>
          <w:p>
            <w:pPr>
              <w:spacing w:after="0"/>
              <w:rPr>
                <w:sz w:val="20"/>
                <w:szCs w:val="20"/>
                <w:color w:val="auto"/>
              </w:rPr>
            </w:pPr>
            <w:r>
              <w:rPr>
                <w:rFonts w:ascii="Arial" w:cs="Arial" w:eastAsia="Arial" w:hAnsi="Arial"/>
                <w:sz w:val="16"/>
                <w:szCs w:val="16"/>
                <w:color w:val="auto"/>
              </w:rPr>
              <w:t>Investment contract withdrawals</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7"/>
              </w:rPr>
              <w:t>(4,662,891)</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87"/>
              </w:rPr>
              <w:t>(3,959,861)</w:t>
            </w:r>
          </w:p>
        </w:tc>
        <w:tc>
          <w:tcPr>
            <w:tcW w:w="0" w:type="dxa"/>
            <w:vAlign w:val="bottom"/>
          </w:tcPr>
          <w:p>
            <w:pPr>
              <w:spacing w:after="0"/>
              <w:rPr>
                <w:sz w:val="1"/>
                <w:szCs w:val="1"/>
                <w:color w:val="auto"/>
              </w:rPr>
            </w:pPr>
          </w:p>
        </w:tc>
      </w:tr>
      <w:tr>
        <w:trPr>
          <w:trHeight w:val="240"/>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Proceeds from stock options exercised</w:t>
            </w: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10,892</w:t>
            </w: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17,380</w:t>
            </w:r>
          </w:p>
        </w:tc>
        <w:tc>
          <w:tcPr>
            <w:tcW w:w="0" w:type="dxa"/>
            <w:vAlign w:val="bottom"/>
          </w:tcPr>
          <w:p>
            <w:pPr>
              <w:spacing w:after="0"/>
              <w:rPr>
                <w:sz w:val="1"/>
                <w:szCs w:val="1"/>
                <w:color w:val="auto"/>
              </w:rPr>
            </w:pPr>
          </w:p>
        </w:tc>
      </w:tr>
      <w:tr>
        <w:trPr>
          <w:trHeight w:val="228"/>
        </w:trPr>
        <w:tc>
          <w:tcPr>
            <w:tcW w:w="5400" w:type="dxa"/>
            <w:vAlign w:val="bottom"/>
          </w:tcPr>
          <w:p>
            <w:pPr>
              <w:spacing w:after="0"/>
              <w:rPr>
                <w:sz w:val="20"/>
                <w:szCs w:val="20"/>
                <w:color w:val="auto"/>
              </w:rPr>
            </w:pPr>
            <w:r>
              <w:rPr>
                <w:rFonts w:ascii="Arial" w:cs="Arial" w:eastAsia="Arial" w:hAnsi="Arial"/>
                <w:sz w:val="16"/>
                <w:szCs w:val="16"/>
                <w:color w:val="auto"/>
              </w:rPr>
              <w:t>Purchases of treasury stock</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(129,608)</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(112,404)</w:t>
            </w:r>
          </w:p>
        </w:tc>
        <w:tc>
          <w:tcPr>
            <w:tcW w:w="0" w:type="dxa"/>
            <w:vAlign w:val="bottom"/>
          </w:tcPr>
          <w:p>
            <w:pPr>
              <w:spacing w:after="0"/>
              <w:rPr>
                <w:sz w:val="1"/>
                <w:szCs w:val="1"/>
                <w:color w:val="auto"/>
              </w:rPr>
            </w:pPr>
          </w:p>
        </w:tc>
      </w:tr>
      <w:tr>
        <w:trPr>
          <w:trHeight w:val="240"/>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Repayment of bank and other loans</w:t>
            </w: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(810,623)</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(46,299,191)</w:t>
            </w:r>
          </w:p>
        </w:tc>
        <w:tc>
          <w:tcPr>
            <w:tcW w:w="0" w:type="dxa"/>
            <w:vAlign w:val="bottom"/>
          </w:tcPr>
          <w:p>
            <w:pPr>
              <w:spacing w:after="0"/>
              <w:rPr>
                <w:sz w:val="1"/>
                <w:szCs w:val="1"/>
                <w:color w:val="auto"/>
              </w:rPr>
            </w:pPr>
          </w:p>
        </w:tc>
      </w:tr>
      <w:tr>
        <w:trPr>
          <w:trHeight w:val="228"/>
        </w:trPr>
        <w:tc>
          <w:tcPr>
            <w:tcW w:w="5400" w:type="dxa"/>
            <w:vAlign w:val="bottom"/>
          </w:tcPr>
          <w:p>
            <w:pPr>
              <w:spacing w:after="0"/>
              <w:rPr>
                <w:sz w:val="20"/>
                <w:szCs w:val="20"/>
                <w:color w:val="auto"/>
              </w:rPr>
            </w:pPr>
            <w:r>
              <w:rPr>
                <w:rFonts w:ascii="Arial" w:cs="Arial" w:eastAsia="Arial" w:hAnsi="Arial"/>
                <w:sz w:val="16"/>
                <w:szCs w:val="16"/>
                <w:color w:val="auto"/>
              </w:rPr>
              <w:t>Proceeds from bank borrowings</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20,172,821</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89"/>
              </w:rPr>
              <w:t>47,273,807</w:t>
            </w:r>
          </w:p>
        </w:tc>
        <w:tc>
          <w:tcPr>
            <w:tcW w:w="0" w:type="dxa"/>
            <w:vAlign w:val="bottom"/>
          </w:tcPr>
          <w:p>
            <w:pPr>
              <w:spacing w:after="0"/>
              <w:rPr>
                <w:sz w:val="1"/>
                <w:szCs w:val="1"/>
                <w:color w:val="auto"/>
              </w:rPr>
            </w:pPr>
          </w:p>
        </w:tc>
      </w:tr>
      <w:tr>
        <w:trPr>
          <w:trHeight w:val="234"/>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Net change in warehouse line borrowings for loans held for sale</w:t>
            </w:r>
          </w:p>
        </w:tc>
        <w:tc>
          <w:tcPr>
            <w:tcW w:w="3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16,982,783</w:t>
            </w:r>
          </w:p>
        </w:tc>
        <w:tc>
          <w:tcPr>
            <w:tcW w:w="160" w:type="dxa"/>
            <w:vAlign w:val="bottom"/>
            <w:shd w:val="clear" w:color="auto" w:fill="CCEEFF"/>
          </w:tcPr>
          <w:p>
            <w:pPr>
              <w:spacing w:after="0"/>
              <w:rPr>
                <w:sz w:val="20"/>
                <w:szCs w:val="20"/>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(13,643,525)</w:t>
            </w:r>
          </w:p>
        </w:tc>
        <w:tc>
          <w:tcPr>
            <w:tcW w:w="0" w:type="dxa"/>
            <w:vAlign w:val="bottom"/>
          </w:tcPr>
          <w:p>
            <w:pPr>
              <w:spacing w:after="0"/>
              <w:rPr>
                <w:sz w:val="1"/>
                <w:szCs w:val="1"/>
                <w:color w:val="auto"/>
              </w:rPr>
            </w:pPr>
          </w:p>
        </w:tc>
      </w:tr>
      <w:tr>
        <w:trPr>
          <w:trHeight w:val="214"/>
        </w:trPr>
        <w:tc>
          <w:tcPr>
            <w:tcW w:w="54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Net cash provided by (used in) financing activities</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34,203,394</w:t>
            </w:r>
          </w:p>
        </w:tc>
        <w:tc>
          <w:tcPr>
            <w:tcW w:w="1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(13,962,923)</w:t>
            </w:r>
          </w:p>
        </w:tc>
        <w:tc>
          <w:tcPr>
            <w:tcW w:w="0" w:type="dxa"/>
            <w:vAlign w:val="bottom"/>
          </w:tcPr>
          <w:p>
            <w:pPr>
              <w:spacing w:after="0"/>
              <w:rPr>
                <w:sz w:val="1"/>
                <w:szCs w:val="1"/>
                <w:color w:val="auto"/>
              </w:rPr>
            </w:pPr>
          </w:p>
        </w:tc>
      </w:tr>
      <w:tr>
        <w:trPr>
          <w:trHeight w:val="208"/>
        </w:trPr>
        <w:tc>
          <w:tcPr>
            <w:tcW w:w="5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400" w:type="dxa"/>
            <w:vAlign w:val="bottom"/>
          </w:tcPr>
          <w:p>
            <w:pPr>
              <w:spacing w:after="0"/>
              <w:rPr>
                <w:sz w:val="20"/>
                <w:szCs w:val="20"/>
                <w:color w:val="auto"/>
              </w:rPr>
            </w:pPr>
            <w:r>
              <w:rPr>
                <w:rFonts w:ascii="Arial" w:cs="Arial" w:eastAsia="Arial" w:hAnsi="Arial"/>
                <w:sz w:val="16"/>
                <w:szCs w:val="16"/>
                <w:b w:val="1"/>
                <w:bCs w:val="1"/>
                <w:color w:val="auto"/>
                <w:w w:val="96"/>
              </w:rPr>
              <w:t>Net change in cash, cash equivalents, restricted cash and restricted cash</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40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equivalents</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8"/>
              </w:rPr>
              <w:t>(17,336,522)</w:t>
            </w:r>
          </w:p>
        </w:tc>
        <w:tc>
          <w:tcPr>
            <w:tcW w:w="1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(11,450,991)</w:t>
            </w:r>
          </w:p>
        </w:tc>
        <w:tc>
          <w:tcPr>
            <w:tcW w:w="0" w:type="dxa"/>
            <w:vAlign w:val="bottom"/>
          </w:tcPr>
          <w:p>
            <w:pPr>
              <w:spacing w:after="0"/>
              <w:rPr>
                <w:sz w:val="1"/>
                <w:szCs w:val="1"/>
                <w:color w:val="auto"/>
              </w:rPr>
            </w:pPr>
          </w:p>
        </w:tc>
      </w:tr>
      <w:tr>
        <w:trPr>
          <w:trHeight w:val="208"/>
        </w:trPr>
        <w:tc>
          <w:tcPr>
            <w:tcW w:w="5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400" w:type="dxa"/>
            <w:vAlign w:val="bottom"/>
          </w:tcPr>
          <w:p>
            <w:pPr>
              <w:spacing w:after="0"/>
              <w:rPr>
                <w:sz w:val="20"/>
                <w:szCs w:val="20"/>
                <w:color w:val="auto"/>
              </w:rPr>
            </w:pPr>
            <w:r>
              <w:rPr>
                <w:rFonts w:ascii="Arial" w:cs="Arial" w:eastAsia="Arial" w:hAnsi="Arial"/>
                <w:sz w:val="16"/>
                <w:szCs w:val="16"/>
                <w:color w:val="auto"/>
                <w:w w:val="87"/>
              </w:rPr>
              <w:t>Cash, cash equivalents, restricted cash and restricted cash equivalents at beginning of</w:t>
            </w: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54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period</w:t>
            </w: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137,735,673</w:t>
            </w:r>
          </w:p>
        </w:tc>
        <w:tc>
          <w:tcPr>
            <w:tcW w:w="16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150,936,673</w:t>
            </w:r>
          </w:p>
        </w:tc>
        <w:tc>
          <w:tcPr>
            <w:tcW w:w="0" w:type="dxa"/>
            <w:vAlign w:val="bottom"/>
          </w:tcPr>
          <w:p>
            <w:pPr>
              <w:spacing w:after="0"/>
              <w:rPr>
                <w:sz w:val="1"/>
                <w:szCs w:val="1"/>
                <w:color w:val="auto"/>
              </w:rPr>
            </w:pPr>
          </w:p>
        </w:tc>
      </w:tr>
      <w:tr>
        <w:trPr>
          <w:trHeight w:val="208"/>
        </w:trPr>
        <w:tc>
          <w:tcPr>
            <w:tcW w:w="5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5400" w:type="dxa"/>
            <w:vAlign w:val="bottom"/>
          </w:tcPr>
          <w:p>
            <w:pPr>
              <w:spacing w:after="0"/>
              <w:rPr>
                <w:sz w:val="20"/>
                <w:szCs w:val="20"/>
                <w:color w:val="auto"/>
              </w:rPr>
            </w:pPr>
            <w:r>
              <w:rPr>
                <w:rFonts w:ascii="Arial" w:cs="Arial" w:eastAsia="Arial" w:hAnsi="Arial"/>
                <w:sz w:val="16"/>
                <w:szCs w:val="16"/>
                <w:b w:val="1"/>
                <w:bCs w:val="1"/>
                <w:color w:val="auto"/>
                <w:w w:val="87"/>
              </w:rPr>
              <w:t>Cash, cash equivalents, restricted cash and restricted cash equivalents at end of</w:t>
            </w:r>
          </w:p>
        </w:tc>
        <w:tc>
          <w:tcPr>
            <w:tcW w:w="1140" w:type="dxa"/>
            <w:vAlign w:val="bottom"/>
            <w:gridSpan w:val="2"/>
            <w:vMerge w:val="restart"/>
          </w:tcPr>
          <w:p>
            <w:pPr>
              <w:jc w:val="right"/>
              <w:spacing w:after="0"/>
              <w:rPr>
                <w:sz w:val="20"/>
                <w:szCs w:val="20"/>
                <w:color w:val="auto"/>
              </w:rPr>
            </w:pPr>
            <w:r>
              <w:rPr>
                <w:rFonts w:ascii="Arial" w:cs="Arial" w:eastAsia="Arial" w:hAnsi="Arial"/>
                <w:sz w:val="16"/>
                <w:szCs w:val="16"/>
                <w:color w:val="auto"/>
              </w:rPr>
              <w:t>$ 120,399,151</w:t>
            </w:r>
          </w:p>
        </w:tc>
        <w:tc>
          <w:tcPr>
            <w:tcW w:w="160" w:type="dxa"/>
            <w:vAlign w:val="bottom"/>
          </w:tcPr>
          <w:p>
            <w:pPr>
              <w:spacing w:after="0"/>
              <w:rPr>
                <w:sz w:val="21"/>
                <w:szCs w:val="21"/>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6"/>
                <w:szCs w:val="16"/>
                <w:color w:val="auto"/>
              </w:rPr>
              <w:t>$ 139,485,682</w:t>
            </w:r>
          </w:p>
        </w:tc>
        <w:tc>
          <w:tcPr>
            <w:tcW w:w="0" w:type="dxa"/>
            <w:vAlign w:val="bottom"/>
          </w:tcPr>
          <w:p>
            <w:pPr>
              <w:spacing w:after="0"/>
              <w:rPr>
                <w:sz w:val="1"/>
                <w:szCs w:val="1"/>
                <w:color w:val="auto"/>
              </w:rPr>
            </w:pPr>
          </w:p>
        </w:tc>
      </w:tr>
      <w:tr>
        <w:trPr>
          <w:trHeight w:val="243"/>
        </w:trPr>
        <w:tc>
          <w:tcPr>
            <w:tcW w:w="540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period</w:t>
            </w:r>
          </w:p>
        </w:tc>
        <w:tc>
          <w:tcPr>
            <w:tcW w:w="1140" w:type="dxa"/>
            <w:vAlign w:val="bottom"/>
            <w:tcBorders>
              <w:bottom w:val="single" w:sz="8" w:color="auto"/>
            </w:tcBorders>
            <w:gridSpan w:val="2"/>
            <w:vMerge w:val="continue"/>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54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400" w:type="dxa"/>
            <w:vAlign w:val="bottom"/>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Cash paid during the year for:</w:t>
            </w: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400" w:type="dxa"/>
            <w:vAlign w:val="bottom"/>
          </w:tcPr>
          <w:p>
            <w:pPr>
              <w:spacing w:after="0"/>
              <w:rPr>
                <w:sz w:val="20"/>
                <w:szCs w:val="20"/>
                <w:color w:val="auto"/>
              </w:rPr>
            </w:pPr>
            <w:r>
              <w:rPr>
                <w:rFonts w:ascii="Arial" w:cs="Arial" w:eastAsia="Arial" w:hAnsi="Arial"/>
                <w:sz w:val="16"/>
                <w:szCs w:val="16"/>
                <w:color w:val="auto"/>
              </w:rPr>
              <w:t>Interest</w:t>
            </w:r>
          </w:p>
        </w:tc>
        <w:tc>
          <w:tcPr>
            <w:tcW w:w="320" w:type="dxa"/>
            <w:vAlign w:val="bottom"/>
          </w:tcPr>
          <w:p>
            <w:pPr>
              <w:ind w:left="240"/>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1,845,747</w:t>
            </w:r>
          </w:p>
        </w:tc>
        <w:tc>
          <w:tcPr>
            <w:tcW w:w="160" w:type="dxa"/>
            <w:vAlign w:val="bottom"/>
          </w:tcPr>
          <w:p>
            <w:pPr>
              <w:spacing w:after="0"/>
              <w:rPr>
                <w:sz w:val="19"/>
                <w:szCs w:val="19"/>
                <w:color w:val="auto"/>
              </w:rPr>
            </w:pPr>
          </w:p>
        </w:tc>
        <w:tc>
          <w:tcPr>
            <w:tcW w:w="4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1,508,895</w:t>
            </w:r>
          </w:p>
        </w:tc>
        <w:tc>
          <w:tcPr>
            <w:tcW w:w="0" w:type="dxa"/>
            <w:vAlign w:val="bottom"/>
          </w:tcPr>
          <w:p>
            <w:pPr>
              <w:spacing w:after="0"/>
              <w:rPr>
                <w:sz w:val="1"/>
                <w:szCs w:val="1"/>
                <w:color w:val="auto"/>
              </w:rPr>
            </w:pPr>
          </w:p>
        </w:tc>
      </w:tr>
      <w:tr>
        <w:trPr>
          <w:trHeight w:val="240"/>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Income taxes (net of refunds)</w:t>
            </w: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(15,975)</w:t>
            </w:r>
          </w:p>
        </w:tc>
        <w:tc>
          <w:tcPr>
            <w:tcW w:w="0" w:type="dxa"/>
            <w:vAlign w:val="bottom"/>
          </w:tcPr>
          <w:p>
            <w:pPr>
              <w:spacing w:after="0"/>
              <w:rPr>
                <w:sz w:val="1"/>
                <w:szCs w:val="1"/>
                <w:color w:val="auto"/>
              </w:rPr>
            </w:pPr>
          </w:p>
        </w:tc>
      </w:tr>
      <w:tr>
        <w:trPr>
          <w:trHeight w:val="210"/>
        </w:trPr>
        <w:tc>
          <w:tcPr>
            <w:tcW w:w="5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 Cash Operating, Investing and Financing Activities:</w:t>
            </w: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400" w:type="dxa"/>
            <w:vAlign w:val="bottom"/>
          </w:tcPr>
          <w:p>
            <w:pPr>
              <w:spacing w:after="0"/>
              <w:rPr>
                <w:sz w:val="20"/>
                <w:szCs w:val="20"/>
                <w:color w:val="auto"/>
              </w:rPr>
            </w:pPr>
            <w:r>
              <w:rPr>
                <w:rFonts w:ascii="Arial" w:cs="Arial" w:eastAsia="Arial" w:hAnsi="Arial"/>
                <w:sz w:val="16"/>
                <w:szCs w:val="16"/>
                <w:color w:val="auto"/>
              </w:rPr>
              <w:t>Transfer of loans held for sale to mortgage loans held for investment</w:t>
            </w:r>
          </w:p>
        </w:tc>
        <w:tc>
          <w:tcPr>
            <w:tcW w:w="320" w:type="dxa"/>
            <w:vAlign w:val="bottom"/>
          </w:tcPr>
          <w:p>
            <w:pPr>
              <w:ind w:left="240"/>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8,933,676</w:t>
            </w:r>
          </w:p>
        </w:tc>
        <w:tc>
          <w:tcPr>
            <w:tcW w:w="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Right-of-use assets obtained in exchange for operating lease liabilities</w:t>
            </w: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3,271,518</w:t>
            </w: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11,931,889</w:t>
            </w:r>
          </w:p>
        </w:tc>
        <w:tc>
          <w:tcPr>
            <w:tcW w:w="0" w:type="dxa"/>
            <w:vAlign w:val="bottom"/>
          </w:tcPr>
          <w:p>
            <w:pPr>
              <w:spacing w:after="0"/>
              <w:rPr>
                <w:sz w:val="1"/>
                <w:szCs w:val="1"/>
                <w:color w:val="auto"/>
              </w:rPr>
            </w:pPr>
          </w:p>
        </w:tc>
      </w:tr>
      <w:tr>
        <w:trPr>
          <w:trHeight w:val="228"/>
        </w:trPr>
        <w:tc>
          <w:tcPr>
            <w:tcW w:w="5400" w:type="dxa"/>
            <w:vAlign w:val="bottom"/>
          </w:tcPr>
          <w:p>
            <w:pPr>
              <w:spacing w:after="0"/>
              <w:rPr>
                <w:sz w:val="20"/>
                <w:szCs w:val="20"/>
                <w:color w:val="auto"/>
              </w:rPr>
            </w:pPr>
            <w:r>
              <w:rPr>
                <w:rFonts w:ascii="Arial" w:cs="Arial" w:eastAsia="Arial" w:hAnsi="Arial"/>
                <w:sz w:val="16"/>
                <w:szCs w:val="16"/>
                <w:color w:val="auto"/>
              </w:rPr>
              <w:t>Benefit plans funded with treasury stock</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482,361</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337,496</w:t>
            </w:r>
          </w:p>
        </w:tc>
        <w:tc>
          <w:tcPr>
            <w:tcW w:w="0" w:type="dxa"/>
            <w:vAlign w:val="bottom"/>
          </w:tcPr>
          <w:p>
            <w:pPr>
              <w:spacing w:after="0"/>
              <w:rPr>
                <w:sz w:val="1"/>
                <w:szCs w:val="1"/>
                <w:color w:val="auto"/>
              </w:rPr>
            </w:pPr>
          </w:p>
        </w:tc>
      </w:tr>
      <w:tr>
        <w:trPr>
          <w:trHeight w:val="240"/>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Accrued real estate construction costs and retainage</w:t>
            </w: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399,976</w:t>
            </w: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786,859</w:t>
            </w:r>
          </w:p>
        </w:tc>
        <w:tc>
          <w:tcPr>
            <w:tcW w:w="0" w:type="dxa"/>
            <w:vAlign w:val="bottom"/>
          </w:tcPr>
          <w:p>
            <w:pPr>
              <w:spacing w:after="0"/>
              <w:rPr>
                <w:sz w:val="1"/>
                <w:szCs w:val="1"/>
                <w:color w:val="auto"/>
              </w:rPr>
            </w:pPr>
          </w:p>
        </w:tc>
      </w:tr>
      <w:tr>
        <w:trPr>
          <w:trHeight w:val="228"/>
        </w:trPr>
        <w:tc>
          <w:tcPr>
            <w:tcW w:w="5400" w:type="dxa"/>
            <w:vAlign w:val="bottom"/>
          </w:tcPr>
          <w:p>
            <w:pPr>
              <w:spacing w:after="0"/>
              <w:rPr>
                <w:sz w:val="20"/>
                <w:szCs w:val="20"/>
                <w:color w:val="auto"/>
              </w:rPr>
            </w:pPr>
            <w:r>
              <w:rPr>
                <w:rFonts w:ascii="Arial" w:cs="Arial" w:eastAsia="Arial" w:hAnsi="Arial"/>
                <w:sz w:val="16"/>
                <w:szCs w:val="16"/>
                <w:color w:val="auto"/>
              </w:rPr>
              <w:t>Right-of-use assets obtained in exchange for finance lease liabilities</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9,394</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238,335</w:t>
            </w:r>
          </w:p>
        </w:tc>
        <w:tc>
          <w:tcPr>
            <w:tcW w:w="0" w:type="dxa"/>
            <w:vAlign w:val="bottom"/>
          </w:tcPr>
          <w:p>
            <w:pPr>
              <w:spacing w:after="0"/>
              <w:rPr>
                <w:sz w:val="1"/>
                <w:szCs w:val="1"/>
                <w:color w:val="auto"/>
              </w:rPr>
            </w:pPr>
          </w:p>
        </w:tc>
      </w:tr>
      <w:tr>
        <w:trPr>
          <w:trHeight w:val="240"/>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w w:val="93"/>
              </w:rPr>
              <w:t>Mortgage loans held for investment foreclosed into real estate held for investment</w:t>
            </w: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550,000</w:t>
            </w:r>
          </w:p>
        </w:tc>
        <w:tc>
          <w:tcPr>
            <w:tcW w:w="0" w:type="dxa"/>
            <w:vAlign w:val="bottom"/>
          </w:tcPr>
          <w:p>
            <w:pPr>
              <w:spacing w:after="0"/>
              <w:rPr>
                <w:sz w:val="1"/>
                <w:szCs w:val="1"/>
                <w:color w:val="auto"/>
              </w:rPr>
            </w:pPr>
          </w:p>
        </w:tc>
      </w:tr>
      <w:tr>
        <w:trPr>
          <w:trHeight w:val="228"/>
        </w:trPr>
        <w:tc>
          <w:tcPr>
            <w:tcW w:w="5400" w:type="dxa"/>
            <w:vAlign w:val="bottom"/>
          </w:tcPr>
          <w:p>
            <w:pPr>
              <w:spacing w:after="0"/>
              <w:rPr>
                <w:sz w:val="20"/>
                <w:szCs w:val="20"/>
                <w:color w:val="auto"/>
              </w:rPr>
            </w:pPr>
            <w:r>
              <w:rPr>
                <w:rFonts w:ascii="Arial" w:cs="Arial" w:eastAsia="Arial" w:hAnsi="Arial"/>
                <w:sz w:val="16"/>
                <w:szCs w:val="16"/>
                <w:color w:val="auto"/>
              </w:rPr>
              <w:t>Mortgage loans held for investment foreclosed into receivables</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155,347</w:t>
            </w:r>
          </w:p>
        </w:tc>
        <w:tc>
          <w:tcPr>
            <w:tcW w:w="0" w:type="dxa"/>
            <w:vAlign w:val="bottom"/>
          </w:tcPr>
          <w:p>
            <w:pPr>
              <w:spacing w:after="0"/>
              <w:rPr>
                <w:sz w:val="1"/>
                <w:szCs w:val="1"/>
                <w:color w:val="auto"/>
              </w:rPr>
            </w:pPr>
          </w:p>
        </w:tc>
      </w:tr>
      <w:tr>
        <w:trPr>
          <w:trHeight w:val="217"/>
        </w:trPr>
        <w:tc>
          <w:tcPr>
            <w:tcW w:w="5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right="1519"/>
        <w:spacing w:after="0" w:line="263" w:lineRule="auto"/>
        <w:rPr>
          <w:sz w:val="20"/>
          <w:szCs w:val="20"/>
          <w:color w:val="auto"/>
        </w:rPr>
      </w:pPr>
      <w:r>
        <w:rPr>
          <w:rFonts w:ascii="Arial" w:cs="Arial" w:eastAsia="Arial" w:hAnsi="Arial"/>
          <w:sz w:val="16"/>
          <w:szCs w:val="16"/>
          <w:color w:val="auto"/>
        </w:rPr>
        <w:t>See Note 15 regarding non cash transactions included in the acquisition of Probst Family Funeral and Cremations and Heber Valley Funeral Home.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498983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89830" cy="29845"/>
                    </a:xfrm>
                    <a:prstGeom prst="rect">
                      <a:avLst/>
                    </a:prstGeom>
                    <a:noFill/>
                  </pic:spPr>
                </pic:pic>
              </a:graphicData>
            </a:graphic>
          </wp:anchor>
        </w:drawing>
      </w:r>
    </w:p>
    <w:p>
      <w:pPr>
        <w:sectPr>
          <w:pgSz w:w="11900" w:h="16838" w:orient="portrait"/>
          <w:cols w:equalWidth="0" w:num="1">
            <w:col w:w="9299"/>
          </w:cols>
          <w:pgMar w:left="1160" w:top="324" w:right="1440" w:bottom="1440" w:gutter="0" w:footer="0" w:header="0"/>
        </w:sectPr>
      </w:pPr>
    </w:p>
    <w:bookmarkStart w:id="8" w:name="page9"/>
    <w:bookmarkEnd w:id="8"/>
    <w:p>
      <w:pPr>
        <w:jc w:val="center"/>
        <w:ind w:right="1439"/>
        <w:spacing w:after="0"/>
        <w:rPr>
          <w:sz w:val="20"/>
          <w:szCs w:val="20"/>
          <w:color w:val="auto"/>
        </w:rPr>
      </w:pPr>
      <w:r>
        <w:rPr>
          <w:rFonts w:ascii="Arial" w:cs="Arial" w:eastAsia="Arial" w:hAnsi="Arial"/>
          <w:sz w:val="17"/>
          <w:szCs w:val="17"/>
          <w:color w:val="auto"/>
        </w:rPr>
        <w:t>SECURITY NATIONAL FINANCIAL CORPORATION</w:t>
      </w:r>
    </w:p>
    <w:p>
      <w:pPr>
        <w:spacing w:after="0" w:line="17" w:lineRule="exact"/>
        <w:rPr>
          <w:sz w:val="20"/>
          <w:szCs w:val="20"/>
          <w:color w:val="auto"/>
        </w:rPr>
      </w:pPr>
    </w:p>
    <w:p>
      <w:pPr>
        <w:jc w:val="center"/>
        <w:ind w:right="1439"/>
        <w:spacing w:after="0"/>
        <w:rPr>
          <w:sz w:val="20"/>
          <w:szCs w:val="20"/>
          <w:color w:val="auto"/>
        </w:rPr>
      </w:pPr>
      <w:r>
        <w:rPr>
          <w:rFonts w:ascii="Arial" w:cs="Arial" w:eastAsia="Arial" w:hAnsi="Arial"/>
          <w:sz w:val="17"/>
          <w:szCs w:val="17"/>
          <w:color w:val="auto"/>
        </w:rPr>
        <w:t>AND SUBSIDIARIES</w:t>
      </w:r>
    </w:p>
    <w:p>
      <w:pPr>
        <w:spacing w:after="0" w:line="3" w:lineRule="exact"/>
        <w:rPr>
          <w:sz w:val="20"/>
          <w:szCs w:val="20"/>
          <w:color w:val="auto"/>
        </w:rPr>
      </w:pPr>
    </w:p>
    <w:p>
      <w:pPr>
        <w:jc w:val="center"/>
        <w:ind w:right="1439"/>
        <w:spacing w:after="0"/>
        <w:rPr>
          <w:sz w:val="20"/>
          <w:szCs w:val="20"/>
          <w:color w:val="auto"/>
        </w:rPr>
      </w:pPr>
      <w:r>
        <w:rPr>
          <w:rFonts w:ascii="Arial" w:cs="Arial" w:eastAsia="Arial" w:hAnsi="Arial"/>
          <w:sz w:val="17"/>
          <w:szCs w:val="17"/>
          <w:color w:val="auto"/>
        </w:rPr>
        <w:t>CONDENSED CONSOLIDATED STATEMENTS OF CASH FLOWS (Continued)</w:t>
      </w:r>
    </w:p>
    <w:p>
      <w:pPr>
        <w:spacing w:after="0" w:line="3" w:lineRule="exact"/>
        <w:rPr>
          <w:sz w:val="20"/>
          <w:szCs w:val="20"/>
          <w:color w:val="auto"/>
        </w:rPr>
      </w:pPr>
    </w:p>
    <w:p>
      <w:pPr>
        <w:jc w:val="center"/>
        <w:ind w:right="1439"/>
        <w:spacing w:after="0"/>
        <w:rPr>
          <w:sz w:val="20"/>
          <w:szCs w:val="20"/>
          <w:color w:val="auto"/>
        </w:rPr>
      </w:pPr>
      <w:r>
        <w:rPr>
          <w:rFonts w:ascii="Arial" w:cs="Arial" w:eastAsia="Arial" w:hAnsi="Arial"/>
          <w:sz w:val="17"/>
          <w:szCs w:val="17"/>
          <w:color w:val="auto"/>
        </w:rPr>
        <w:t>(Unaudited)</w:t>
      </w:r>
    </w:p>
    <w:p>
      <w:pPr>
        <w:spacing w:after="0" w:line="95" w:lineRule="exact"/>
        <w:rPr>
          <w:sz w:val="20"/>
          <w:szCs w:val="20"/>
          <w:color w:val="auto"/>
        </w:rPr>
      </w:pPr>
    </w:p>
    <w:p>
      <w:pPr>
        <w:ind w:right="1459"/>
        <w:spacing w:after="0" w:line="270" w:lineRule="auto"/>
        <w:rPr>
          <w:sz w:val="20"/>
          <w:szCs w:val="20"/>
          <w:color w:val="auto"/>
        </w:rPr>
      </w:pPr>
      <w:r>
        <w:rPr>
          <w:rFonts w:ascii="Arial" w:cs="Arial" w:eastAsia="Arial" w:hAnsi="Arial"/>
          <w:sz w:val="17"/>
          <w:szCs w:val="17"/>
          <w:color w:val="auto"/>
        </w:rPr>
        <w:t>Reconciliation of cash, cash equivalents, restricted cash and restricted cash equivalents as shown in the condensed consolidated statements of cash flows is presented in the table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0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4"/>
          </w:tcPr>
          <w:p>
            <w:pPr>
              <w:jc w:val="right"/>
              <w:ind w:right="342"/>
              <w:spacing w:after="0"/>
              <w:rPr>
                <w:sz w:val="20"/>
                <w:szCs w:val="20"/>
                <w:color w:val="auto"/>
              </w:rPr>
            </w:pPr>
            <w:r>
              <w:rPr>
                <w:rFonts w:ascii="Arial" w:cs="Arial" w:eastAsia="Arial" w:hAnsi="Arial"/>
                <w:sz w:val="16"/>
                <w:szCs w:val="16"/>
                <w:color w:val="auto"/>
                <w:w w:val="89"/>
              </w:rPr>
              <w:t>Three Months Ended March 31</w:t>
            </w:r>
          </w:p>
        </w:tc>
      </w:tr>
      <w:tr>
        <w:trPr>
          <w:trHeight w:val="214"/>
        </w:trPr>
        <w:tc>
          <w:tcPr>
            <w:tcW w:w="50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color w:val="auto"/>
              </w:rPr>
              <w:t>2020</w:t>
            </w: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color w:val="auto"/>
              </w:rPr>
              <w:t>2019</w:t>
            </w:r>
          </w:p>
        </w:tc>
      </w:tr>
      <w:tr>
        <w:trPr>
          <w:trHeight w:val="220"/>
        </w:trPr>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103,769,066</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130,133,196</w:t>
            </w:r>
          </w:p>
        </w:tc>
      </w:tr>
      <w:tr>
        <w:trPr>
          <w:trHeight w:val="228"/>
        </w:trPr>
        <w:tc>
          <w:tcPr>
            <w:tcW w:w="5080" w:type="dxa"/>
            <w:vAlign w:val="bottom"/>
          </w:tcPr>
          <w:p>
            <w:pPr>
              <w:spacing w:after="0"/>
              <w:rPr>
                <w:sz w:val="20"/>
                <w:szCs w:val="20"/>
                <w:color w:val="auto"/>
              </w:rPr>
            </w:pPr>
            <w:r>
              <w:rPr>
                <w:rFonts w:ascii="Arial" w:cs="Arial" w:eastAsia="Arial" w:hAnsi="Arial"/>
                <w:sz w:val="16"/>
                <w:szCs w:val="16"/>
                <w:color w:val="auto"/>
              </w:rPr>
              <w:t>Restricted assets</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15,347,648</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7,751,804</w:t>
            </w:r>
          </w:p>
        </w:tc>
      </w:tr>
      <w:tr>
        <w:trPr>
          <w:trHeight w:val="240"/>
        </w:trPr>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Cemetery perpetual care trust investments</w:t>
            </w: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1,282,437</w:t>
            </w:r>
          </w:p>
        </w:tc>
        <w:tc>
          <w:tcPr>
            <w:tcW w:w="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1,600,682</w:t>
            </w:r>
          </w:p>
        </w:tc>
      </w:tr>
      <w:tr>
        <w:trPr>
          <w:trHeight w:val="210"/>
        </w:trPr>
        <w:tc>
          <w:tcPr>
            <w:tcW w:w="50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13"/>
        </w:trPr>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3"/>
              </w:rPr>
              <w:t>Total cash, cash equivalents, restricted cash and restricted cash equivalents</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120,399,151</w:t>
            </w:r>
          </w:p>
        </w:tc>
        <w:tc>
          <w:tcPr>
            <w:tcW w:w="1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139,485,682</w:t>
            </w:r>
          </w:p>
        </w:tc>
      </w:tr>
      <w:tr>
        <w:trPr>
          <w:trHeight w:val="20"/>
        </w:trPr>
        <w:tc>
          <w:tcPr>
            <w:tcW w:w="5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93345</wp:posOffset>
            </wp:positionV>
            <wp:extent cx="498983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89830" cy="29845"/>
                    </a:xfrm>
                    <a:prstGeom prst="rect">
                      <a:avLst/>
                    </a:prstGeom>
                    <a:noFill/>
                  </pic:spPr>
                </pic:pic>
              </a:graphicData>
            </a:graphic>
          </wp:anchor>
        </w:drawing>
      </w:r>
    </w:p>
    <w:p>
      <w:pPr>
        <w:sectPr>
          <w:pgSz w:w="11900" w:h="16838" w:orient="portrait"/>
          <w:cols w:equalWidth="0" w:num="1">
            <w:col w:w="9299"/>
          </w:cols>
          <w:pgMar w:left="1160" w:top="324" w:right="1440" w:bottom="1440" w:gutter="0" w:footer="0" w:header="0"/>
        </w:sectPr>
      </w:pPr>
    </w:p>
    <w:bookmarkStart w:id="9" w:name="page10"/>
    <w:bookmarkEnd w:id="9"/>
    <w:p>
      <w:pPr>
        <w:ind w:left="1145"/>
        <w:spacing w:after="0"/>
        <w:rPr>
          <w:sz w:val="20"/>
          <w:szCs w:val="20"/>
          <w:color w:val="auto"/>
        </w:rPr>
      </w:pPr>
      <w:r>
        <w:rPr>
          <w:rFonts w:ascii="Arial" w:cs="Arial" w:eastAsia="Arial" w:hAnsi="Arial"/>
          <w:sz w:val="17"/>
          <w:szCs w:val="17"/>
          <w:color w:val="auto"/>
        </w:rPr>
        <w:t>SECURITY NATIONAL FINANCIAL CORPORATION AND SUBSIDIARIES</w:t>
      </w:r>
    </w:p>
    <w:p>
      <w:pPr>
        <w:spacing w:after="0" w:line="17" w:lineRule="exact"/>
        <w:rPr>
          <w:sz w:val="20"/>
          <w:szCs w:val="20"/>
          <w:color w:val="auto"/>
        </w:rPr>
      </w:pPr>
    </w:p>
    <w:p>
      <w:pPr>
        <w:ind w:left="2025"/>
        <w:spacing w:after="0"/>
        <w:rPr>
          <w:sz w:val="20"/>
          <w:szCs w:val="20"/>
          <w:color w:val="auto"/>
        </w:rPr>
      </w:pPr>
      <w:r>
        <w:rPr>
          <w:rFonts w:ascii="Arial" w:cs="Arial" w:eastAsia="Arial" w:hAnsi="Arial"/>
          <w:sz w:val="17"/>
          <w:szCs w:val="17"/>
          <w:color w:val="auto"/>
        </w:rPr>
        <w:t>Notes to Condensed Consolidated Financial Statements</w:t>
      </w:r>
    </w:p>
    <w:p>
      <w:pPr>
        <w:spacing w:after="0" w:line="3" w:lineRule="exact"/>
        <w:rPr>
          <w:sz w:val="20"/>
          <w:szCs w:val="20"/>
          <w:color w:val="auto"/>
        </w:rPr>
      </w:pPr>
    </w:p>
    <w:p>
      <w:pPr>
        <w:ind w:left="3225"/>
        <w:spacing w:after="0"/>
        <w:rPr>
          <w:sz w:val="20"/>
          <w:szCs w:val="20"/>
          <w:color w:val="auto"/>
        </w:rPr>
      </w:pPr>
      <w:r>
        <w:rPr>
          <w:rFonts w:ascii="Arial" w:cs="Arial" w:eastAsia="Arial" w:hAnsi="Arial"/>
          <w:sz w:val="17"/>
          <w:szCs w:val="17"/>
          <w:color w:val="auto"/>
        </w:rPr>
        <w:t>March 31, 2020 (Unaudited)</w:t>
      </w:r>
    </w:p>
    <w:p>
      <w:pPr>
        <w:spacing w:after="0" w:line="211" w:lineRule="exact"/>
        <w:rPr>
          <w:sz w:val="20"/>
          <w:szCs w:val="20"/>
          <w:color w:val="auto"/>
        </w:rPr>
      </w:pPr>
    </w:p>
    <w:p>
      <w:pPr>
        <w:ind w:left="425" w:hanging="425"/>
        <w:spacing w:after="0"/>
        <w:tabs>
          <w:tab w:leader="none" w:pos="425"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Basis of Presentation</w:t>
      </w:r>
    </w:p>
    <w:p>
      <w:pPr>
        <w:spacing w:after="0" w:line="202" w:lineRule="exact"/>
        <w:rPr>
          <w:sz w:val="20"/>
          <w:szCs w:val="20"/>
          <w:color w:val="auto"/>
        </w:rPr>
      </w:pPr>
    </w:p>
    <w:p>
      <w:pPr>
        <w:jc w:val="both"/>
        <w:ind w:left="5" w:right="1439"/>
        <w:spacing w:after="0" w:line="264"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of America for interim financial information and with the instructions to Form 10-Q and Articles 8 and 10 of Regulation S-X. Accordingly, they do not include all of the information and disclosures required by accounting principles generally accepted in the United States of America for complete financial statements. These financial statements should be read in conjunction with the consolidated financial statements of the Company and notes thereto for the year ended December 31, 2019, included in the Company’s Annual Report on Form 10-K (File Number 000-09341). In the opinion of management, all adjustments (consisting of normal recurring accruals) considered necessary for a fair presentation have been included. Operating results for the three months ended March 31, 2020 are not necessarily indicative of the results that may be expected for the year ending December 31, 2020.</w:t>
      </w:r>
    </w:p>
    <w:p>
      <w:pPr>
        <w:spacing w:after="0" w:line="163" w:lineRule="exact"/>
        <w:rPr>
          <w:sz w:val="20"/>
          <w:szCs w:val="20"/>
          <w:color w:val="auto"/>
        </w:rPr>
      </w:pPr>
    </w:p>
    <w:p>
      <w:pPr>
        <w:jc w:val="both"/>
        <w:ind w:left="5" w:right="1439"/>
        <w:spacing w:after="0" w:line="281" w:lineRule="auto"/>
        <w:rPr>
          <w:sz w:val="20"/>
          <w:szCs w:val="20"/>
          <w:color w:val="auto"/>
        </w:rPr>
      </w:pPr>
      <w:r>
        <w:rPr>
          <w:rFonts w:ascii="Arial" w:cs="Arial" w:eastAsia="Arial" w:hAnsi="Arial"/>
          <w:sz w:val="15"/>
          <w:szCs w:val="15"/>
          <w:color w:val="auto"/>
        </w:rPr>
        <w:t>The preparation of financial statements in conformity with accounting principles generally accepted in the United States of America requires management to adopt policies and make estimates and assumptions that affect the amounts reported in the financial statements and accompanying notes. In applying these policies and estimates, the Company makes judgments that frequently require assumptions about matters that are inherently uncertain The novel coronavirus (“COVID-19”) spread rapidly across the world in the first quarter 2020 and was declared a pandemic (the “COVID-19 Pandemic”) by the World Health Organization. The government and private sector responses to contain its spread began to significantly affect the Company’s operations in March and will likely adversely affect nearly all of the Company’s operations in the second quarter, although such effects may vary significantly. The duration and extent of the effects over longer terms cannot be reasonably estimated at this time. The risks and uncertainties resulting from the pandemic that may affect the Company’s future earnings, cash flows, and financial condition include the nature and duration of the curtailment or closure of the Company’s various facilities and the long-term effect on the demand for the Company’s products and services. Accordingly, significant estimates used in the preparation of the Company’s financial statements may be subject to significant adjustments in future periods. Actual results could differ from those estimates.</w:t>
      </w:r>
    </w:p>
    <w:p>
      <w:pPr>
        <w:spacing w:after="0" w:line="155" w:lineRule="exact"/>
        <w:rPr>
          <w:sz w:val="20"/>
          <w:szCs w:val="20"/>
          <w:color w:val="auto"/>
        </w:rPr>
      </w:pPr>
    </w:p>
    <w:p>
      <w:pPr>
        <w:jc w:val="both"/>
        <w:ind w:left="5" w:right="1439"/>
        <w:spacing w:after="0" w:line="247" w:lineRule="auto"/>
        <w:rPr>
          <w:sz w:val="20"/>
          <w:szCs w:val="20"/>
          <w:color w:val="auto"/>
        </w:rPr>
      </w:pPr>
      <w:r>
        <w:rPr>
          <w:rFonts w:ascii="Arial" w:cs="Arial" w:eastAsia="Arial" w:hAnsi="Arial"/>
          <w:sz w:val="17"/>
          <w:szCs w:val="17"/>
          <w:color w:val="auto"/>
        </w:rPr>
        <w:t>Material estimates that are particularly susceptible to significant changes in the near term are those used in determining the value of derivative assets and liabilities; those used in determining deferred acquisition costs and the value of business acquired; those used in determining the value of mortgage loans foreclosed to real estate held for investment; those used in determining the liability for future policy benefits; those used in estimating other than temporary impairments on available for sale securities; those used in determining the value of mortgage servicing rights; those used in determining allowances for loan losses for mortgage loans held for investment; those used in determining loan loss reserve; and those used in determining deferred tax assets and liabilities. Although some variability is inherent in these estimates, management believes the amounts provided are fairly stated in all material respects.</w:t>
      </w:r>
    </w:p>
    <w:p>
      <w:pPr>
        <w:spacing w:after="0" w:line="177" w:lineRule="exact"/>
        <w:rPr>
          <w:sz w:val="20"/>
          <w:szCs w:val="20"/>
          <w:color w:val="auto"/>
        </w:rPr>
      </w:pPr>
    </w:p>
    <w:p>
      <w:pPr>
        <w:ind w:left="425" w:hanging="425"/>
        <w:spacing w:after="0"/>
        <w:tabs>
          <w:tab w:leader="none" w:pos="425"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Recent Accounting Pronouncements</w:t>
      </w:r>
    </w:p>
    <w:p>
      <w:pPr>
        <w:spacing w:after="0" w:line="196"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auto"/>
        </w:rPr>
        <w:t>Accounting Standards Adopted in 2020</w:t>
      </w:r>
    </w:p>
    <w:p>
      <w:pPr>
        <w:spacing w:after="0" w:line="208" w:lineRule="exact"/>
        <w:rPr>
          <w:sz w:val="20"/>
          <w:szCs w:val="20"/>
          <w:color w:val="auto"/>
        </w:rPr>
      </w:pPr>
    </w:p>
    <w:p>
      <w:pPr>
        <w:jc w:val="both"/>
        <w:ind w:left="5" w:right="1459"/>
        <w:spacing w:after="0" w:line="264" w:lineRule="auto"/>
        <w:rPr>
          <w:sz w:val="20"/>
          <w:szCs w:val="20"/>
          <w:color w:val="auto"/>
        </w:rPr>
      </w:pPr>
      <w:r>
        <w:rPr>
          <w:rFonts w:ascii="Arial" w:cs="Arial" w:eastAsia="Arial" w:hAnsi="Arial"/>
          <w:sz w:val="16"/>
          <w:szCs w:val="16"/>
          <w:u w:val="single" w:color="auto"/>
          <w:color w:val="auto"/>
        </w:rPr>
        <w:t>ASU No. 2018-13: “Fair Value Measurement (Topic 820): Disclosure Framework-Changes to the Disclosure Requirements for Fair Value Measurement”</w:t>
      </w:r>
      <w:r>
        <w:rPr>
          <w:rFonts w:ascii="Arial" w:cs="Arial" w:eastAsia="Arial" w:hAnsi="Arial"/>
          <w:sz w:val="16"/>
          <w:szCs w:val="16"/>
          <w:color w:val="auto"/>
        </w:rPr>
        <w:t xml:space="preserve"> – Issued in August 2018, ASU 2018-13 modifies the disclosure requirements of Topic 820 by removing, modifying or adding certain disclosures. Among the changes, entities will no longer be required to disclose the amount of and reasons for transfers between Level 1 and Level 2 of the fair value hierarchy, but will be required to disclose the range and weighted average used to develop significant unobservable inputs for Level 3 fair value measurements. ASU 2018-13 does not change the fair value measurements already required or permitted by existing standards. The Company adopted this standard on January 1, 2020. The adoption of this standard did not materially impact the Company’s financial statements. See Note 8 for the Company’s fair value disclosures.</w:t>
      </w:r>
    </w:p>
    <w:p>
      <w:pPr>
        <w:spacing w:after="0" w:line="178" w:lineRule="exact"/>
        <w:rPr>
          <w:sz w:val="20"/>
          <w:szCs w:val="20"/>
          <w:color w:val="auto"/>
        </w:rPr>
      </w:pPr>
    </w:p>
    <w:p>
      <w:pPr>
        <w:ind w:left="3845"/>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498983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89830" cy="29845"/>
                    </a:xfrm>
                    <a:prstGeom prst="rect">
                      <a:avLst/>
                    </a:prstGeom>
                    <a:noFill/>
                  </pic:spPr>
                </pic:pic>
              </a:graphicData>
            </a:graphic>
          </wp:anchor>
        </w:drawing>
      </w:r>
    </w:p>
    <w:p>
      <w:pPr>
        <w:sectPr>
          <w:pgSz w:w="11900" w:h="16838" w:orient="portrait"/>
          <w:cols w:equalWidth="0" w:num="1">
            <w:col w:w="9304"/>
          </w:cols>
          <w:pgMar w:left="1155" w:top="382" w:right="1440" w:bottom="1440" w:gutter="0" w:footer="0" w:header="0"/>
        </w:sectPr>
      </w:pPr>
    </w:p>
    <w:bookmarkStart w:id="10" w:name="page11"/>
    <w:bookmarkEnd w:id="10"/>
    <w:p>
      <w:pPr>
        <w:ind w:left="1140"/>
        <w:spacing w:after="0"/>
        <w:rPr>
          <w:sz w:val="20"/>
          <w:szCs w:val="20"/>
          <w:color w:val="auto"/>
        </w:rPr>
      </w:pPr>
      <w:r>
        <w:rPr>
          <w:rFonts w:ascii="Arial" w:cs="Arial" w:eastAsia="Arial" w:hAnsi="Arial"/>
          <w:sz w:val="17"/>
          <w:szCs w:val="17"/>
          <w:color w:val="auto"/>
        </w:rPr>
        <w:t>SECURITY NATIONAL FINANCIAL CORPORATION AND SUBSIDIARIES</w:t>
      </w:r>
    </w:p>
    <w:p>
      <w:pPr>
        <w:spacing w:after="0" w:line="17" w:lineRule="exact"/>
        <w:rPr>
          <w:sz w:val="20"/>
          <w:szCs w:val="20"/>
          <w:color w:val="auto"/>
        </w:rPr>
      </w:pPr>
    </w:p>
    <w:p>
      <w:pPr>
        <w:ind w:left="2020"/>
        <w:spacing w:after="0"/>
        <w:rPr>
          <w:sz w:val="20"/>
          <w:szCs w:val="20"/>
          <w:color w:val="auto"/>
        </w:rPr>
      </w:pPr>
      <w:r>
        <w:rPr>
          <w:rFonts w:ascii="Arial" w:cs="Arial" w:eastAsia="Arial" w:hAnsi="Arial"/>
          <w:sz w:val="17"/>
          <w:szCs w:val="17"/>
          <w:color w:val="auto"/>
        </w:rPr>
        <w:t>Notes to Condensed Consolidated Financial Statements</w:t>
      </w:r>
    </w:p>
    <w:p>
      <w:pPr>
        <w:spacing w:after="0" w:line="3" w:lineRule="exact"/>
        <w:rPr>
          <w:sz w:val="20"/>
          <w:szCs w:val="20"/>
          <w:color w:val="auto"/>
        </w:rPr>
      </w:pPr>
    </w:p>
    <w:p>
      <w:pPr>
        <w:ind w:left="3220"/>
        <w:spacing w:after="0"/>
        <w:rPr>
          <w:sz w:val="20"/>
          <w:szCs w:val="20"/>
          <w:color w:val="auto"/>
        </w:rPr>
      </w:pPr>
      <w:r>
        <w:rPr>
          <w:rFonts w:ascii="Arial" w:cs="Arial" w:eastAsia="Arial" w:hAnsi="Arial"/>
          <w:sz w:val="17"/>
          <w:szCs w:val="17"/>
          <w:color w:val="auto"/>
        </w:rPr>
        <w:t>March 31, 2020 (Unaudited)</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Standards Adopted in 2019</w:t>
      </w:r>
    </w:p>
    <w:p>
      <w:pPr>
        <w:spacing w:after="0" w:line="208" w:lineRule="exact"/>
        <w:rPr>
          <w:sz w:val="20"/>
          <w:szCs w:val="20"/>
          <w:color w:val="auto"/>
        </w:rPr>
      </w:pPr>
    </w:p>
    <w:p>
      <w:pPr>
        <w:jc w:val="both"/>
        <w:ind w:right="1439"/>
        <w:spacing w:after="0" w:line="279" w:lineRule="auto"/>
        <w:rPr>
          <w:sz w:val="20"/>
          <w:szCs w:val="20"/>
          <w:color w:val="auto"/>
        </w:rPr>
      </w:pPr>
      <w:r>
        <w:rPr>
          <w:rFonts w:ascii="Arial" w:cs="Arial" w:eastAsia="Arial" w:hAnsi="Arial"/>
          <w:sz w:val="15"/>
          <w:szCs w:val="15"/>
          <w:u w:val="single" w:color="auto"/>
          <w:color w:val="auto"/>
        </w:rPr>
        <w:t>ASU No. 2016-02: “Leases (Topic 842)”</w:t>
      </w:r>
      <w:r>
        <w:rPr>
          <w:rFonts w:ascii="Arial" w:cs="Arial" w:eastAsia="Arial" w:hAnsi="Arial"/>
          <w:sz w:val="15"/>
          <w:szCs w:val="15"/>
          <w:color w:val="auto"/>
        </w:rPr>
        <w:t xml:space="preserve"> - Issued in February 2016, ASU 2016-02 supersedes the requirements in Accounting Standards Codification (“ASC”) Topic 840, “Leases”, and was issued to increase transparency and comparability among organizations. The new standard sets forth the principles for the recognition, measurement, presentation, and disclosure of leases for both lessees and lessors. ASU 2016-02 requires lessees to classify leases as either finance or operating leases and to record on the balance sheet right-of-use assets and lease liabilities, equal to the present value of the remaining lease payments. The lease classification will determine whether the lease expense is recognized based on an effective interest rate met hod or a straight-line basis over the term of the leases. The FASB further clarified ASU 2016-02 and provided targeted improvements by issuing ASU 2018-01, ASU 2018-10, ASU 2018-11 and ASU 2018-20. The Company adopted this standard on January 1, 2019 using the modified retrospective transition method with no cumulative-effect adjustment to the opening balance of retained earnings. Under this transition method, the application date was the beginning of the reporting period, January 1, 2019, in which the Company first applied the standard. Under this transition option, the Company will apply the legacy guidance in ASC 840, “Leases”, including its disclosure requirements, in the comparative periods presented in the year of adoption. The Company has made an accounting policy election not to apply the recognition requirements to short-term leases, which are leases that, at the commencement date, have a lease term of 12 months or less and do not include an option to purchase the underlying assets that the lessee is reasonably certain to exercise. The new authoritative guidance allows for certain practical expedients to be utilized to assist with the implementation of the new standard. The Company has elected the transition package of practical expedients which allows the Company to not reassess whether any expired or existing contracts are or contain leases, to not reassess the lease classification for any expired or existing leases and to not reassess initial direct costs for any existing leases.</w:t>
      </w:r>
    </w:p>
    <w:p>
      <w:pPr>
        <w:spacing w:after="0" w:line="363" w:lineRule="exact"/>
        <w:rPr>
          <w:sz w:val="20"/>
          <w:szCs w:val="20"/>
          <w:color w:val="auto"/>
        </w:rPr>
      </w:pPr>
    </w:p>
    <w:p>
      <w:pPr>
        <w:jc w:val="both"/>
        <w:ind w:right="1439"/>
        <w:spacing w:after="0" w:line="288" w:lineRule="auto"/>
        <w:rPr>
          <w:sz w:val="20"/>
          <w:szCs w:val="20"/>
          <w:color w:val="auto"/>
        </w:rPr>
      </w:pPr>
      <w:r>
        <w:rPr>
          <w:rFonts w:ascii="Arial" w:cs="Arial" w:eastAsia="Arial" w:hAnsi="Arial"/>
          <w:sz w:val="15"/>
          <w:szCs w:val="15"/>
          <w:color w:val="auto"/>
        </w:rPr>
        <w:t>The Company implemented a third-party lease accounting system to assist with the measurement of the lease liabilities and the related right-of-use assets. The Company compiled an inventory of its leases, determined the appropriate discount rates and has determined the impact of this standard which is not material to the Company’s results of operations, but has an effect on the balance sheet presentation for leased assets and obligations. The Company recognized a right-of-use asset and related lease liability for approximately $12,076,000 on January 1, 2019. This standard did not impact the Company’s accounting for leases where the Company is the lessor.</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Standards Issued But Not Yet Adopted</w:t>
      </w:r>
    </w:p>
    <w:p>
      <w:pPr>
        <w:spacing w:after="0" w:line="208" w:lineRule="exact"/>
        <w:rPr>
          <w:sz w:val="20"/>
          <w:szCs w:val="20"/>
          <w:color w:val="auto"/>
        </w:rPr>
      </w:pPr>
    </w:p>
    <w:p>
      <w:pPr>
        <w:jc w:val="both"/>
        <w:ind w:right="1439"/>
        <w:spacing w:after="0" w:line="282" w:lineRule="auto"/>
        <w:rPr>
          <w:sz w:val="20"/>
          <w:szCs w:val="20"/>
          <w:color w:val="auto"/>
        </w:rPr>
      </w:pPr>
      <w:r>
        <w:rPr>
          <w:rFonts w:ascii="Arial" w:cs="Arial" w:eastAsia="Arial" w:hAnsi="Arial"/>
          <w:sz w:val="15"/>
          <w:szCs w:val="15"/>
          <w:u w:val="single" w:color="auto"/>
          <w:color w:val="auto"/>
        </w:rPr>
        <w:t>ASU No. 2016-13: “Financial Instruments – Credit Losses (Topic 326)”</w:t>
      </w:r>
      <w:r>
        <w:rPr>
          <w:rFonts w:ascii="Arial" w:cs="Arial" w:eastAsia="Arial" w:hAnsi="Arial"/>
          <w:sz w:val="15"/>
          <w:szCs w:val="15"/>
          <w:color w:val="auto"/>
        </w:rPr>
        <w:t xml:space="preserve"> – Issued in September 2016, ASU 2016-13 amends guidance on reporting credit losses for assets held at amortized cost basis (such as mortgage loans and held to maturity debt securities) and available for sale debt securities. For assets held at amortized cost basis, Topic 326 eliminates the probable initial recognition threshold in current GAAP and, instead, requires an entity to reflect its current estimate of all expected credit losses. The allowance for credit losses is a valuation account that is deducted from the amortized cost basis of the financial assets to present the net amount expected to be collected. For available for sale debt securities, credit losses should be measured in a manner similar to current GAAP; however, Topic 326 will require that credit losses be presented as an allowance rather than as a write-down. In October 2019, the FASB proposed an update to ASU No. 2016-13 that would make the ASU effective for the Company on January 1, 2023. The Company is in the process of evaluating the potential impact of this standard, especially as it relates to mortgage loans held for investment.</w:t>
      </w:r>
    </w:p>
    <w:p>
      <w:pPr>
        <w:spacing w:after="0" w:line="156" w:lineRule="exact"/>
        <w:rPr>
          <w:sz w:val="20"/>
          <w:szCs w:val="20"/>
          <w:color w:val="auto"/>
        </w:rPr>
      </w:pPr>
    </w:p>
    <w:p>
      <w:pPr>
        <w:jc w:val="both"/>
        <w:ind w:right="1439"/>
        <w:spacing w:after="0" w:line="247" w:lineRule="auto"/>
        <w:rPr>
          <w:sz w:val="20"/>
          <w:szCs w:val="20"/>
          <w:color w:val="auto"/>
        </w:rPr>
      </w:pPr>
      <w:r>
        <w:rPr>
          <w:rFonts w:ascii="Arial" w:cs="Arial" w:eastAsia="Arial" w:hAnsi="Arial"/>
          <w:sz w:val="17"/>
          <w:szCs w:val="17"/>
          <w:u w:val="single" w:color="auto"/>
          <w:color w:val="auto"/>
        </w:rPr>
        <w:t>ASU No. 2018-12: “Financial Services – Insurance (Topic 944): Targeted Improvements to the Accounting for Long-Duration Contracts”</w:t>
      </w:r>
      <w:r>
        <w:rPr>
          <w:rFonts w:ascii="Arial" w:cs="Arial" w:eastAsia="Arial" w:hAnsi="Arial"/>
          <w:sz w:val="17"/>
          <w:szCs w:val="17"/>
          <w:color w:val="auto"/>
        </w:rPr>
        <w:t xml:space="preserve"> – Issued in August 2018, ASU 2018-12 is intended to improve the timeliness of recognizing changes in the liability for future policy benefits on traditional long-duration contracts by requiring that assumptions be updated after contract inception and by modifying the rate used to discount future cash flows. The ASU will simplify and improve the accounting for certain market-based options or guarantees associated with deposit or account balance contracts, simplify amortization of deferred acquisition costs while improving and expanding required disclosures. In October 2019, the FASB proposed an update to ASU No. 2018-12 that would make the ASU effective for the Company on January 1, 2024. The Company is in the process of evaluating the potential impact of this standard.</w:t>
      </w:r>
    </w:p>
    <w:p>
      <w:pPr>
        <w:spacing w:after="0" w:line="18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93345</wp:posOffset>
            </wp:positionV>
            <wp:extent cx="498983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89830" cy="29845"/>
                    </a:xfrm>
                    <a:prstGeom prst="rect">
                      <a:avLst/>
                    </a:prstGeom>
                    <a:noFill/>
                  </pic:spPr>
                </pic:pic>
              </a:graphicData>
            </a:graphic>
          </wp:anchor>
        </w:drawing>
      </w:r>
    </w:p>
    <w:p>
      <w:pPr>
        <w:sectPr>
          <w:pgSz w:w="11900" w:h="16838" w:orient="portrait"/>
          <w:cols w:equalWidth="0" w:num="1">
            <w:col w:w="9299"/>
          </w:cols>
          <w:pgMar w:left="1160" w:top="382" w:right="1440" w:bottom="1440" w:gutter="0" w:footer="0" w:header="0"/>
        </w:sectPr>
      </w:pPr>
    </w:p>
    <w:bookmarkStart w:id="11" w:name="page12"/>
    <w:bookmarkEnd w:id="11"/>
    <w:p>
      <w:pPr>
        <w:ind w:left="1145"/>
        <w:spacing w:after="0"/>
        <w:rPr>
          <w:sz w:val="20"/>
          <w:szCs w:val="20"/>
          <w:color w:val="auto"/>
        </w:rPr>
      </w:pPr>
      <w:r>
        <w:rPr>
          <w:rFonts w:ascii="Arial" w:cs="Arial" w:eastAsia="Arial" w:hAnsi="Arial"/>
          <w:sz w:val="17"/>
          <w:szCs w:val="17"/>
          <w:color w:val="auto"/>
        </w:rPr>
        <w:t>SECURITY NATIONAL FINANCIAL CORPORATION AND SUBSIDIARIES</w:t>
      </w:r>
    </w:p>
    <w:p>
      <w:pPr>
        <w:spacing w:after="0" w:line="17" w:lineRule="exact"/>
        <w:rPr>
          <w:sz w:val="20"/>
          <w:szCs w:val="20"/>
          <w:color w:val="auto"/>
        </w:rPr>
      </w:pPr>
    </w:p>
    <w:p>
      <w:pPr>
        <w:ind w:left="2025"/>
        <w:spacing w:after="0"/>
        <w:rPr>
          <w:sz w:val="20"/>
          <w:szCs w:val="20"/>
          <w:color w:val="auto"/>
        </w:rPr>
      </w:pPr>
      <w:r>
        <w:rPr>
          <w:rFonts w:ascii="Arial" w:cs="Arial" w:eastAsia="Arial" w:hAnsi="Arial"/>
          <w:sz w:val="17"/>
          <w:szCs w:val="17"/>
          <w:color w:val="auto"/>
        </w:rPr>
        <w:t>Notes to Condensed Consolidated Financial Statements</w:t>
      </w:r>
    </w:p>
    <w:p>
      <w:pPr>
        <w:spacing w:after="0" w:line="3" w:lineRule="exact"/>
        <w:rPr>
          <w:sz w:val="20"/>
          <w:szCs w:val="20"/>
          <w:color w:val="auto"/>
        </w:rPr>
      </w:pPr>
    </w:p>
    <w:p>
      <w:pPr>
        <w:ind w:left="3225"/>
        <w:spacing w:after="0"/>
        <w:rPr>
          <w:sz w:val="20"/>
          <w:szCs w:val="20"/>
          <w:color w:val="auto"/>
        </w:rPr>
      </w:pPr>
      <w:r>
        <w:rPr>
          <w:rFonts w:ascii="Arial" w:cs="Arial" w:eastAsia="Arial" w:hAnsi="Arial"/>
          <w:sz w:val="17"/>
          <w:szCs w:val="17"/>
          <w:color w:val="auto"/>
        </w:rPr>
        <w:t>March 31, 2020 (Unaudited)</w:t>
      </w:r>
    </w:p>
    <w:p>
      <w:pPr>
        <w:spacing w:after="0" w:line="211" w:lineRule="exact"/>
        <w:rPr>
          <w:sz w:val="20"/>
          <w:szCs w:val="20"/>
          <w:color w:val="auto"/>
        </w:rPr>
      </w:pPr>
    </w:p>
    <w:p>
      <w:pPr>
        <w:ind w:left="5" w:right="1979"/>
        <w:spacing w:after="0" w:line="270" w:lineRule="auto"/>
        <w:rPr>
          <w:sz w:val="20"/>
          <w:szCs w:val="20"/>
          <w:color w:val="auto"/>
        </w:rPr>
      </w:pPr>
      <w:r>
        <w:rPr>
          <w:rFonts w:ascii="Arial" w:cs="Arial" w:eastAsia="Arial" w:hAnsi="Arial"/>
          <w:sz w:val="17"/>
          <w:szCs w:val="17"/>
          <w:color w:val="auto"/>
        </w:rPr>
        <w:t>The Company has reviewed other recent accounting pronouncements and has determined that they will not significantly impact the Company’s results of operations or financial position.</w:t>
      </w:r>
    </w:p>
    <w:p>
      <w:pPr>
        <w:spacing w:after="0" w:line="63" w:lineRule="exact"/>
        <w:rPr>
          <w:sz w:val="20"/>
          <w:szCs w:val="20"/>
          <w:color w:val="auto"/>
        </w:rPr>
      </w:pPr>
    </w:p>
    <w:p>
      <w:pPr>
        <w:ind w:left="425" w:hanging="425"/>
        <w:spacing w:after="0"/>
        <w:tabs>
          <w:tab w:leader="none" w:pos="425"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Investments</w:t>
      </w:r>
    </w:p>
    <w:p>
      <w:pPr>
        <w:spacing w:after="0" w:line="109" w:lineRule="exact"/>
        <w:rPr>
          <w:sz w:val="20"/>
          <w:szCs w:val="20"/>
          <w:color w:val="auto"/>
        </w:rPr>
      </w:pPr>
    </w:p>
    <w:p>
      <w:pPr>
        <w:ind w:left="5"/>
        <w:spacing w:after="0"/>
        <w:rPr>
          <w:sz w:val="20"/>
          <w:szCs w:val="20"/>
          <w:color w:val="auto"/>
        </w:rPr>
      </w:pPr>
      <w:r>
        <w:rPr>
          <w:rFonts w:ascii="Arial" w:cs="Arial" w:eastAsia="Arial" w:hAnsi="Arial"/>
          <w:sz w:val="17"/>
          <w:szCs w:val="17"/>
          <w:color w:val="auto"/>
        </w:rPr>
        <w:t>The Company’s investments as of March 31, 2020 are summarized as follows:</w:t>
      </w:r>
    </w:p>
    <w:p>
      <w:pPr>
        <w:spacing w:after="0" w:line="121" w:lineRule="exact"/>
        <w:rPr>
          <w:sz w:val="20"/>
          <w:szCs w:val="20"/>
          <w:color w:val="auto"/>
        </w:rPr>
      </w:pPr>
    </w:p>
    <w:tbl>
      <w:tblPr>
        <w:tblLayout w:type="fixed"/>
        <w:tblInd w:w="5" w:type="dxa"/>
        <w:tblCellMar>
          <w:top w:w="0" w:type="dxa"/>
          <w:left w:w="0" w:type="dxa"/>
          <w:bottom w:w="0" w:type="dxa"/>
          <w:right w:w="0" w:type="dxa"/>
        </w:tblCellMar>
      </w:tblPr>
      <w:tr>
        <w:trPr>
          <w:trHeight w:val="138"/>
        </w:trPr>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2"/>
                <w:szCs w:val="12"/>
                <w:color w:val="auto"/>
                <w:w w:val="87"/>
              </w:rPr>
              <w:t>Gross</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center"/>
              <w:ind w:right="300"/>
              <w:spacing w:after="0" w:line="129" w:lineRule="exact"/>
              <w:rPr>
                <w:sz w:val="20"/>
                <w:szCs w:val="20"/>
                <w:color w:val="auto"/>
              </w:rPr>
            </w:pPr>
            <w:r>
              <w:rPr>
                <w:rFonts w:ascii="Arial" w:cs="Arial" w:eastAsia="Arial" w:hAnsi="Arial"/>
                <w:sz w:val="12"/>
                <w:szCs w:val="12"/>
                <w:color w:val="auto"/>
                <w:w w:val="97"/>
              </w:rPr>
              <w:t>Unrealized</w:t>
            </w:r>
          </w:p>
        </w:tc>
        <w:tc>
          <w:tcPr>
            <w:tcW w:w="1060" w:type="dxa"/>
            <w:vAlign w:val="bottom"/>
            <w:gridSpan w:val="3"/>
          </w:tcPr>
          <w:p>
            <w:pPr>
              <w:jc w:val="center"/>
              <w:ind w:right="140"/>
              <w:spacing w:after="0" w:line="129" w:lineRule="exact"/>
              <w:rPr>
                <w:sz w:val="20"/>
                <w:szCs w:val="20"/>
                <w:color w:val="auto"/>
              </w:rPr>
            </w:pPr>
            <w:r>
              <w:rPr>
                <w:rFonts w:ascii="Arial" w:cs="Arial" w:eastAsia="Arial" w:hAnsi="Arial"/>
                <w:sz w:val="12"/>
                <w:szCs w:val="12"/>
                <w:color w:val="auto"/>
                <w:w w:val="94"/>
              </w:rPr>
              <w:t>Gross Unrealized</w:t>
            </w:r>
          </w:p>
        </w:tc>
        <w:tc>
          <w:tcPr>
            <w:tcW w:w="980" w:type="dxa"/>
            <w:vAlign w:val="bottom"/>
            <w:gridSpan w:val="2"/>
          </w:tcPr>
          <w:p>
            <w:pPr>
              <w:jc w:val="right"/>
              <w:ind w:right="58"/>
              <w:spacing w:after="0" w:line="129" w:lineRule="exact"/>
              <w:rPr>
                <w:sz w:val="20"/>
                <w:szCs w:val="20"/>
                <w:color w:val="auto"/>
              </w:rPr>
            </w:pPr>
            <w:r>
              <w:rPr>
                <w:rFonts w:ascii="Arial" w:cs="Arial" w:eastAsia="Arial" w:hAnsi="Arial"/>
                <w:sz w:val="12"/>
                <w:szCs w:val="12"/>
                <w:color w:val="auto"/>
              </w:rPr>
              <w:t>Estimated Fair</w:t>
            </w:r>
          </w:p>
        </w:tc>
        <w:tc>
          <w:tcPr>
            <w:tcW w:w="0" w:type="dxa"/>
            <w:vAlign w:val="bottom"/>
          </w:tcPr>
          <w:p>
            <w:pPr>
              <w:spacing w:after="0"/>
              <w:rPr>
                <w:sz w:val="1"/>
                <w:szCs w:val="1"/>
                <w:color w:val="auto"/>
              </w:rPr>
            </w:pPr>
          </w:p>
        </w:tc>
      </w:tr>
      <w:tr>
        <w:trPr>
          <w:trHeight w:val="156"/>
        </w:trPr>
        <w:tc>
          <w:tcPr>
            <w:tcW w:w="3740" w:type="dxa"/>
            <w:vAlign w:val="bottom"/>
            <w:gridSpan w:val="3"/>
            <w:vMerge w:val="restart"/>
          </w:tcPr>
          <w:p>
            <w:pPr>
              <w:spacing w:after="0"/>
              <w:rPr>
                <w:sz w:val="20"/>
                <w:szCs w:val="20"/>
                <w:color w:val="auto"/>
              </w:rPr>
            </w:pPr>
            <w:r>
              <w:rPr>
                <w:rFonts w:ascii="Arial" w:cs="Arial" w:eastAsia="Arial" w:hAnsi="Arial"/>
                <w:sz w:val="12"/>
                <w:szCs w:val="12"/>
                <w:color w:val="auto"/>
              </w:rPr>
              <w:t>March 31, 2020: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Amortized Cost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2"/>
                <w:szCs w:val="12"/>
                <w:color w:val="auto"/>
                <w:w w:val="89"/>
              </w:rPr>
              <w:t>Gains</w:t>
            </w:r>
          </w:p>
        </w:tc>
        <w:tc>
          <w:tcPr>
            <w:tcW w:w="240" w:type="dxa"/>
            <w:vAlign w:val="bottom"/>
          </w:tcPr>
          <w:p>
            <w:pPr>
              <w:spacing w:after="0"/>
              <w:rPr>
                <w:sz w:val="13"/>
                <w:szCs w:val="13"/>
                <w:color w:val="auto"/>
              </w:rPr>
            </w:pPr>
          </w:p>
        </w:tc>
        <w:tc>
          <w:tcPr>
            <w:tcW w:w="820" w:type="dxa"/>
            <w:vAlign w:val="bottom"/>
            <w:gridSpan w:val="2"/>
          </w:tcPr>
          <w:p>
            <w:pPr>
              <w:jc w:val="center"/>
              <w:ind w:right="360"/>
              <w:spacing w:after="0"/>
              <w:rPr>
                <w:sz w:val="20"/>
                <w:szCs w:val="20"/>
                <w:color w:val="auto"/>
              </w:rPr>
            </w:pPr>
            <w:r>
              <w:rPr>
                <w:rFonts w:ascii="Arial" w:cs="Arial" w:eastAsia="Arial" w:hAnsi="Arial"/>
                <w:sz w:val="12"/>
                <w:szCs w:val="12"/>
                <w:color w:val="auto"/>
                <w:w w:val="89"/>
              </w:rPr>
              <w:t>Losses</w:t>
            </w:r>
          </w:p>
        </w:tc>
        <w:tc>
          <w:tcPr>
            <w:tcW w:w="240" w:type="dxa"/>
            <w:vAlign w:val="bottom"/>
          </w:tcPr>
          <w:p>
            <w:pPr>
              <w:spacing w:after="0"/>
              <w:rPr>
                <w:sz w:val="13"/>
                <w:szCs w:val="13"/>
                <w:color w:val="auto"/>
              </w:rPr>
            </w:pPr>
          </w:p>
        </w:tc>
        <w:tc>
          <w:tcPr>
            <w:tcW w:w="740" w:type="dxa"/>
            <w:vAlign w:val="bottom"/>
          </w:tcPr>
          <w:p>
            <w:pPr>
              <w:jc w:val="right"/>
              <w:ind w:right="278"/>
              <w:spacing w:after="0"/>
              <w:rPr>
                <w:sz w:val="20"/>
                <w:szCs w:val="20"/>
                <w:color w:val="auto"/>
              </w:rPr>
            </w:pPr>
            <w:r>
              <w:rPr>
                <w:rFonts w:ascii="Arial" w:cs="Arial" w:eastAsia="Arial" w:hAnsi="Arial"/>
                <w:sz w:val="12"/>
                <w:szCs w:val="12"/>
                <w:color w:val="auto"/>
              </w:rPr>
              <w:t>Value</w:t>
            </w:r>
          </w:p>
        </w:tc>
        <w:tc>
          <w:tcPr>
            <w:tcW w:w="0" w:type="dxa"/>
            <w:vAlign w:val="bottom"/>
          </w:tcPr>
          <w:p>
            <w:pPr>
              <w:spacing w:after="0"/>
              <w:rPr>
                <w:sz w:val="1"/>
                <w:szCs w:val="1"/>
                <w:color w:val="auto"/>
              </w:rPr>
            </w:pPr>
          </w:p>
        </w:tc>
      </w:tr>
      <w:tr>
        <w:trPr>
          <w:trHeight w:val="120"/>
        </w:trPr>
        <w:tc>
          <w:tcPr>
            <w:tcW w:w="3740" w:type="dxa"/>
            <w:vAlign w:val="bottom"/>
            <w:gridSpan w:val="3"/>
            <w:vMerge w:val="continue"/>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800" w:type="dxa"/>
            <w:vAlign w:val="bottom"/>
            <w:tcBorders>
              <w:top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2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37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Fixed maturity securities, available for sale, at estimated fair value:</w:t>
            </w: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740" w:type="dxa"/>
            <w:vAlign w:val="bottom"/>
            <w:gridSpan w:val="3"/>
          </w:tcPr>
          <w:p>
            <w:pPr>
              <w:ind w:left="140"/>
              <w:spacing w:after="0"/>
              <w:rPr>
                <w:sz w:val="20"/>
                <w:szCs w:val="20"/>
                <w:color w:val="auto"/>
              </w:rPr>
            </w:pPr>
            <w:r>
              <w:rPr>
                <w:rFonts w:ascii="Arial" w:cs="Arial" w:eastAsia="Arial" w:hAnsi="Arial"/>
                <w:sz w:val="12"/>
                <w:szCs w:val="12"/>
                <w:color w:val="auto"/>
              </w:rPr>
              <w:t>U.S. Treasury securities and obligations of U.S. Government</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3740" w:type="dxa"/>
            <w:vAlign w:val="bottom"/>
            <w:gridSpan w:val="3"/>
          </w:tcPr>
          <w:p>
            <w:pPr>
              <w:spacing w:after="0"/>
              <w:rPr>
                <w:sz w:val="20"/>
                <w:szCs w:val="20"/>
                <w:color w:val="auto"/>
              </w:rPr>
            </w:pPr>
            <w:r>
              <w:rPr>
                <w:rFonts w:ascii="Arial" w:cs="Arial" w:eastAsia="Arial" w:hAnsi="Arial"/>
                <w:sz w:val="12"/>
                <w:szCs w:val="12"/>
                <w:color w:val="auto"/>
              </w:rPr>
              <w:t>agencies</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w w:val="98"/>
              </w:rPr>
              <w:t>112,607,309</w:t>
            </w:r>
          </w:p>
        </w:tc>
        <w:tc>
          <w:tcPr>
            <w:tcW w:w="3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2,088,697</w:t>
            </w:r>
          </w:p>
        </w:tc>
        <w:tc>
          <w:tcPr>
            <w:tcW w:w="14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24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114,696,006</w:t>
            </w:r>
          </w:p>
        </w:tc>
        <w:tc>
          <w:tcPr>
            <w:tcW w:w="0" w:type="dxa"/>
            <w:vAlign w:val="bottom"/>
          </w:tcPr>
          <w:p>
            <w:pPr>
              <w:spacing w:after="0"/>
              <w:rPr>
                <w:sz w:val="1"/>
                <w:szCs w:val="1"/>
                <w:color w:val="auto"/>
              </w:rPr>
            </w:pPr>
          </w:p>
        </w:tc>
      </w:tr>
      <w:tr>
        <w:trPr>
          <w:trHeight w:val="152"/>
        </w:trPr>
        <w:tc>
          <w:tcPr>
            <w:tcW w:w="8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3740" w:type="dxa"/>
            <w:vAlign w:val="bottom"/>
            <w:gridSpan w:val="3"/>
          </w:tcPr>
          <w:p>
            <w:pPr>
              <w:ind w:left="140"/>
              <w:spacing w:after="0"/>
              <w:rPr>
                <w:sz w:val="20"/>
                <w:szCs w:val="20"/>
                <w:color w:val="auto"/>
              </w:rPr>
            </w:pPr>
            <w:r>
              <w:rPr>
                <w:rFonts w:ascii="Arial" w:cs="Arial" w:eastAsia="Arial" w:hAnsi="Arial"/>
                <w:sz w:val="12"/>
                <w:szCs w:val="12"/>
                <w:color w:val="auto"/>
              </w:rPr>
              <w:t>Obligations of states and political subdivisions</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6,399,567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194,880</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(9,121)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6,585,326</w:t>
            </w:r>
          </w:p>
        </w:tc>
        <w:tc>
          <w:tcPr>
            <w:tcW w:w="0" w:type="dxa"/>
            <w:vAlign w:val="bottom"/>
          </w:tcPr>
          <w:p>
            <w:pPr>
              <w:spacing w:after="0"/>
              <w:rPr>
                <w:sz w:val="1"/>
                <w:szCs w:val="1"/>
                <w:color w:val="auto"/>
              </w:rPr>
            </w:pPr>
          </w:p>
        </w:tc>
      </w:tr>
      <w:tr>
        <w:trPr>
          <w:trHeight w:val="152"/>
        </w:trPr>
        <w:tc>
          <w:tcPr>
            <w:tcW w:w="8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3740" w:type="dxa"/>
            <w:vAlign w:val="bottom"/>
            <w:gridSpan w:val="3"/>
          </w:tcPr>
          <w:p>
            <w:pPr>
              <w:ind w:left="140"/>
              <w:spacing w:after="0"/>
              <w:rPr>
                <w:sz w:val="20"/>
                <w:szCs w:val="20"/>
                <w:color w:val="auto"/>
              </w:rPr>
            </w:pPr>
            <w:r>
              <w:rPr>
                <w:rFonts w:ascii="Arial" w:cs="Arial" w:eastAsia="Arial" w:hAnsi="Arial"/>
                <w:sz w:val="12"/>
                <w:szCs w:val="12"/>
                <w:color w:val="auto"/>
              </w:rPr>
              <w:t>Corporate securities including public utilities</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w w:val="98"/>
              </w:rPr>
              <w:t>171,895,973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12,098,857</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(7,611,064)</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176,383,766</w:t>
            </w:r>
          </w:p>
        </w:tc>
        <w:tc>
          <w:tcPr>
            <w:tcW w:w="0" w:type="dxa"/>
            <w:vAlign w:val="bottom"/>
          </w:tcPr>
          <w:p>
            <w:pPr>
              <w:spacing w:after="0"/>
              <w:rPr>
                <w:sz w:val="1"/>
                <w:szCs w:val="1"/>
                <w:color w:val="auto"/>
              </w:rPr>
            </w:pPr>
          </w:p>
        </w:tc>
      </w:tr>
      <w:tr>
        <w:trPr>
          <w:trHeight w:val="152"/>
        </w:trPr>
        <w:tc>
          <w:tcPr>
            <w:tcW w:w="8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3740" w:type="dxa"/>
            <w:vAlign w:val="bottom"/>
            <w:gridSpan w:val="3"/>
          </w:tcPr>
          <w:p>
            <w:pPr>
              <w:ind w:left="140"/>
              <w:spacing w:after="0"/>
              <w:rPr>
                <w:sz w:val="20"/>
                <w:szCs w:val="20"/>
                <w:color w:val="auto"/>
              </w:rPr>
            </w:pPr>
            <w:r>
              <w:rPr>
                <w:rFonts w:ascii="Arial" w:cs="Arial" w:eastAsia="Arial" w:hAnsi="Arial"/>
                <w:sz w:val="12"/>
                <w:szCs w:val="12"/>
                <w:color w:val="auto"/>
              </w:rPr>
              <w:t>Mortgage-backed securities</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31,789,238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634,576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(1,317,320)</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31,106,494</w:t>
            </w:r>
          </w:p>
        </w:tc>
        <w:tc>
          <w:tcPr>
            <w:tcW w:w="0" w:type="dxa"/>
            <w:vAlign w:val="bottom"/>
          </w:tcPr>
          <w:p>
            <w:pPr>
              <w:spacing w:after="0"/>
              <w:rPr>
                <w:sz w:val="1"/>
                <w:szCs w:val="1"/>
                <w:color w:val="auto"/>
              </w:rPr>
            </w:pPr>
          </w:p>
        </w:tc>
      </w:tr>
      <w:tr>
        <w:trPr>
          <w:trHeight w:val="152"/>
        </w:trPr>
        <w:tc>
          <w:tcPr>
            <w:tcW w:w="8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3740" w:type="dxa"/>
            <w:vAlign w:val="bottom"/>
            <w:gridSpan w:val="3"/>
          </w:tcPr>
          <w:p>
            <w:pPr>
              <w:ind w:left="140"/>
              <w:spacing w:after="0"/>
              <w:rPr>
                <w:sz w:val="20"/>
                <w:szCs w:val="20"/>
                <w:color w:val="auto"/>
              </w:rPr>
            </w:pPr>
            <w:r>
              <w:rPr>
                <w:rFonts w:ascii="Arial" w:cs="Arial" w:eastAsia="Arial" w:hAnsi="Arial"/>
                <w:sz w:val="12"/>
                <w:szCs w:val="12"/>
                <w:color w:val="auto"/>
              </w:rPr>
              <w:t>Redeemable preferred stock</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364,339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18,381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(8,750)</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373,970</w:t>
            </w:r>
          </w:p>
        </w:tc>
        <w:tc>
          <w:tcPr>
            <w:tcW w:w="0" w:type="dxa"/>
            <w:vAlign w:val="bottom"/>
          </w:tcPr>
          <w:p>
            <w:pPr>
              <w:spacing w:after="0"/>
              <w:rPr>
                <w:sz w:val="1"/>
                <w:szCs w:val="1"/>
                <w:color w:val="auto"/>
              </w:rPr>
            </w:pPr>
          </w:p>
        </w:tc>
      </w:tr>
      <w:tr>
        <w:trPr>
          <w:trHeight w:val="152"/>
        </w:trPr>
        <w:tc>
          <w:tcPr>
            <w:tcW w:w="8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46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3740" w:type="dxa"/>
            <w:vAlign w:val="bottom"/>
            <w:gridSpan w:val="3"/>
          </w:tcPr>
          <w:p>
            <w:pPr>
              <w:ind w:left="260"/>
              <w:spacing w:after="0"/>
              <w:rPr>
                <w:sz w:val="20"/>
                <w:szCs w:val="20"/>
                <w:color w:val="auto"/>
              </w:rPr>
            </w:pPr>
            <w:r>
              <w:rPr>
                <w:rFonts w:ascii="Arial" w:cs="Arial" w:eastAsia="Arial" w:hAnsi="Arial"/>
                <w:sz w:val="12"/>
                <w:szCs w:val="12"/>
                <w:color w:val="auto"/>
              </w:rPr>
              <w:t>Total fixed maturity securities available for sale</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w w:val="98"/>
              </w:rPr>
              <w:t>323,056,426</w:t>
            </w:r>
          </w:p>
        </w:tc>
        <w:tc>
          <w:tcPr>
            <w:tcW w:w="3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15,035,391</w:t>
            </w:r>
          </w:p>
        </w:tc>
        <w:tc>
          <w:tcPr>
            <w:tcW w:w="140" w:type="dxa"/>
            <w:vAlign w:val="bottom"/>
          </w:tcPr>
          <w:p>
            <w:pPr>
              <w:spacing w:after="0"/>
              <w:rPr>
                <w:sz w:val="22"/>
                <w:szCs w:val="22"/>
                <w:color w:val="auto"/>
              </w:rPr>
            </w:pPr>
          </w:p>
        </w:tc>
        <w:tc>
          <w:tcPr>
            <w:tcW w:w="24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(8,946,255)</w:t>
            </w:r>
          </w:p>
        </w:tc>
        <w:tc>
          <w:tcPr>
            <w:tcW w:w="140" w:type="dxa"/>
            <w:vAlign w:val="bottom"/>
          </w:tcPr>
          <w:p>
            <w:pPr>
              <w:spacing w:after="0"/>
              <w:rPr>
                <w:sz w:val="22"/>
                <w:szCs w:val="22"/>
                <w:color w:val="auto"/>
              </w:rPr>
            </w:pPr>
          </w:p>
        </w:tc>
        <w:tc>
          <w:tcPr>
            <w:tcW w:w="24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329,145,562</w:t>
            </w:r>
          </w:p>
        </w:tc>
        <w:tc>
          <w:tcPr>
            <w:tcW w:w="0" w:type="dxa"/>
            <w:vAlign w:val="bottom"/>
          </w:tcPr>
          <w:p>
            <w:pPr>
              <w:spacing w:after="0"/>
              <w:rPr>
                <w:sz w:val="1"/>
                <w:szCs w:val="1"/>
                <w:color w:val="auto"/>
              </w:rPr>
            </w:pPr>
          </w:p>
        </w:tc>
      </w:tr>
      <w:tr>
        <w:trPr>
          <w:trHeight w:val="127"/>
        </w:trPr>
        <w:tc>
          <w:tcPr>
            <w:tcW w:w="8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24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3740" w:type="dxa"/>
            <w:vAlign w:val="bottom"/>
            <w:gridSpan w:val="3"/>
          </w:tcPr>
          <w:p>
            <w:pPr>
              <w:spacing w:after="0"/>
              <w:rPr>
                <w:sz w:val="20"/>
                <w:szCs w:val="20"/>
                <w:color w:val="auto"/>
              </w:rPr>
            </w:pPr>
            <w:r>
              <w:rPr>
                <w:rFonts w:ascii="Arial" w:cs="Arial" w:eastAsia="Arial" w:hAnsi="Arial"/>
                <w:sz w:val="12"/>
                <w:szCs w:val="12"/>
                <w:color w:val="auto"/>
              </w:rPr>
              <w:t>Equity securities at estimated fair value:</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8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3740" w:type="dxa"/>
            <w:vAlign w:val="bottom"/>
            <w:gridSpan w:val="3"/>
          </w:tcPr>
          <w:p>
            <w:pPr>
              <w:spacing w:after="0"/>
              <w:rPr>
                <w:sz w:val="20"/>
                <w:szCs w:val="20"/>
                <w:color w:val="auto"/>
              </w:rPr>
            </w:pPr>
            <w:r>
              <w:rPr>
                <w:rFonts w:ascii="Arial" w:cs="Arial" w:eastAsia="Arial" w:hAnsi="Arial"/>
                <w:sz w:val="12"/>
                <w:szCs w:val="12"/>
                <w:color w:val="auto"/>
              </w:rPr>
              <w:t>Common stock:</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8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3740" w:type="dxa"/>
            <w:vAlign w:val="bottom"/>
            <w:gridSpan w:val="3"/>
          </w:tcPr>
          <w:p>
            <w:pPr>
              <w:spacing w:after="0"/>
              <w:rPr>
                <w:sz w:val="20"/>
                <w:szCs w:val="20"/>
                <w:color w:val="auto"/>
              </w:rPr>
            </w:pPr>
            <w:r>
              <w:rPr>
                <w:rFonts w:ascii="Arial" w:cs="Arial" w:eastAsia="Arial" w:hAnsi="Arial"/>
                <w:sz w:val="12"/>
                <w:szCs w:val="12"/>
                <w:color w:val="auto"/>
              </w:rPr>
              <w:t>Industrial, miscellaneous and all other</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9,970,160</w:t>
            </w:r>
          </w:p>
        </w:tc>
        <w:tc>
          <w:tcPr>
            <w:tcW w:w="3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786,981</w:t>
            </w:r>
          </w:p>
        </w:tc>
        <w:tc>
          <w:tcPr>
            <w:tcW w:w="140" w:type="dxa"/>
            <w:vAlign w:val="bottom"/>
          </w:tcPr>
          <w:p>
            <w:pPr>
              <w:spacing w:after="0"/>
              <w:rPr>
                <w:sz w:val="20"/>
                <w:szCs w:val="20"/>
                <w:color w:val="auto"/>
              </w:rPr>
            </w:pPr>
          </w:p>
        </w:tc>
        <w:tc>
          <w:tcPr>
            <w:tcW w:w="24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(2,521,196)</w:t>
            </w:r>
          </w:p>
        </w:tc>
        <w:tc>
          <w:tcPr>
            <w:tcW w:w="140" w:type="dxa"/>
            <w:vAlign w:val="bottom"/>
          </w:tcPr>
          <w:p>
            <w:pPr>
              <w:spacing w:after="0"/>
              <w:rPr>
                <w:sz w:val="20"/>
                <w:szCs w:val="20"/>
                <w:color w:val="auto"/>
              </w:rPr>
            </w:pPr>
          </w:p>
        </w:tc>
        <w:tc>
          <w:tcPr>
            <w:tcW w:w="24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8,235,945</w:t>
            </w:r>
          </w:p>
        </w:tc>
        <w:tc>
          <w:tcPr>
            <w:tcW w:w="0" w:type="dxa"/>
            <w:vAlign w:val="bottom"/>
          </w:tcPr>
          <w:p>
            <w:pPr>
              <w:spacing w:after="0"/>
              <w:rPr>
                <w:sz w:val="1"/>
                <w:szCs w:val="1"/>
                <w:color w:val="auto"/>
              </w:rPr>
            </w:pPr>
          </w:p>
        </w:tc>
      </w:tr>
      <w:tr>
        <w:trPr>
          <w:trHeight w:val="144"/>
        </w:trPr>
        <w:tc>
          <w:tcPr>
            <w:tcW w:w="8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24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4"/>
        </w:trPr>
        <w:tc>
          <w:tcPr>
            <w:tcW w:w="3740" w:type="dxa"/>
            <w:vAlign w:val="bottom"/>
            <w:gridSpan w:val="3"/>
          </w:tcPr>
          <w:p>
            <w:pPr>
              <w:ind w:left="140"/>
              <w:spacing w:after="0"/>
              <w:rPr>
                <w:sz w:val="20"/>
                <w:szCs w:val="20"/>
                <w:color w:val="auto"/>
              </w:rPr>
            </w:pPr>
            <w:r>
              <w:rPr>
                <w:rFonts w:ascii="Arial" w:cs="Arial" w:eastAsia="Arial" w:hAnsi="Arial"/>
                <w:sz w:val="12"/>
                <w:szCs w:val="12"/>
                <w:color w:val="auto"/>
              </w:rPr>
              <w:t>Total equity securities at estimated fair value</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9,970,160</w:t>
            </w:r>
          </w:p>
        </w:tc>
        <w:tc>
          <w:tcPr>
            <w:tcW w:w="3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786,981</w:t>
            </w:r>
          </w:p>
        </w:tc>
        <w:tc>
          <w:tcPr>
            <w:tcW w:w="140" w:type="dxa"/>
            <w:vAlign w:val="bottom"/>
          </w:tcPr>
          <w:p>
            <w:pPr>
              <w:spacing w:after="0"/>
              <w:rPr>
                <w:sz w:val="23"/>
                <w:szCs w:val="23"/>
                <w:color w:val="auto"/>
              </w:rPr>
            </w:pPr>
          </w:p>
        </w:tc>
        <w:tc>
          <w:tcPr>
            <w:tcW w:w="24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(2,521,196)</w:t>
            </w:r>
          </w:p>
        </w:tc>
        <w:tc>
          <w:tcPr>
            <w:tcW w:w="140" w:type="dxa"/>
            <w:vAlign w:val="bottom"/>
          </w:tcPr>
          <w:p>
            <w:pPr>
              <w:spacing w:after="0"/>
              <w:rPr>
                <w:sz w:val="23"/>
                <w:szCs w:val="23"/>
                <w:color w:val="auto"/>
              </w:rPr>
            </w:pPr>
          </w:p>
        </w:tc>
        <w:tc>
          <w:tcPr>
            <w:tcW w:w="24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8,235,945</w:t>
            </w:r>
          </w:p>
        </w:tc>
        <w:tc>
          <w:tcPr>
            <w:tcW w:w="0" w:type="dxa"/>
            <w:vAlign w:val="bottom"/>
          </w:tcPr>
          <w:p>
            <w:pPr>
              <w:spacing w:after="0"/>
              <w:rPr>
                <w:sz w:val="1"/>
                <w:szCs w:val="1"/>
                <w:color w:val="auto"/>
              </w:rPr>
            </w:pPr>
          </w:p>
        </w:tc>
      </w:tr>
      <w:tr>
        <w:trPr>
          <w:trHeight w:val="127"/>
        </w:trPr>
        <w:tc>
          <w:tcPr>
            <w:tcW w:w="8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24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3740" w:type="dxa"/>
            <w:vAlign w:val="bottom"/>
            <w:gridSpan w:val="3"/>
          </w:tcPr>
          <w:p>
            <w:pPr>
              <w:spacing w:after="0"/>
              <w:rPr>
                <w:sz w:val="20"/>
                <w:szCs w:val="20"/>
                <w:color w:val="auto"/>
              </w:rPr>
            </w:pPr>
            <w:r>
              <w:rPr>
                <w:rFonts w:ascii="Arial" w:cs="Arial" w:eastAsia="Arial" w:hAnsi="Arial"/>
                <w:sz w:val="12"/>
                <w:szCs w:val="12"/>
                <w:color w:val="auto"/>
              </w:rPr>
              <w:t>Mortgage loans held for investment at amortized cost:</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740" w:type="dxa"/>
            <w:vAlign w:val="bottom"/>
            <w:gridSpan w:val="3"/>
            <w:shd w:val="clear" w:color="auto" w:fill="CCEEFF"/>
          </w:tcPr>
          <w:p>
            <w:pPr>
              <w:ind w:left="260"/>
              <w:spacing w:after="0"/>
              <w:rPr>
                <w:sz w:val="20"/>
                <w:szCs w:val="20"/>
                <w:color w:val="auto"/>
              </w:rPr>
            </w:pPr>
            <w:r>
              <w:rPr>
                <w:rFonts w:ascii="Arial" w:cs="Arial" w:eastAsia="Arial" w:hAnsi="Arial"/>
                <w:sz w:val="12"/>
                <w:szCs w:val="12"/>
                <w:color w:val="auto"/>
              </w:rPr>
              <w:t>Residential</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117,696,147</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740" w:type="dxa"/>
            <w:vAlign w:val="bottom"/>
            <w:gridSpan w:val="3"/>
          </w:tcPr>
          <w:p>
            <w:pPr>
              <w:ind w:left="260"/>
              <w:spacing w:after="0"/>
              <w:rPr>
                <w:sz w:val="20"/>
                <w:szCs w:val="20"/>
                <w:color w:val="auto"/>
              </w:rPr>
            </w:pPr>
            <w:r>
              <w:rPr>
                <w:rFonts w:ascii="Arial" w:cs="Arial" w:eastAsia="Arial" w:hAnsi="Arial"/>
                <w:sz w:val="12"/>
                <w:szCs w:val="12"/>
                <w:color w:val="auto"/>
              </w:rPr>
              <w:t>Residential construction</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93,590,770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740" w:type="dxa"/>
            <w:vAlign w:val="bottom"/>
            <w:gridSpan w:val="3"/>
            <w:shd w:val="clear" w:color="auto" w:fill="CCEEFF"/>
          </w:tcPr>
          <w:p>
            <w:pPr>
              <w:ind w:left="260"/>
              <w:spacing w:after="0"/>
              <w:rPr>
                <w:sz w:val="20"/>
                <w:szCs w:val="20"/>
                <w:color w:val="auto"/>
              </w:rPr>
            </w:pPr>
            <w:r>
              <w:rPr>
                <w:rFonts w:ascii="Arial" w:cs="Arial" w:eastAsia="Arial" w:hAnsi="Arial"/>
                <w:sz w:val="12"/>
                <w:szCs w:val="12"/>
                <w:color w:val="auto"/>
              </w:rPr>
              <w:t>Commercial</w:t>
            </w: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44,604,661</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740" w:type="dxa"/>
            <w:vAlign w:val="bottom"/>
            <w:gridSpan w:val="3"/>
          </w:tcPr>
          <w:p>
            <w:pPr>
              <w:ind w:left="260"/>
              <w:spacing w:after="0"/>
              <w:rPr>
                <w:sz w:val="20"/>
                <w:szCs w:val="20"/>
                <w:color w:val="auto"/>
              </w:rPr>
            </w:pPr>
            <w:r>
              <w:rPr>
                <w:rFonts w:ascii="Arial" w:cs="Arial" w:eastAsia="Arial" w:hAnsi="Arial"/>
                <w:sz w:val="12"/>
                <w:szCs w:val="12"/>
                <w:color w:val="auto"/>
              </w:rPr>
              <w:t>Less: Unamortized deferred loan fees, net</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(2,169,620)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740" w:type="dxa"/>
            <w:vAlign w:val="bottom"/>
            <w:gridSpan w:val="3"/>
            <w:shd w:val="clear" w:color="auto" w:fill="CCEEFF"/>
          </w:tcPr>
          <w:p>
            <w:pPr>
              <w:ind w:left="260"/>
              <w:spacing w:after="0"/>
              <w:rPr>
                <w:sz w:val="20"/>
                <w:szCs w:val="20"/>
                <w:color w:val="auto"/>
              </w:rPr>
            </w:pPr>
            <w:r>
              <w:rPr>
                <w:rFonts w:ascii="Arial" w:cs="Arial" w:eastAsia="Arial" w:hAnsi="Arial"/>
                <w:sz w:val="12"/>
                <w:szCs w:val="12"/>
                <w:color w:val="auto"/>
              </w:rPr>
              <w:t>Less: Allowance for loan losses</w:t>
            </w: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(2,089,670)</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740" w:type="dxa"/>
            <w:vAlign w:val="bottom"/>
            <w:tcBorders>
              <w:bottom w:val="single" w:sz="8" w:color="CCEEFF"/>
            </w:tcBorders>
            <w:gridSpan w:val="3"/>
          </w:tcPr>
          <w:p>
            <w:pPr>
              <w:ind w:left="260"/>
              <w:spacing w:after="0"/>
              <w:rPr>
                <w:sz w:val="20"/>
                <w:szCs w:val="20"/>
                <w:color w:val="auto"/>
              </w:rPr>
            </w:pPr>
            <w:r>
              <w:rPr>
                <w:rFonts w:ascii="Arial" w:cs="Arial" w:eastAsia="Arial" w:hAnsi="Arial"/>
                <w:sz w:val="12"/>
                <w:szCs w:val="12"/>
                <w:color w:val="auto"/>
              </w:rPr>
              <w:t>Less: Net discounts</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(1,227,769)</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4"/>
        </w:trPr>
        <w:tc>
          <w:tcPr>
            <w:tcW w:w="3740" w:type="dxa"/>
            <w:vAlign w:val="bottom"/>
            <w:tcBorders>
              <w:bottom w:val="single" w:sz="8" w:color="CCEEFF"/>
            </w:tcBorders>
            <w:gridSpan w:val="3"/>
          </w:tcPr>
          <w:p>
            <w:pPr>
              <w:spacing w:after="0"/>
              <w:rPr>
                <w:sz w:val="20"/>
                <w:szCs w:val="20"/>
                <w:color w:val="auto"/>
              </w:rPr>
            </w:pPr>
            <w:r>
              <w:rPr>
                <w:rFonts w:ascii="Arial" w:cs="Arial" w:eastAsia="Arial" w:hAnsi="Arial"/>
                <w:sz w:val="12"/>
                <w:szCs w:val="12"/>
                <w:color w:val="auto"/>
              </w:rPr>
              <w:t>Total mortgage loans held for investment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8"/>
              </w:rPr>
              <w:t>250,404,519</w:t>
            </w:r>
          </w:p>
        </w:tc>
        <w:tc>
          <w:tcPr>
            <w:tcW w:w="14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7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68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7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27"/>
        </w:trPr>
        <w:tc>
          <w:tcPr>
            <w:tcW w:w="8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92"/>
        </w:trPr>
        <w:tc>
          <w:tcPr>
            <w:tcW w:w="3740" w:type="dxa"/>
            <w:vAlign w:val="bottom"/>
            <w:gridSpan w:val="3"/>
          </w:tcPr>
          <w:p>
            <w:pPr>
              <w:spacing w:after="0"/>
              <w:rPr>
                <w:sz w:val="20"/>
                <w:szCs w:val="20"/>
                <w:color w:val="auto"/>
              </w:rPr>
            </w:pPr>
            <w:r>
              <w:rPr>
                <w:rFonts w:ascii="Arial" w:cs="Arial" w:eastAsia="Arial" w:hAnsi="Arial"/>
                <w:sz w:val="12"/>
                <w:szCs w:val="12"/>
                <w:color w:val="auto"/>
              </w:rPr>
              <w:t>Real estate held for investment - net of accumulated depreciation:</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740" w:type="dxa"/>
            <w:vAlign w:val="bottom"/>
            <w:gridSpan w:val="3"/>
            <w:shd w:val="clear" w:color="auto" w:fill="CCEEFF"/>
          </w:tcPr>
          <w:p>
            <w:pPr>
              <w:ind w:left="260"/>
              <w:spacing w:after="0"/>
              <w:rPr>
                <w:sz w:val="20"/>
                <w:szCs w:val="20"/>
                <w:color w:val="auto"/>
              </w:rPr>
            </w:pPr>
            <w:r>
              <w:rPr>
                <w:rFonts w:ascii="Arial" w:cs="Arial" w:eastAsia="Arial" w:hAnsi="Arial"/>
                <w:sz w:val="12"/>
                <w:szCs w:val="12"/>
                <w:color w:val="auto"/>
              </w:rPr>
              <w:t>Residential</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10,939,769</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740" w:type="dxa"/>
            <w:vAlign w:val="bottom"/>
            <w:tcBorders>
              <w:bottom w:val="single" w:sz="8" w:color="CCEEFF"/>
            </w:tcBorders>
            <w:gridSpan w:val="3"/>
          </w:tcPr>
          <w:p>
            <w:pPr>
              <w:ind w:left="260"/>
              <w:spacing w:after="0"/>
              <w:rPr>
                <w:sz w:val="20"/>
                <w:szCs w:val="20"/>
                <w:color w:val="auto"/>
              </w:rPr>
            </w:pPr>
            <w:r>
              <w:rPr>
                <w:rFonts w:ascii="Arial" w:cs="Arial" w:eastAsia="Arial" w:hAnsi="Arial"/>
                <w:sz w:val="12"/>
                <w:szCs w:val="12"/>
                <w:color w:val="auto"/>
              </w:rPr>
              <w:t>Commercial</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91,976,650</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4"/>
        </w:trPr>
        <w:tc>
          <w:tcPr>
            <w:tcW w:w="3740" w:type="dxa"/>
            <w:vAlign w:val="bottom"/>
            <w:tcBorders>
              <w:bottom w:val="single" w:sz="8" w:color="CCEEFF"/>
            </w:tcBorders>
            <w:gridSpan w:val="3"/>
          </w:tcPr>
          <w:p>
            <w:pPr>
              <w:spacing w:after="0"/>
              <w:rPr>
                <w:sz w:val="20"/>
                <w:szCs w:val="20"/>
                <w:color w:val="auto"/>
              </w:rPr>
            </w:pPr>
            <w:r>
              <w:rPr>
                <w:rFonts w:ascii="Arial" w:cs="Arial" w:eastAsia="Arial" w:hAnsi="Arial"/>
                <w:sz w:val="12"/>
                <w:szCs w:val="12"/>
                <w:color w:val="auto"/>
              </w:rPr>
              <w:t>Total real estate held for investment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8"/>
              </w:rPr>
              <w:t>102,916,419</w:t>
            </w:r>
          </w:p>
        </w:tc>
        <w:tc>
          <w:tcPr>
            <w:tcW w:w="14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7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68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7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27"/>
        </w:trPr>
        <w:tc>
          <w:tcPr>
            <w:tcW w:w="8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92"/>
        </w:trPr>
        <w:tc>
          <w:tcPr>
            <w:tcW w:w="3740" w:type="dxa"/>
            <w:vAlign w:val="bottom"/>
            <w:gridSpan w:val="3"/>
          </w:tcPr>
          <w:p>
            <w:pPr>
              <w:spacing w:after="0"/>
              <w:rPr>
                <w:sz w:val="20"/>
                <w:szCs w:val="20"/>
                <w:color w:val="auto"/>
              </w:rPr>
            </w:pPr>
            <w:r>
              <w:rPr>
                <w:rFonts w:ascii="Arial" w:cs="Arial" w:eastAsia="Arial" w:hAnsi="Arial"/>
                <w:sz w:val="12"/>
                <w:szCs w:val="12"/>
                <w:color w:val="auto"/>
              </w:rPr>
              <w:t>Real estate held for sale:</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740" w:type="dxa"/>
            <w:vAlign w:val="bottom"/>
            <w:gridSpan w:val="3"/>
            <w:shd w:val="clear" w:color="auto" w:fill="CCEEFF"/>
          </w:tcPr>
          <w:p>
            <w:pPr>
              <w:ind w:left="260"/>
              <w:spacing w:after="0"/>
              <w:rPr>
                <w:sz w:val="20"/>
                <w:szCs w:val="20"/>
                <w:color w:val="auto"/>
              </w:rPr>
            </w:pPr>
            <w:r>
              <w:rPr>
                <w:rFonts w:ascii="Arial" w:cs="Arial" w:eastAsia="Arial" w:hAnsi="Arial"/>
                <w:sz w:val="12"/>
                <w:szCs w:val="12"/>
                <w:color w:val="auto"/>
              </w:rPr>
              <w:t>Residential</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5,648,111</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740" w:type="dxa"/>
            <w:vAlign w:val="bottom"/>
            <w:tcBorders>
              <w:bottom w:val="single" w:sz="8" w:color="CCEEFF"/>
            </w:tcBorders>
            <w:gridSpan w:val="3"/>
          </w:tcPr>
          <w:p>
            <w:pPr>
              <w:ind w:left="260"/>
              <w:spacing w:after="0"/>
              <w:rPr>
                <w:sz w:val="20"/>
                <w:szCs w:val="20"/>
                <w:color w:val="auto"/>
              </w:rPr>
            </w:pPr>
            <w:r>
              <w:rPr>
                <w:rFonts w:ascii="Arial" w:cs="Arial" w:eastAsia="Arial" w:hAnsi="Arial"/>
                <w:sz w:val="12"/>
                <w:szCs w:val="12"/>
                <w:color w:val="auto"/>
              </w:rPr>
              <w:t>Commercial</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6,076,321</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4"/>
        </w:trPr>
        <w:tc>
          <w:tcPr>
            <w:tcW w:w="3740" w:type="dxa"/>
            <w:vAlign w:val="bottom"/>
            <w:tcBorders>
              <w:bottom w:val="single" w:sz="8" w:color="CCEEFF"/>
            </w:tcBorders>
            <w:gridSpan w:val="3"/>
          </w:tcPr>
          <w:p>
            <w:pPr>
              <w:spacing w:after="0"/>
              <w:rPr>
                <w:sz w:val="20"/>
                <w:szCs w:val="20"/>
                <w:color w:val="auto"/>
              </w:rPr>
            </w:pPr>
            <w:r>
              <w:rPr>
                <w:rFonts w:ascii="Arial" w:cs="Arial" w:eastAsia="Arial" w:hAnsi="Arial"/>
                <w:sz w:val="12"/>
                <w:szCs w:val="12"/>
                <w:color w:val="auto"/>
              </w:rPr>
              <w:t>Total real estate held for sale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11,724,432</w:t>
            </w:r>
          </w:p>
        </w:tc>
        <w:tc>
          <w:tcPr>
            <w:tcW w:w="14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7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68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7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27"/>
        </w:trPr>
        <w:tc>
          <w:tcPr>
            <w:tcW w:w="8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3740" w:type="dxa"/>
            <w:vAlign w:val="bottom"/>
            <w:gridSpan w:val="3"/>
          </w:tcPr>
          <w:p>
            <w:pPr>
              <w:spacing w:after="0"/>
              <w:rPr>
                <w:sz w:val="20"/>
                <w:szCs w:val="20"/>
                <w:color w:val="auto"/>
              </w:rPr>
            </w:pPr>
            <w:r>
              <w:rPr>
                <w:rFonts w:ascii="Arial" w:cs="Arial" w:eastAsia="Arial" w:hAnsi="Arial"/>
                <w:sz w:val="12"/>
                <w:szCs w:val="12"/>
                <w:color w:val="auto"/>
              </w:rPr>
              <w:t>Other investments and policy loans at amortized cost:</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740" w:type="dxa"/>
            <w:vAlign w:val="bottom"/>
            <w:gridSpan w:val="3"/>
            <w:shd w:val="clear" w:color="auto" w:fill="CCEEFF"/>
          </w:tcPr>
          <w:p>
            <w:pPr>
              <w:ind w:left="260"/>
              <w:spacing w:after="0"/>
              <w:rPr>
                <w:sz w:val="20"/>
                <w:szCs w:val="20"/>
                <w:color w:val="auto"/>
              </w:rPr>
            </w:pPr>
            <w:r>
              <w:rPr>
                <w:rFonts w:ascii="Arial" w:cs="Arial" w:eastAsia="Arial" w:hAnsi="Arial"/>
                <w:sz w:val="12"/>
                <w:szCs w:val="12"/>
                <w:color w:val="auto"/>
              </w:rPr>
              <w:t>Policy loans</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14,617,151</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740" w:type="dxa"/>
            <w:vAlign w:val="bottom"/>
            <w:gridSpan w:val="3"/>
          </w:tcPr>
          <w:p>
            <w:pPr>
              <w:ind w:left="260"/>
              <w:spacing w:after="0"/>
              <w:rPr>
                <w:sz w:val="20"/>
                <w:szCs w:val="20"/>
                <w:color w:val="auto"/>
              </w:rPr>
            </w:pPr>
            <w:r>
              <w:rPr>
                <w:rFonts w:ascii="Arial" w:cs="Arial" w:eastAsia="Arial" w:hAnsi="Arial"/>
                <w:sz w:val="12"/>
                <w:szCs w:val="12"/>
                <w:color w:val="auto"/>
              </w:rPr>
              <w:t>Insurance assignments</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38,444,267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740" w:type="dxa"/>
            <w:vAlign w:val="bottom"/>
            <w:gridSpan w:val="3"/>
            <w:shd w:val="clear" w:color="auto" w:fill="CCEEFF"/>
          </w:tcPr>
          <w:p>
            <w:pPr>
              <w:ind w:left="260"/>
              <w:spacing w:after="0"/>
              <w:rPr>
                <w:sz w:val="20"/>
                <w:szCs w:val="20"/>
                <w:color w:val="auto"/>
              </w:rPr>
            </w:pPr>
            <w:r>
              <w:rPr>
                <w:rFonts w:ascii="Arial" w:cs="Arial" w:eastAsia="Arial" w:hAnsi="Arial"/>
                <w:sz w:val="12"/>
                <w:szCs w:val="12"/>
                <w:color w:val="auto"/>
              </w:rPr>
              <w:t>Federal Home Loan Bank stock (1)</w:t>
            </w: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1,674,400</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3740" w:type="dxa"/>
            <w:vAlign w:val="bottom"/>
            <w:gridSpan w:val="3"/>
          </w:tcPr>
          <w:p>
            <w:pPr>
              <w:ind w:left="260"/>
              <w:spacing w:after="0"/>
              <w:rPr>
                <w:sz w:val="20"/>
                <w:szCs w:val="20"/>
                <w:color w:val="auto"/>
              </w:rPr>
            </w:pPr>
            <w:r>
              <w:rPr>
                <w:rFonts w:ascii="Arial" w:cs="Arial" w:eastAsia="Arial" w:hAnsi="Arial"/>
                <w:sz w:val="12"/>
                <w:szCs w:val="12"/>
                <w:color w:val="auto"/>
              </w:rPr>
              <w:t>Other investments</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5,240,438</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740" w:type="dxa"/>
            <w:vAlign w:val="bottom"/>
            <w:gridSpan w:val="3"/>
            <w:shd w:val="clear" w:color="auto" w:fill="CCEEFF"/>
          </w:tcPr>
          <w:p>
            <w:pPr>
              <w:ind w:left="260"/>
              <w:spacing w:after="0"/>
              <w:rPr>
                <w:sz w:val="20"/>
                <w:szCs w:val="20"/>
                <w:color w:val="auto"/>
              </w:rPr>
            </w:pPr>
            <w:r>
              <w:rPr>
                <w:rFonts w:ascii="Arial" w:cs="Arial" w:eastAsia="Arial" w:hAnsi="Arial"/>
                <w:sz w:val="12"/>
                <w:szCs w:val="12"/>
                <w:color w:val="auto"/>
              </w:rPr>
              <w:t>Less: Allowance for doubtful accounts</w:t>
            </w:r>
          </w:p>
        </w:tc>
        <w:tc>
          <w:tcPr>
            <w:tcW w:w="2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(1,489,113)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3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2"/>
                <w:szCs w:val="12"/>
                <w:color w:val="auto"/>
              </w:rPr>
              <w:t>Total policy loans and other investments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58,487,143</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3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2"/>
                <w:szCs w:val="12"/>
                <w:color w:val="auto"/>
              </w:rPr>
              <w:t>Accrued investment income</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5,757,535</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3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2"/>
                <w:szCs w:val="12"/>
                <w:color w:val="auto"/>
              </w:rPr>
              <w:t>Total investments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8"/>
              </w:rPr>
              <w:t>766,671,555</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8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24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ind w:left="5"/>
        <w:spacing w:after="0"/>
        <w:rPr>
          <w:sz w:val="20"/>
          <w:szCs w:val="20"/>
          <w:color w:val="auto"/>
        </w:rPr>
      </w:pPr>
      <w:r>
        <w:rPr>
          <w:rFonts w:ascii="Arial" w:cs="Arial" w:eastAsia="Arial" w:hAnsi="Arial"/>
          <w:sz w:val="12"/>
          <w:szCs w:val="12"/>
          <w:color w:val="auto"/>
        </w:rPr>
        <w:t>(1) Includes $874,400 of Membership stock and $800,000 of Activity stock due to short-term borrowings.</w:t>
      </w:r>
    </w:p>
    <w:p>
      <w:pPr>
        <w:spacing w:after="0" w:line="257" w:lineRule="exact"/>
        <w:rPr>
          <w:sz w:val="20"/>
          <w:szCs w:val="20"/>
          <w:color w:val="auto"/>
        </w:rPr>
      </w:pPr>
    </w:p>
    <w:p>
      <w:pPr>
        <w:ind w:left="3845"/>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498983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89830" cy="29845"/>
                    </a:xfrm>
                    <a:prstGeom prst="rect">
                      <a:avLst/>
                    </a:prstGeom>
                    <a:noFill/>
                  </pic:spPr>
                </pic:pic>
              </a:graphicData>
            </a:graphic>
          </wp:anchor>
        </w:drawing>
      </w:r>
    </w:p>
    <w:p>
      <w:pPr>
        <w:sectPr>
          <w:pgSz w:w="11900" w:h="16838" w:orient="portrait"/>
          <w:cols w:equalWidth="0" w:num="1">
            <w:col w:w="9304"/>
          </w:cols>
          <w:pgMar w:left="1155" w:top="382" w:right="1440" w:bottom="646" w:gutter="0" w:footer="0" w:header="0"/>
        </w:sectPr>
      </w:pPr>
    </w:p>
    <w:bookmarkStart w:id="12" w:name="page13"/>
    <w:bookmarkEnd w:id="12"/>
    <w:p>
      <w:pPr>
        <w:jc w:val="center"/>
        <w:ind w:left="1160" w:right="1140"/>
        <w:spacing w:after="0" w:line="257" w:lineRule="auto"/>
        <w:rPr>
          <w:sz w:val="20"/>
          <w:szCs w:val="20"/>
          <w:color w:val="auto"/>
        </w:rPr>
      </w:pPr>
      <w:r>
        <w:rPr>
          <w:rFonts w:ascii="Arial" w:cs="Arial" w:eastAsia="Arial" w:hAnsi="Arial"/>
          <w:sz w:val="17"/>
          <w:szCs w:val="17"/>
          <w:color w:val="auto"/>
        </w:rPr>
        <w:t>SECURITY NATIONAL FINANCIAL CORPORATION AND SUBSIDIARIES Notes to Condensed Consolidated Financial Statements March 31, 2020 (Unaudited)</w:t>
      </w:r>
    </w:p>
    <w:p>
      <w:pPr>
        <w:spacing w:after="0" w:line="97" w:lineRule="exact"/>
        <w:rPr>
          <w:sz w:val="20"/>
          <w:szCs w:val="20"/>
          <w:color w:val="auto"/>
        </w:rPr>
      </w:pPr>
    </w:p>
    <w:p>
      <w:pPr>
        <w:ind w:left="425" w:hanging="425"/>
        <w:spacing w:after="0"/>
        <w:tabs>
          <w:tab w:leader="none" w:pos="425"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Investments</w:t>
      </w:r>
      <w:r>
        <w:rPr>
          <w:rFonts w:ascii="Arial" w:cs="Arial" w:eastAsia="Arial" w:hAnsi="Arial"/>
          <w:sz w:val="17"/>
          <w:szCs w:val="17"/>
          <w:color w:val="auto"/>
        </w:rPr>
        <w:t xml:space="preserve"> (Continued)</w:t>
      </w:r>
    </w:p>
    <w:p>
      <w:pPr>
        <w:spacing w:after="0" w:line="225" w:lineRule="exact"/>
        <w:rPr>
          <w:sz w:val="20"/>
          <w:szCs w:val="20"/>
          <w:color w:val="auto"/>
        </w:rPr>
      </w:pPr>
    </w:p>
    <w:p>
      <w:pPr>
        <w:ind w:left="5"/>
        <w:spacing w:after="0"/>
        <w:rPr>
          <w:sz w:val="20"/>
          <w:szCs w:val="20"/>
          <w:color w:val="auto"/>
        </w:rPr>
      </w:pPr>
      <w:r>
        <w:rPr>
          <w:rFonts w:ascii="Arial" w:cs="Arial" w:eastAsia="Arial" w:hAnsi="Arial"/>
          <w:sz w:val="17"/>
          <w:szCs w:val="17"/>
          <w:color w:val="auto"/>
        </w:rPr>
        <w:t>The Company’s investments as of December 31, 2019 are summarized as follows:</w:t>
      </w:r>
    </w:p>
    <w:p>
      <w:pPr>
        <w:spacing w:after="0" w:line="309" w:lineRule="exact"/>
        <w:rPr>
          <w:sz w:val="20"/>
          <w:szCs w:val="20"/>
          <w:color w:val="auto"/>
        </w:rPr>
      </w:pPr>
    </w:p>
    <w:tbl>
      <w:tblPr>
        <w:tblLayout w:type="fixed"/>
        <w:tblInd w:w="5" w:type="dxa"/>
        <w:tblCellMar>
          <w:top w:w="0" w:type="dxa"/>
          <w:left w:w="0" w:type="dxa"/>
          <w:bottom w:w="0" w:type="dxa"/>
          <w:right w:w="0" w:type="dxa"/>
        </w:tblCellMar>
      </w:tblPr>
      <w:tr>
        <w:trPr>
          <w:trHeight w:val="138"/>
        </w:trPr>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2"/>
                <w:szCs w:val="12"/>
                <w:color w:val="auto"/>
                <w:w w:val="87"/>
              </w:rPr>
              <w:t>Gross</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29"/>
        </w:trPr>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center"/>
              <w:ind w:right="300"/>
              <w:spacing w:after="0" w:line="129" w:lineRule="exact"/>
              <w:rPr>
                <w:sz w:val="20"/>
                <w:szCs w:val="20"/>
                <w:color w:val="auto"/>
              </w:rPr>
            </w:pPr>
            <w:r>
              <w:rPr>
                <w:rFonts w:ascii="Arial" w:cs="Arial" w:eastAsia="Arial" w:hAnsi="Arial"/>
                <w:sz w:val="12"/>
                <w:szCs w:val="12"/>
                <w:color w:val="auto"/>
                <w:w w:val="97"/>
              </w:rPr>
              <w:t>Unrealized</w:t>
            </w:r>
          </w:p>
        </w:tc>
        <w:tc>
          <w:tcPr>
            <w:tcW w:w="1060" w:type="dxa"/>
            <w:vAlign w:val="bottom"/>
            <w:gridSpan w:val="3"/>
          </w:tcPr>
          <w:p>
            <w:pPr>
              <w:jc w:val="center"/>
              <w:ind w:right="140"/>
              <w:spacing w:after="0" w:line="129" w:lineRule="exact"/>
              <w:rPr>
                <w:sz w:val="20"/>
                <w:szCs w:val="20"/>
                <w:color w:val="auto"/>
              </w:rPr>
            </w:pPr>
            <w:r>
              <w:rPr>
                <w:rFonts w:ascii="Arial" w:cs="Arial" w:eastAsia="Arial" w:hAnsi="Arial"/>
                <w:sz w:val="12"/>
                <w:szCs w:val="12"/>
                <w:color w:val="auto"/>
                <w:w w:val="94"/>
              </w:rPr>
              <w:t>Gross Unrealized</w:t>
            </w:r>
          </w:p>
        </w:tc>
        <w:tc>
          <w:tcPr>
            <w:tcW w:w="980" w:type="dxa"/>
            <w:vAlign w:val="bottom"/>
            <w:gridSpan w:val="2"/>
          </w:tcPr>
          <w:p>
            <w:pPr>
              <w:jc w:val="right"/>
              <w:ind w:right="58"/>
              <w:spacing w:after="0" w:line="129" w:lineRule="exact"/>
              <w:rPr>
                <w:sz w:val="20"/>
                <w:szCs w:val="20"/>
                <w:color w:val="auto"/>
              </w:rPr>
            </w:pPr>
            <w:r>
              <w:rPr>
                <w:rFonts w:ascii="Arial" w:cs="Arial" w:eastAsia="Arial" w:hAnsi="Arial"/>
                <w:sz w:val="12"/>
                <w:szCs w:val="12"/>
                <w:color w:val="auto"/>
              </w:rPr>
              <w:t>Estimated Fair</w:t>
            </w:r>
          </w:p>
        </w:tc>
      </w:tr>
      <w:tr>
        <w:trPr>
          <w:trHeight w:val="156"/>
        </w:trPr>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Amortized Cost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2"/>
                <w:szCs w:val="12"/>
                <w:color w:val="auto"/>
                <w:w w:val="89"/>
              </w:rPr>
              <w:t>Gains</w:t>
            </w:r>
          </w:p>
        </w:tc>
        <w:tc>
          <w:tcPr>
            <w:tcW w:w="220" w:type="dxa"/>
            <w:vAlign w:val="bottom"/>
          </w:tcPr>
          <w:p>
            <w:pPr>
              <w:spacing w:after="0"/>
              <w:rPr>
                <w:sz w:val="13"/>
                <w:szCs w:val="13"/>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2"/>
                <w:szCs w:val="12"/>
                <w:color w:val="auto"/>
                <w:w w:val="89"/>
              </w:rPr>
              <w:t>Losses</w:t>
            </w:r>
          </w:p>
        </w:tc>
        <w:tc>
          <w:tcPr>
            <w:tcW w:w="240" w:type="dxa"/>
            <w:vAlign w:val="bottom"/>
          </w:tcPr>
          <w:p>
            <w:pPr>
              <w:spacing w:after="0"/>
              <w:rPr>
                <w:sz w:val="13"/>
                <w:szCs w:val="13"/>
                <w:color w:val="auto"/>
              </w:rPr>
            </w:pPr>
          </w:p>
        </w:tc>
        <w:tc>
          <w:tcPr>
            <w:tcW w:w="740" w:type="dxa"/>
            <w:vAlign w:val="bottom"/>
          </w:tcPr>
          <w:p>
            <w:pPr>
              <w:jc w:val="right"/>
              <w:ind w:right="278"/>
              <w:spacing w:after="0"/>
              <w:rPr>
                <w:sz w:val="20"/>
                <w:szCs w:val="20"/>
                <w:color w:val="auto"/>
              </w:rPr>
            </w:pPr>
            <w:r>
              <w:rPr>
                <w:rFonts w:ascii="Arial" w:cs="Arial" w:eastAsia="Arial" w:hAnsi="Arial"/>
                <w:sz w:val="12"/>
                <w:szCs w:val="12"/>
                <w:color w:val="auto"/>
              </w:rPr>
              <w:t>Value</w:t>
            </w:r>
          </w:p>
        </w:tc>
      </w:tr>
      <w:tr>
        <w:trPr>
          <w:trHeight w:val="202"/>
        </w:trPr>
        <w:tc>
          <w:tcPr>
            <w:tcW w:w="3740" w:type="dxa"/>
            <w:vAlign w:val="bottom"/>
            <w:gridSpan w:val="3"/>
          </w:tcPr>
          <w:p>
            <w:pPr>
              <w:spacing w:after="0"/>
              <w:rPr>
                <w:sz w:val="20"/>
                <w:szCs w:val="20"/>
                <w:color w:val="auto"/>
              </w:rPr>
            </w:pPr>
            <w:r>
              <w:rPr>
                <w:rFonts w:ascii="Arial" w:cs="Arial" w:eastAsia="Arial" w:hAnsi="Arial"/>
                <w:sz w:val="12"/>
                <w:szCs w:val="12"/>
                <w:color w:val="auto"/>
              </w:rPr>
              <w:t>December 31, 2019:</w:t>
            </w: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r>
      <w:tr>
        <w:trPr>
          <w:trHeight w:val="20"/>
        </w:trPr>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6"/>
        </w:trPr>
        <w:tc>
          <w:tcPr>
            <w:tcW w:w="37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Fixed maturity securities, available for sale, at estimated fair value:</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41"/>
        </w:trPr>
        <w:tc>
          <w:tcPr>
            <w:tcW w:w="3740" w:type="dxa"/>
            <w:vAlign w:val="bottom"/>
            <w:gridSpan w:val="3"/>
          </w:tcPr>
          <w:p>
            <w:pPr>
              <w:ind w:left="140"/>
              <w:spacing w:after="0"/>
              <w:rPr>
                <w:sz w:val="20"/>
                <w:szCs w:val="20"/>
                <w:color w:val="auto"/>
              </w:rPr>
            </w:pPr>
            <w:r>
              <w:rPr>
                <w:rFonts w:ascii="Arial" w:cs="Arial" w:eastAsia="Arial" w:hAnsi="Arial"/>
                <w:sz w:val="12"/>
                <w:szCs w:val="12"/>
                <w:color w:val="auto"/>
              </w:rPr>
              <w:t>U.S. Treasury securities and obligations of U.S. Government</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156"/>
        </w:trPr>
        <w:tc>
          <w:tcPr>
            <w:tcW w:w="3740" w:type="dxa"/>
            <w:vAlign w:val="bottom"/>
            <w:gridSpan w:val="3"/>
          </w:tcPr>
          <w:p>
            <w:pPr>
              <w:spacing w:after="0"/>
              <w:rPr>
                <w:sz w:val="20"/>
                <w:szCs w:val="20"/>
                <w:color w:val="auto"/>
              </w:rPr>
            </w:pPr>
            <w:r>
              <w:rPr>
                <w:rFonts w:ascii="Arial" w:cs="Arial" w:eastAsia="Arial" w:hAnsi="Arial"/>
                <w:sz w:val="12"/>
                <w:szCs w:val="12"/>
                <w:color w:val="auto"/>
              </w:rPr>
              <w:t>agencies</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w w:val="98"/>
              </w:rPr>
              <w:t>142,740,641</w:t>
            </w:r>
          </w:p>
        </w:tc>
        <w:tc>
          <w:tcPr>
            <w:tcW w:w="3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632,185</w:t>
            </w:r>
          </w:p>
        </w:tc>
        <w:tc>
          <w:tcPr>
            <w:tcW w:w="140" w:type="dxa"/>
            <w:vAlign w:val="bottom"/>
          </w:tcPr>
          <w:p>
            <w:pPr>
              <w:spacing w:after="0"/>
              <w:rPr>
                <w:sz w:val="13"/>
                <w:szCs w:val="13"/>
                <w:color w:val="auto"/>
              </w:rPr>
            </w:pPr>
          </w:p>
        </w:tc>
        <w:tc>
          <w:tcPr>
            <w:tcW w:w="22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(25,215)</w:t>
            </w:r>
          </w:p>
        </w:tc>
        <w:tc>
          <w:tcPr>
            <w:tcW w:w="140" w:type="dxa"/>
            <w:vAlign w:val="bottom"/>
          </w:tcPr>
          <w:p>
            <w:pPr>
              <w:spacing w:after="0"/>
              <w:rPr>
                <w:sz w:val="13"/>
                <w:szCs w:val="13"/>
                <w:color w:val="auto"/>
              </w:rPr>
            </w:pPr>
          </w:p>
        </w:tc>
        <w:tc>
          <w:tcPr>
            <w:tcW w:w="24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143,347,611</w:t>
            </w:r>
          </w:p>
        </w:tc>
      </w:tr>
      <w:tr>
        <w:trPr>
          <w:trHeight w:val="152"/>
        </w:trPr>
        <w:tc>
          <w:tcPr>
            <w:tcW w:w="9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234"/>
        </w:trPr>
        <w:tc>
          <w:tcPr>
            <w:tcW w:w="3740" w:type="dxa"/>
            <w:vAlign w:val="bottom"/>
            <w:gridSpan w:val="3"/>
          </w:tcPr>
          <w:p>
            <w:pPr>
              <w:ind w:left="140"/>
              <w:spacing w:after="0"/>
              <w:rPr>
                <w:sz w:val="20"/>
                <w:szCs w:val="20"/>
                <w:color w:val="auto"/>
              </w:rPr>
            </w:pPr>
            <w:r>
              <w:rPr>
                <w:rFonts w:ascii="Arial" w:cs="Arial" w:eastAsia="Arial" w:hAnsi="Arial"/>
                <w:sz w:val="12"/>
                <w:szCs w:val="12"/>
                <w:color w:val="auto"/>
              </w:rPr>
              <w:t>Obligations of states and political subdivisions</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7,450,366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87,812</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(9,026)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7,529,152</w:t>
            </w:r>
          </w:p>
        </w:tc>
      </w:tr>
      <w:tr>
        <w:trPr>
          <w:trHeight w:val="152"/>
        </w:trPr>
        <w:tc>
          <w:tcPr>
            <w:tcW w:w="9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234"/>
        </w:trPr>
        <w:tc>
          <w:tcPr>
            <w:tcW w:w="3740" w:type="dxa"/>
            <w:vAlign w:val="bottom"/>
            <w:gridSpan w:val="3"/>
          </w:tcPr>
          <w:p>
            <w:pPr>
              <w:ind w:left="140"/>
              <w:spacing w:after="0"/>
              <w:rPr>
                <w:sz w:val="20"/>
                <w:szCs w:val="20"/>
                <w:color w:val="auto"/>
              </w:rPr>
            </w:pPr>
            <w:r>
              <w:rPr>
                <w:rFonts w:ascii="Arial" w:cs="Arial" w:eastAsia="Arial" w:hAnsi="Arial"/>
                <w:sz w:val="12"/>
                <w:szCs w:val="12"/>
                <w:color w:val="auto"/>
              </w:rPr>
              <w:t>Corporate securities including public utilities</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w w:val="98"/>
              </w:rPr>
              <w:t>156,599,184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16,768,449</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(463,413)</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172,904,220</w:t>
            </w:r>
          </w:p>
        </w:tc>
      </w:tr>
      <w:tr>
        <w:trPr>
          <w:trHeight w:val="152"/>
        </w:trPr>
        <w:tc>
          <w:tcPr>
            <w:tcW w:w="9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234"/>
        </w:trPr>
        <w:tc>
          <w:tcPr>
            <w:tcW w:w="3740" w:type="dxa"/>
            <w:vAlign w:val="bottom"/>
            <w:gridSpan w:val="3"/>
          </w:tcPr>
          <w:p>
            <w:pPr>
              <w:ind w:left="140"/>
              <w:spacing w:after="0"/>
              <w:rPr>
                <w:sz w:val="20"/>
                <w:szCs w:val="20"/>
                <w:color w:val="auto"/>
              </w:rPr>
            </w:pPr>
            <w:r>
              <w:rPr>
                <w:rFonts w:ascii="Arial" w:cs="Arial" w:eastAsia="Arial" w:hAnsi="Arial"/>
                <w:sz w:val="12"/>
                <w:szCs w:val="12"/>
                <w:color w:val="auto"/>
              </w:rPr>
              <w:t>Mortgage-backed securities</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31,475,280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597,395</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(240,177)</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31,832,498</w:t>
            </w:r>
          </w:p>
        </w:tc>
      </w:tr>
      <w:tr>
        <w:trPr>
          <w:trHeight w:val="152"/>
        </w:trPr>
        <w:tc>
          <w:tcPr>
            <w:tcW w:w="9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234"/>
        </w:trPr>
        <w:tc>
          <w:tcPr>
            <w:tcW w:w="3740" w:type="dxa"/>
            <w:vAlign w:val="bottom"/>
            <w:gridSpan w:val="3"/>
          </w:tcPr>
          <w:p>
            <w:pPr>
              <w:ind w:left="140"/>
              <w:spacing w:after="0"/>
              <w:rPr>
                <w:sz w:val="20"/>
                <w:szCs w:val="20"/>
                <w:color w:val="auto"/>
              </w:rPr>
            </w:pPr>
            <w:r>
              <w:rPr>
                <w:rFonts w:ascii="Arial" w:cs="Arial" w:eastAsia="Arial" w:hAnsi="Arial"/>
                <w:sz w:val="12"/>
                <w:szCs w:val="12"/>
                <w:color w:val="auto"/>
              </w:rPr>
              <w:t>Redeemable preferred stock</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364,339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364,339</w:t>
            </w:r>
          </w:p>
        </w:tc>
      </w:tr>
      <w:tr>
        <w:trPr>
          <w:trHeight w:val="152"/>
        </w:trPr>
        <w:tc>
          <w:tcPr>
            <w:tcW w:w="9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46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r>
      <w:tr>
        <w:trPr>
          <w:trHeight w:val="254"/>
        </w:trPr>
        <w:tc>
          <w:tcPr>
            <w:tcW w:w="3740" w:type="dxa"/>
            <w:vAlign w:val="bottom"/>
            <w:gridSpan w:val="3"/>
          </w:tcPr>
          <w:p>
            <w:pPr>
              <w:ind w:left="260"/>
              <w:spacing w:after="0"/>
              <w:rPr>
                <w:sz w:val="20"/>
                <w:szCs w:val="20"/>
                <w:color w:val="auto"/>
              </w:rPr>
            </w:pPr>
            <w:r>
              <w:rPr>
                <w:rFonts w:ascii="Arial" w:cs="Arial" w:eastAsia="Arial" w:hAnsi="Arial"/>
                <w:sz w:val="12"/>
                <w:szCs w:val="12"/>
                <w:color w:val="auto"/>
              </w:rPr>
              <w:t>Total fixed maturity securities available for sale</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w w:val="98"/>
              </w:rPr>
              <w:t>338,629,810</w:t>
            </w:r>
          </w:p>
        </w:tc>
        <w:tc>
          <w:tcPr>
            <w:tcW w:w="3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18,085,841</w:t>
            </w:r>
          </w:p>
        </w:tc>
        <w:tc>
          <w:tcPr>
            <w:tcW w:w="140" w:type="dxa"/>
            <w:vAlign w:val="bottom"/>
          </w:tcPr>
          <w:p>
            <w:pPr>
              <w:spacing w:after="0"/>
              <w:rPr>
                <w:sz w:val="22"/>
                <w:szCs w:val="22"/>
                <w:color w:val="auto"/>
              </w:rPr>
            </w:pPr>
          </w:p>
        </w:tc>
        <w:tc>
          <w:tcPr>
            <w:tcW w:w="22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(737,831)</w:t>
            </w:r>
          </w:p>
        </w:tc>
        <w:tc>
          <w:tcPr>
            <w:tcW w:w="140" w:type="dxa"/>
            <w:vAlign w:val="bottom"/>
          </w:tcPr>
          <w:p>
            <w:pPr>
              <w:spacing w:after="0"/>
              <w:rPr>
                <w:sz w:val="22"/>
                <w:szCs w:val="22"/>
                <w:color w:val="auto"/>
              </w:rPr>
            </w:pPr>
          </w:p>
        </w:tc>
        <w:tc>
          <w:tcPr>
            <w:tcW w:w="24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355,977,820</w:t>
            </w:r>
          </w:p>
        </w:tc>
      </w:tr>
      <w:tr>
        <w:trPr>
          <w:trHeight w:val="127"/>
        </w:trPr>
        <w:tc>
          <w:tcPr>
            <w:tcW w:w="9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24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r>
      <w:tr>
        <w:trPr>
          <w:trHeight w:val="234"/>
        </w:trPr>
        <w:tc>
          <w:tcPr>
            <w:tcW w:w="3740" w:type="dxa"/>
            <w:vAlign w:val="bottom"/>
            <w:gridSpan w:val="3"/>
          </w:tcPr>
          <w:p>
            <w:pPr>
              <w:spacing w:after="0"/>
              <w:rPr>
                <w:sz w:val="20"/>
                <w:szCs w:val="20"/>
                <w:color w:val="auto"/>
              </w:rPr>
            </w:pPr>
            <w:r>
              <w:rPr>
                <w:rFonts w:ascii="Arial" w:cs="Arial" w:eastAsia="Arial" w:hAnsi="Arial"/>
                <w:sz w:val="12"/>
                <w:szCs w:val="12"/>
                <w:color w:val="auto"/>
              </w:rPr>
              <w:t>Equity securities at estimated fair value:</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152"/>
        </w:trPr>
        <w:tc>
          <w:tcPr>
            <w:tcW w:w="9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234"/>
        </w:trPr>
        <w:tc>
          <w:tcPr>
            <w:tcW w:w="3740" w:type="dxa"/>
            <w:vAlign w:val="bottom"/>
            <w:gridSpan w:val="3"/>
          </w:tcPr>
          <w:p>
            <w:pPr>
              <w:spacing w:after="0"/>
              <w:rPr>
                <w:sz w:val="20"/>
                <w:szCs w:val="20"/>
                <w:color w:val="auto"/>
              </w:rPr>
            </w:pPr>
            <w:r>
              <w:rPr>
                <w:rFonts w:ascii="Arial" w:cs="Arial" w:eastAsia="Arial" w:hAnsi="Arial"/>
                <w:sz w:val="12"/>
                <w:szCs w:val="12"/>
                <w:color w:val="auto"/>
              </w:rPr>
              <w:t>Common stock:</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152"/>
        </w:trPr>
        <w:tc>
          <w:tcPr>
            <w:tcW w:w="9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234"/>
        </w:trPr>
        <w:tc>
          <w:tcPr>
            <w:tcW w:w="3740" w:type="dxa"/>
            <w:vAlign w:val="bottom"/>
            <w:gridSpan w:val="3"/>
          </w:tcPr>
          <w:p>
            <w:pPr>
              <w:spacing w:after="0"/>
              <w:rPr>
                <w:sz w:val="20"/>
                <w:szCs w:val="20"/>
                <w:color w:val="auto"/>
              </w:rPr>
            </w:pPr>
            <w:r>
              <w:rPr>
                <w:rFonts w:ascii="Arial" w:cs="Arial" w:eastAsia="Arial" w:hAnsi="Arial"/>
                <w:sz w:val="12"/>
                <w:szCs w:val="12"/>
                <w:color w:val="auto"/>
              </w:rPr>
              <w:t>Industrial, miscellaneous and all other</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6,900,537</w:t>
            </w:r>
          </w:p>
        </w:tc>
        <w:tc>
          <w:tcPr>
            <w:tcW w:w="3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1,139,799</w:t>
            </w:r>
          </w:p>
        </w:tc>
        <w:tc>
          <w:tcPr>
            <w:tcW w:w="140" w:type="dxa"/>
            <w:vAlign w:val="bottom"/>
          </w:tcPr>
          <w:p>
            <w:pPr>
              <w:spacing w:after="0"/>
              <w:rPr>
                <w:sz w:val="20"/>
                <w:szCs w:val="20"/>
                <w:color w:val="auto"/>
              </w:rPr>
            </w:pPr>
          </w:p>
        </w:tc>
        <w:tc>
          <w:tcPr>
            <w:tcW w:w="22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(769,171)</w:t>
            </w:r>
          </w:p>
        </w:tc>
        <w:tc>
          <w:tcPr>
            <w:tcW w:w="140" w:type="dxa"/>
            <w:vAlign w:val="bottom"/>
          </w:tcPr>
          <w:p>
            <w:pPr>
              <w:spacing w:after="0"/>
              <w:rPr>
                <w:sz w:val="20"/>
                <w:szCs w:val="20"/>
                <w:color w:val="auto"/>
              </w:rPr>
            </w:pPr>
          </w:p>
        </w:tc>
        <w:tc>
          <w:tcPr>
            <w:tcW w:w="24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7,271,165</w:t>
            </w:r>
          </w:p>
        </w:tc>
      </w:tr>
      <w:tr>
        <w:trPr>
          <w:trHeight w:val="144"/>
        </w:trPr>
        <w:tc>
          <w:tcPr>
            <w:tcW w:w="9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24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r>
      <w:tr>
        <w:trPr>
          <w:trHeight w:val="274"/>
        </w:trPr>
        <w:tc>
          <w:tcPr>
            <w:tcW w:w="3740" w:type="dxa"/>
            <w:vAlign w:val="bottom"/>
            <w:gridSpan w:val="3"/>
          </w:tcPr>
          <w:p>
            <w:pPr>
              <w:ind w:left="140"/>
              <w:spacing w:after="0"/>
              <w:rPr>
                <w:sz w:val="20"/>
                <w:szCs w:val="20"/>
                <w:color w:val="auto"/>
              </w:rPr>
            </w:pPr>
            <w:r>
              <w:rPr>
                <w:rFonts w:ascii="Arial" w:cs="Arial" w:eastAsia="Arial" w:hAnsi="Arial"/>
                <w:sz w:val="12"/>
                <w:szCs w:val="12"/>
                <w:color w:val="auto"/>
              </w:rPr>
              <w:t>Total equity securities at estimated fair value</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6,900,537</w:t>
            </w:r>
          </w:p>
        </w:tc>
        <w:tc>
          <w:tcPr>
            <w:tcW w:w="3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1,139,799</w:t>
            </w:r>
          </w:p>
        </w:tc>
        <w:tc>
          <w:tcPr>
            <w:tcW w:w="140" w:type="dxa"/>
            <w:vAlign w:val="bottom"/>
          </w:tcPr>
          <w:p>
            <w:pPr>
              <w:spacing w:after="0"/>
              <w:rPr>
                <w:sz w:val="23"/>
                <w:szCs w:val="23"/>
                <w:color w:val="auto"/>
              </w:rPr>
            </w:pPr>
          </w:p>
        </w:tc>
        <w:tc>
          <w:tcPr>
            <w:tcW w:w="22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(769,171)</w:t>
            </w:r>
          </w:p>
        </w:tc>
        <w:tc>
          <w:tcPr>
            <w:tcW w:w="140" w:type="dxa"/>
            <w:vAlign w:val="bottom"/>
          </w:tcPr>
          <w:p>
            <w:pPr>
              <w:spacing w:after="0"/>
              <w:rPr>
                <w:sz w:val="23"/>
                <w:szCs w:val="23"/>
                <w:color w:val="auto"/>
              </w:rPr>
            </w:pPr>
          </w:p>
        </w:tc>
        <w:tc>
          <w:tcPr>
            <w:tcW w:w="24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7,271,165</w:t>
            </w:r>
          </w:p>
        </w:tc>
      </w:tr>
      <w:tr>
        <w:trPr>
          <w:trHeight w:val="127"/>
        </w:trPr>
        <w:tc>
          <w:tcPr>
            <w:tcW w:w="9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24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r>
      <w:tr>
        <w:trPr>
          <w:trHeight w:val="234"/>
        </w:trPr>
        <w:tc>
          <w:tcPr>
            <w:tcW w:w="3740" w:type="dxa"/>
            <w:vAlign w:val="bottom"/>
            <w:gridSpan w:val="3"/>
          </w:tcPr>
          <w:p>
            <w:pPr>
              <w:spacing w:after="0"/>
              <w:rPr>
                <w:sz w:val="20"/>
                <w:szCs w:val="20"/>
                <w:color w:val="auto"/>
              </w:rPr>
            </w:pPr>
            <w:r>
              <w:rPr>
                <w:rFonts w:ascii="Arial" w:cs="Arial" w:eastAsia="Arial" w:hAnsi="Arial"/>
                <w:sz w:val="12"/>
                <w:szCs w:val="12"/>
                <w:color w:val="auto"/>
              </w:rPr>
              <w:t>Mortgage loans held for investment at amortized cost:</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34"/>
        </w:trPr>
        <w:tc>
          <w:tcPr>
            <w:tcW w:w="3740" w:type="dxa"/>
            <w:vAlign w:val="bottom"/>
            <w:gridSpan w:val="3"/>
            <w:shd w:val="clear" w:color="auto" w:fill="CCEEFF"/>
          </w:tcPr>
          <w:p>
            <w:pPr>
              <w:ind w:left="260"/>
              <w:spacing w:after="0"/>
              <w:rPr>
                <w:sz w:val="20"/>
                <w:szCs w:val="20"/>
                <w:color w:val="auto"/>
              </w:rPr>
            </w:pPr>
            <w:r>
              <w:rPr>
                <w:rFonts w:ascii="Arial" w:cs="Arial" w:eastAsia="Arial" w:hAnsi="Arial"/>
                <w:sz w:val="12"/>
                <w:szCs w:val="12"/>
                <w:color w:val="auto"/>
              </w:rPr>
              <w:t>Residential</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113,043,965</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34"/>
        </w:trPr>
        <w:tc>
          <w:tcPr>
            <w:tcW w:w="3740" w:type="dxa"/>
            <w:vAlign w:val="bottom"/>
            <w:gridSpan w:val="3"/>
          </w:tcPr>
          <w:p>
            <w:pPr>
              <w:ind w:left="260"/>
              <w:spacing w:after="0"/>
              <w:rPr>
                <w:sz w:val="20"/>
                <w:szCs w:val="20"/>
                <w:color w:val="auto"/>
              </w:rPr>
            </w:pPr>
            <w:r>
              <w:rPr>
                <w:rFonts w:ascii="Arial" w:cs="Arial" w:eastAsia="Arial" w:hAnsi="Arial"/>
                <w:sz w:val="12"/>
                <w:szCs w:val="12"/>
                <w:color w:val="auto"/>
              </w:rPr>
              <w:t>Residential construction</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89,430,237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34"/>
        </w:trPr>
        <w:tc>
          <w:tcPr>
            <w:tcW w:w="3740" w:type="dxa"/>
            <w:vAlign w:val="bottom"/>
            <w:gridSpan w:val="3"/>
            <w:shd w:val="clear" w:color="auto" w:fill="CCEEFF"/>
          </w:tcPr>
          <w:p>
            <w:pPr>
              <w:ind w:left="260"/>
              <w:spacing w:after="0"/>
              <w:rPr>
                <w:sz w:val="20"/>
                <w:szCs w:val="20"/>
                <w:color w:val="auto"/>
              </w:rPr>
            </w:pPr>
            <w:r>
              <w:rPr>
                <w:rFonts w:ascii="Arial" w:cs="Arial" w:eastAsia="Arial" w:hAnsi="Arial"/>
                <w:sz w:val="12"/>
                <w:szCs w:val="12"/>
                <w:color w:val="auto"/>
              </w:rPr>
              <w:t>Commercial</w:t>
            </w: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38,718,220</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34"/>
        </w:trPr>
        <w:tc>
          <w:tcPr>
            <w:tcW w:w="3740" w:type="dxa"/>
            <w:vAlign w:val="bottom"/>
            <w:gridSpan w:val="3"/>
          </w:tcPr>
          <w:p>
            <w:pPr>
              <w:ind w:left="260"/>
              <w:spacing w:after="0"/>
              <w:rPr>
                <w:sz w:val="20"/>
                <w:szCs w:val="20"/>
                <w:color w:val="auto"/>
              </w:rPr>
            </w:pPr>
            <w:r>
              <w:rPr>
                <w:rFonts w:ascii="Arial" w:cs="Arial" w:eastAsia="Arial" w:hAnsi="Arial"/>
                <w:sz w:val="12"/>
                <w:szCs w:val="12"/>
                <w:color w:val="auto"/>
              </w:rPr>
              <w:t>Less: Unamortized deferred loan fees, net</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(2,391,567)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34"/>
        </w:trPr>
        <w:tc>
          <w:tcPr>
            <w:tcW w:w="3740" w:type="dxa"/>
            <w:vAlign w:val="bottom"/>
            <w:gridSpan w:val="3"/>
            <w:shd w:val="clear" w:color="auto" w:fill="CCEEFF"/>
          </w:tcPr>
          <w:p>
            <w:pPr>
              <w:ind w:left="260"/>
              <w:spacing w:after="0"/>
              <w:rPr>
                <w:sz w:val="20"/>
                <w:szCs w:val="20"/>
                <w:color w:val="auto"/>
              </w:rPr>
            </w:pPr>
            <w:r>
              <w:rPr>
                <w:rFonts w:ascii="Arial" w:cs="Arial" w:eastAsia="Arial" w:hAnsi="Arial"/>
                <w:sz w:val="12"/>
                <w:szCs w:val="12"/>
                <w:color w:val="auto"/>
              </w:rPr>
              <w:t>Less: Allowance for loan losses</w:t>
            </w: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(1,453,037)</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34"/>
        </w:trPr>
        <w:tc>
          <w:tcPr>
            <w:tcW w:w="3740" w:type="dxa"/>
            <w:vAlign w:val="bottom"/>
            <w:tcBorders>
              <w:bottom w:val="single" w:sz="8" w:color="CCEEFF"/>
            </w:tcBorders>
            <w:gridSpan w:val="3"/>
          </w:tcPr>
          <w:p>
            <w:pPr>
              <w:ind w:left="260"/>
              <w:spacing w:after="0"/>
              <w:rPr>
                <w:sz w:val="20"/>
                <w:szCs w:val="20"/>
                <w:color w:val="auto"/>
              </w:rPr>
            </w:pPr>
            <w:r>
              <w:rPr>
                <w:rFonts w:ascii="Arial" w:cs="Arial" w:eastAsia="Arial" w:hAnsi="Arial"/>
                <w:sz w:val="12"/>
                <w:szCs w:val="12"/>
                <w:color w:val="auto"/>
              </w:rPr>
              <w:t>Less: Net discounts</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(653,272)</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r>
      <w:tr>
        <w:trPr>
          <w:trHeight w:val="144"/>
        </w:trPr>
        <w:tc>
          <w:tcPr>
            <w:tcW w:w="9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274"/>
        </w:trPr>
        <w:tc>
          <w:tcPr>
            <w:tcW w:w="3740" w:type="dxa"/>
            <w:vAlign w:val="bottom"/>
            <w:tcBorders>
              <w:bottom w:val="single" w:sz="8" w:color="CCEEFF"/>
            </w:tcBorders>
            <w:gridSpan w:val="3"/>
          </w:tcPr>
          <w:p>
            <w:pPr>
              <w:spacing w:after="0"/>
              <w:rPr>
                <w:sz w:val="20"/>
                <w:szCs w:val="20"/>
                <w:color w:val="auto"/>
              </w:rPr>
            </w:pPr>
            <w:r>
              <w:rPr>
                <w:rFonts w:ascii="Arial" w:cs="Arial" w:eastAsia="Arial" w:hAnsi="Arial"/>
                <w:sz w:val="12"/>
                <w:szCs w:val="12"/>
                <w:color w:val="auto"/>
              </w:rPr>
              <w:t>Total mortgage loans held for investment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8"/>
              </w:rPr>
              <w:t>236,694,546</w:t>
            </w:r>
          </w:p>
        </w:tc>
        <w:tc>
          <w:tcPr>
            <w:tcW w:w="14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7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7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740" w:type="dxa"/>
            <w:vAlign w:val="bottom"/>
            <w:tcBorders>
              <w:bottom w:val="single" w:sz="8" w:color="CCEEFF"/>
            </w:tcBorders>
          </w:tcPr>
          <w:p>
            <w:pPr>
              <w:spacing w:after="0"/>
              <w:rPr>
                <w:sz w:val="23"/>
                <w:szCs w:val="23"/>
                <w:color w:val="auto"/>
              </w:rPr>
            </w:pPr>
          </w:p>
        </w:tc>
      </w:tr>
      <w:tr>
        <w:trPr>
          <w:trHeight w:val="127"/>
        </w:trPr>
        <w:tc>
          <w:tcPr>
            <w:tcW w:w="9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r>
        <w:trPr>
          <w:trHeight w:val="292"/>
        </w:trPr>
        <w:tc>
          <w:tcPr>
            <w:tcW w:w="3740" w:type="dxa"/>
            <w:vAlign w:val="bottom"/>
            <w:gridSpan w:val="3"/>
          </w:tcPr>
          <w:p>
            <w:pPr>
              <w:spacing w:after="0"/>
              <w:rPr>
                <w:sz w:val="20"/>
                <w:szCs w:val="20"/>
                <w:color w:val="auto"/>
              </w:rPr>
            </w:pPr>
            <w:r>
              <w:rPr>
                <w:rFonts w:ascii="Arial" w:cs="Arial" w:eastAsia="Arial" w:hAnsi="Arial"/>
                <w:sz w:val="12"/>
                <w:szCs w:val="12"/>
                <w:color w:val="auto"/>
              </w:rPr>
              <w:t>Real estate held for investment - net of accumulated depreciation:</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4"/>
        </w:trPr>
        <w:tc>
          <w:tcPr>
            <w:tcW w:w="3740" w:type="dxa"/>
            <w:vAlign w:val="bottom"/>
            <w:gridSpan w:val="3"/>
            <w:shd w:val="clear" w:color="auto" w:fill="CCEEFF"/>
          </w:tcPr>
          <w:p>
            <w:pPr>
              <w:ind w:left="260"/>
              <w:spacing w:after="0"/>
              <w:rPr>
                <w:sz w:val="20"/>
                <w:szCs w:val="20"/>
                <w:color w:val="auto"/>
              </w:rPr>
            </w:pPr>
            <w:r>
              <w:rPr>
                <w:rFonts w:ascii="Arial" w:cs="Arial" w:eastAsia="Arial" w:hAnsi="Arial"/>
                <w:sz w:val="12"/>
                <w:szCs w:val="12"/>
                <w:color w:val="auto"/>
              </w:rPr>
              <w:t>Residential</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12,530,306</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34"/>
        </w:trPr>
        <w:tc>
          <w:tcPr>
            <w:tcW w:w="3740" w:type="dxa"/>
            <w:vAlign w:val="bottom"/>
            <w:tcBorders>
              <w:bottom w:val="single" w:sz="8" w:color="CCEEFF"/>
            </w:tcBorders>
            <w:gridSpan w:val="3"/>
          </w:tcPr>
          <w:p>
            <w:pPr>
              <w:ind w:left="260"/>
              <w:spacing w:after="0"/>
              <w:rPr>
                <w:sz w:val="20"/>
                <w:szCs w:val="20"/>
                <w:color w:val="auto"/>
              </w:rPr>
            </w:pPr>
            <w:r>
              <w:rPr>
                <w:rFonts w:ascii="Arial" w:cs="Arial" w:eastAsia="Arial" w:hAnsi="Arial"/>
                <w:sz w:val="12"/>
                <w:szCs w:val="12"/>
                <w:color w:val="auto"/>
              </w:rPr>
              <w:t>Commercial</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90,226,640</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r>
      <w:tr>
        <w:trPr>
          <w:trHeight w:val="144"/>
        </w:trPr>
        <w:tc>
          <w:tcPr>
            <w:tcW w:w="9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274"/>
        </w:trPr>
        <w:tc>
          <w:tcPr>
            <w:tcW w:w="3740" w:type="dxa"/>
            <w:vAlign w:val="bottom"/>
            <w:tcBorders>
              <w:bottom w:val="single" w:sz="8" w:color="CCEEFF"/>
            </w:tcBorders>
            <w:gridSpan w:val="3"/>
          </w:tcPr>
          <w:p>
            <w:pPr>
              <w:spacing w:after="0"/>
              <w:rPr>
                <w:sz w:val="20"/>
                <w:szCs w:val="20"/>
                <w:color w:val="auto"/>
              </w:rPr>
            </w:pPr>
            <w:r>
              <w:rPr>
                <w:rFonts w:ascii="Arial" w:cs="Arial" w:eastAsia="Arial" w:hAnsi="Arial"/>
                <w:sz w:val="12"/>
                <w:szCs w:val="12"/>
                <w:color w:val="auto"/>
              </w:rPr>
              <w:t>Total real estate held for investment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8"/>
              </w:rPr>
              <w:t>102,756,946</w:t>
            </w:r>
          </w:p>
        </w:tc>
        <w:tc>
          <w:tcPr>
            <w:tcW w:w="14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7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7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740" w:type="dxa"/>
            <w:vAlign w:val="bottom"/>
            <w:tcBorders>
              <w:bottom w:val="single" w:sz="8" w:color="CCEEFF"/>
            </w:tcBorders>
          </w:tcPr>
          <w:p>
            <w:pPr>
              <w:spacing w:after="0"/>
              <w:rPr>
                <w:sz w:val="23"/>
                <w:szCs w:val="23"/>
                <w:color w:val="auto"/>
              </w:rPr>
            </w:pPr>
          </w:p>
        </w:tc>
      </w:tr>
      <w:tr>
        <w:trPr>
          <w:trHeight w:val="127"/>
        </w:trPr>
        <w:tc>
          <w:tcPr>
            <w:tcW w:w="9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r>
        <w:trPr>
          <w:trHeight w:val="292"/>
        </w:trPr>
        <w:tc>
          <w:tcPr>
            <w:tcW w:w="3740" w:type="dxa"/>
            <w:vAlign w:val="bottom"/>
            <w:gridSpan w:val="3"/>
          </w:tcPr>
          <w:p>
            <w:pPr>
              <w:spacing w:after="0"/>
              <w:rPr>
                <w:sz w:val="20"/>
                <w:szCs w:val="20"/>
                <w:color w:val="auto"/>
              </w:rPr>
            </w:pPr>
            <w:r>
              <w:rPr>
                <w:rFonts w:ascii="Arial" w:cs="Arial" w:eastAsia="Arial" w:hAnsi="Arial"/>
                <w:sz w:val="12"/>
                <w:szCs w:val="12"/>
                <w:color w:val="auto"/>
              </w:rPr>
              <w:t>Real estate held for sale:</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4"/>
        </w:trPr>
        <w:tc>
          <w:tcPr>
            <w:tcW w:w="3740" w:type="dxa"/>
            <w:vAlign w:val="bottom"/>
            <w:gridSpan w:val="3"/>
            <w:shd w:val="clear" w:color="auto" w:fill="CCEEFF"/>
          </w:tcPr>
          <w:p>
            <w:pPr>
              <w:ind w:left="260"/>
              <w:spacing w:after="0"/>
              <w:rPr>
                <w:sz w:val="20"/>
                <w:szCs w:val="20"/>
                <w:color w:val="auto"/>
              </w:rPr>
            </w:pPr>
            <w:r>
              <w:rPr>
                <w:rFonts w:ascii="Arial" w:cs="Arial" w:eastAsia="Arial" w:hAnsi="Arial"/>
                <w:sz w:val="12"/>
                <w:szCs w:val="12"/>
                <w:color w:val="auto"/>
              </w:rPr>
              <w:t>Residential</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8,021,306</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34"/>
        </w:trPr>
        <w:tc>
          <w:tcPr>
            <w:tcW w:w="3740" w:type="dxa"/>
            <w:vAlign w:val="bottom"/>
            <w:tcBorders>
              <w:bottom w:val="single" w:sz="8" w:color="CCEEFF"/>
            </w:tcBorders>
            <w:gridSpan w:val="3"/>
          </w:tcPr>
          <w:p>
            <w:pPr>
              <w:ind w:left="260"/>
              <w:spacing w:after="0"/>
              <w:rPr>
                <w:sz w:val="20"/>
                <w:szCs w:val="20"/>
                <w:color w:val="auto"/>
              </w:rPr>
            </w:pPr>
            <w:r>
              <w:rPr>
                <w:rFonts w:ascii="Arial" w:cs="Arial" w:eastAsia="Arial" w:hAnsi="Arial"/>
                <w:sz w:val="12"/>
                <w:szCs w:val="12"/>
                <w:color w:val="auto"/>
              </w:rPr>
              <w:t>Commercial</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6,076,321</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r>
      <w:tr>
        <w:trPr>
          <w:trHeight w:val="144"/>
        </w:trPr>
        <w:tc>
          <w:tcPr>
            <w:tcW w:w="9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274"/>
        </w:trPr>
        <w:tc>
          <w:tcPr>
            <w:tcW w:w="3740" w:type="dxa"/>
            <w:vAlign w:val="bottom"/>
            <w:tcBorders>
              <w:bottom w:val="single" w:sz="8" w:color="CCEEFF"/>
            </w:tcBorders>
            <w:gridSpan w:val="3"/>
          </w:tcPr>
          <w:p>
            <w:pPr>
              <w:spacing w:after="0"/>
              <w:rPr>
                <w:sz w:val="20"/>
                <w:szCs w:val="20"/>
                <w:color w:val="auto"/>
              </w:rPr>
            </w:pPr>
            <w:r>
              <w:rPr>
                <w:rFonts w:ascii="Arial" w:cs="Arial" w:eastAsia="Arial" w:hAnsi="Arial"/>
                <w:sz w:val="12"/>
                <w:szCs w:val="12"/>
                <w:color w:val="auto"/>
              </w:rPr>
              <w:t>Total real estate held for sale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14,097,627</w:t>
            </w:r>
          </w:p>
        </w:tc>
        <w:tc>
          <w:tcPr>
            <w:tcW w:w="14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7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7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740" w:type="dxa"/>
            <w:vAlign w:val="bottom"/>
            <w:tcBorders>
              <w:bottom w:val="single" w:sz="8" w:color="CCEEFF"/>
            </w:tcBorders>
          </w:tcPr>
          <w:p>
            <w:pPr>
              <w:spacing w:after="0"/>
              <w:rPr>
                <w:sz w:val="23"/>
                <w:szCs w:val="23"/>
                <w:color w:val="auto"/>
              </w:rPr>
            </w:pPr>
          </w:p>
        </w:tc>
      </w:tr>
      <w:tr>
        <w:trPr>
          <w:trHeight w:val="127"/>
        </w:trPr>
        <w:tc>
          <w:tcPr>
            <w:tcW w:w="9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r>
        <w:trPr>
          <w:trHeight w:val="234"/>
        </w:trPr>
        <w:tc>
          <w:tcPr>
            <w:tcW w:w="3740" w:type="dxa"/>
            <w:vAlign w:val="bottom"/>
            <w:gridSpan w:val="3"/>
          </w:tcPr>
          <w:p>
            <w:pPr>
              <w:spacing w:after="0"/>
              <w:rPr>
                <w:sz w:val="20"/>
                <w:szCs w:val="20"/>
                <w:color w:val="auto"/>
              </w:rPr>
            </w:pPr>
            <w:r>
              <w:rPr>
                <w:rFonts w:ascii="Arial" w:cs="Arial" w:eastAsia="Arial" w:hAnsi="Arial"/>
                <w:sz w:val="12"/>
                <w:szCs w:val="12"/>
                <w:color w:val="auto"/>
              </w:rPr>
              <w:t>Other investments and policy loans at amortized cost:</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34"/>
        </w:trPr>
        <w:tc>
          <w:tcPr>
            <w:tcW w:w="3740" w:type="dxa"/>
            <w:vAlign w:val="bottom"/>
            <w:gridSpan w:val="3"/>
            <w:shd w:val="clear" w:color="auto" w:fill="CCEEFF"/>
          </w:tcPr>
          <w:p>
            <w:pPr>
              <w:ind w:left="260"/>
              <w:spacing w:after="0"/>
              <w:rPr>
                <w:sz w:val="20"/>
                <w:szCs w:val="20"/>
                <w:color w:val="auto"/>
              </w:rPr>
            </w:pPr>
            <w:r>
              <w:rPr>
                <w:rFonts w:ascii="Arial" w:cs="Arial" w:eastAsia="Arial" w:hAnsi="Arial"/>
                <w:sz w:val="12"/>
                <w:szCs w:val="12"/>
                <w:color w:val="auto"/>
              </w:rPr>
              <w:t>Policy loans</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14,762,805</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34"/>
        </w:trPr>
        <w:tc>
          <w:tcPr>
            <w:tcW w:w="3740" w:type="dxa"/>
            <w:vAlign w:val="bottom"/>
            <w:gridSpan w:val="3"/>
          </w:tcPr>
          <w:p>
            <w:pPr>
              <w:ind w:left="260"/>
              <w:spacing w:after="0"/>
              <w:rPr>
                <w:sz w:val="20"/>
                <w:szCs w:val="20"/>
                <w:color w:val="auto"/>
              </w:rPr>
            </w:pPr>
            <w:r>
              <w:rPr>
                <w:rFonts w:ascii="Arial" w:cs="Arial" w:eastAsia="Arial" w:hAnsi="Arial"/>
                <w:sz w:val="12"/>
                <w:szCs w:val="12"/>
                <w:color w:val="auto"/>
              </w:rPr>
              <w:t>Insurance assignments</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41,062,965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34"/>
        </w:trPr>
        <w:tc>
          <w:tcPr>
            <w:tcW w:w="3740" w:type="dxa"/>
            <w:vAlign w:val="bottom"/>
            <w:gridSpan w:val="3"/>
            <w:shd w:val="clear" w:color="auto" w:fill="CCEEFF"/>
          </w:tcPr>
          <w:p>
            <w:pPr>
              <w:ind w:left="260"/>
              <w:spacing w:after="0"/>
              <w:rPr>
                <w:sz w:val="20"/>
                <w:szCs w:val="20"/>
                <w:color w:val="auto"/>
              </w:rPr>
            </w:pPr>
            <w:r>
              <w:rPr>
                <w:rFonts w:ascii="Arial" w:cs="Arial" w:eastAsia="Arial" w:hAnsi="Arial"/>
                <w:sz w:val="12"/>
                <w:szCs w:val="12"/>
                <w:color w:val="auto"/>
              </w:rPr>
              <w:t>Federal Home Loan Bank stock (1)</w:t>
            </w: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894,300</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199"/>
        </w:trPr>
        <w:tc>
          <w:tcPr>
            <w:tcW w:w="3740" w:type="dxa"/>
            <w:vAlign w:val="bottom"/>
            <w:gridSpan w:val="3"/>
          </w:tcPr>
          <w:p>
            <w:pPr>
              <w:ind w:left="260"/>
              <w:spacing w:after="0"/>
              <w:rPr>
                <w:sz w:val="20"/>
                <w:szCs w:val="20"/>
                <w:color w:val="auto"/>
              </w:rPr>
            </w:pPr>
            <w:r>
              <w:rPr>
                <w:rFonts w:ascii="Arial" w:cs="Arial" w:eastAsia="Arial" w:hAnsi="Arial"/>
                <w:sz w:val="12"/>
                <w:szCs w:val="12"/>
                <w:color w:val="auto"/>
              </w:rPr>
              <w:t>Other investments</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4,973,225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99"/>
        </w:trPr>
        <w:tc>
          <w:tcPr>
            <w:tcW w:w="3740" w:type="dxa"/>
            <w:vAlign w:val="bottom"/>
            <w:gridSpan w:val="3"/>
            <w:shd w:val="clear" w:color="auto" w:fill="CCEEFF"/>
          </w:tcPr>
          <w:p>
            <w:pPr>
              <w:ind w:left="260"/>
              <w:spacing w:after="0"/>
              <w:rPr>
                <w:sz w:val="20"/>
                <w:szCs w:val="20"/>
                <w:color w:val="auto"/>
              </w:rPr>
            </w:pPr>
            <w:r>
              <w:rPr>
                <w:rFonts w:ascii="Arial" w:cs="Arial" w:eastAsia="Arial" w:hAnsi="Arial"/>
                <w:sz w:val="12"/>
                <w:szCs w:val="12"/>
                <w:color w:val="auto"/>
              </w:rPr>
              <w:t>Less: Allowance for doubtful accounts</w:t>
            </w:r>
          </w:p>
        </w:tc>
        <w:tc>
          <w:tcPr>
            <w:tcW w:w="2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(1,448,026)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144"/>
        </w:trPr>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99"/>
        </w:trPr>
        <w:tc>
          <w:tcPr>
            <w:tcW w:w="3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2"/>
                <w:szCs w:val="12"/>
                <w:color w:val="auto"/>
              </w:rPr>
              <w:t>Total policy loans and other investments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60,245,269</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27"/>
        </w:trPr>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99"/>
        </w:trPr>
        <w:tc>
          <w:tcPr>
            <w:tcW w:w="3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2"/>
                <w:szCs w:val="12"/>
                <w:color w:val="auto"/>
              </w:rPr>
              <w:t>Accrued investment income</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4,833,232</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27"/>
        </w:trPr>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99"/>
        </w:trPr>
        <w:tc>
          <w:tcPr>
            <w:tcW w:w="3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2"/>
                <w:szCs w:val="12"/>
                <w:color w:val="auto"/>
              </w:rPr>
              <w:t>Total investments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8"/>
              </w:rPr>
              <w:t>781,876,605</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27"/>
        </w:trPr>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40"/>
        </w:trPr>
        <w:tc>
          <w:tcPr>
            <w:tcW w:w="98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24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r>
    </w:tbl>
    <w:p>
      <w:pPr>
        <w:ind w:left="5"/>
        <w:spacing w:after="0"/>
        <w:rPr>
          <w:sz w:val="20"/>
          <w:szCs w:val="20"/>
          <w:color w:val="auto"/>
        </w:rPr>
      </w:pPr>
      <w:r>
        <w:rPr>
          <w:rFonts w:ascii="Arial" w:cs="Arial" w:eastAsia="Arial" w:hAnsi="Arial"/>
          <w:sz w:val="12"/>
          <w:szCs w:val="12"/>
          <w:color w:val="auto"/>
        </w:rPr>
        <w:t>(1) Includes $894,300 of Membership stock and $-0- of Activity stock due to short-term borrowings.</w:t>
      </w:r>
    </w:p>
    <w:p>
      <w:pPr>
        <w:spacing w:after="0" w:line="257" w:lineRule="exact"/>
        <w:rPr>
          <w:sz w:val="20"/>
          <w:szCs w:val="20"/>
          <w:color w:val="auto"/>
        </w:rPr>
      </w:pPr>
    </w:p>
    <w:p>
      <w:pPr>
        <w:ind w:left="3845"/>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498983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89830" cy="29845"/>
                    </a:xfrm>
                    <a:prstGeom prst="rect">
                      <a:avLst/>
                    </a:prstGeom>
                    <a:noFill/>
                  </pic:spPr>
                </pic:pic>
              </a:graphicData>
            </a:graphic>
          </wp:anchor>
        </w:drawing>
      </w:r>
    </w:p>
    <w:p>
      <w:pPr>
        <w:sectPr>
          <w:pgSz w:w="11900" w:h="16838" w:orient="portrait"/>
          <w:cols w:equalWidth="0" w:num="1">
            <w:col w:w="9304"/>
          </w:cols>
          <w:pgMar w:left="1155" w:top="324" w:right="1440" w:bottom="997" w:gutter="0" w:footer="0" w:header="0"/>
        </w:sectPr>
      </w:pPr>
    </w:p>
    <w:bookmarkStart w:id="13" w:name="page14"/>
    <w:bookmarkEnd w:id="13"/>
    <w:p>
      <w:pPr>
        <w:jc w:val="center"/>
        <w:ind w:left="1160" w:right="1140"/>
        <w:spacing w:after="0" w:line="257" w:lineRule="auto"/>
        <w:rPr>
          <w:sz w:val="20"/>
          <w:szCs w:val="20"/>
          <w:color w:val="auto"/>
        </w:rPr>
      </w:pPr>
      <w:r>
        <w:rPr>
          <w:rFonts w:ascii="Arial" w:cs="Arial" w:eastAsia="Arial" w:hAnsi="Arial"/>
          <w:sz w:val="17"/>
          <w:szCs w:val="17"/>
          <w:color w:val="auto"/>
        </w:rPr>
        <w:t>SECURITY NATIONAL FINANCIAL CORPORATION AND SUBSIDIARIES Notes to Condensed Consolidated Financial Statements March 31, 2020 (Unaudited)</w:t>
      </w:r>
    </w:p>
    <w:p>
      <w:pPr>
        <w:spacing w:after="0" w:line="97" w:lineRule="exact"/>
        <w:rPr>
          <w:sz w:val="20"/>
          <w:szCs w:val="20"/>
          <w:color w:val="auto"/>
        </w:rPr>
      </w:pPr>
    </w:p>
    <w:p>
      <w:pPr>
        <w:ind w:left="425" w:hanging="425"/>
        <w:spacing w:after="0"/>
        <w:tabs>
          <w:tab w:leader="none" w:pos="425"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Investments</w:t>
      </w:r>
      <w:r>
        <w:rPr>
          <w:rFonts w:ascii="Arial" w:cs="Arial" w:eastAsia="Arial" w:hAnsi="Arial"/>
          <w:sz w:val="17"/>
          <w:szCs w:val="17"/>
          <w:color w:val="auto"/>
        </w:rPr>
        <w:t xml:space="preserve"> (Continued)</w:t>
      </w:r>
    </w:p>
    <w:p>
      <w:pPr>
        <w:spacing w:after="0" w:line="219"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auto"/>
        </w:rPr>
        <w:t>Fixed Maturity Securities</w:t>
      </w:r>
    </w:p>
    <w:p>
      <w:pPr>
        <w:spacing w:after="0" w:line="208" w:lineRule="exact"/>
        <w:rPr>
          <w:sz w:val="20"/>
          <w:szCs w:val="20"/>
          <w:color w:val="auto"/>
        </w:rPr>
      </w:pPr>
    </w:p>
    <w:p>
      <w:pPr>
        <w:jc w:val="both"/>
        <w:ind w:left="5" w:right="1439"/>
        <w:spacing w:after="0" w:line="252" w:lineRule="auto"/>
        <w:rPr>
          <w:sz w:val="20"/>
          <w:szCs w:val="20"/>
          <w:color w:val="auto"/>
        </w:rPr>
      </w:pPr>
      <w:r>
        <w:rPr>
          <w:rFonts w:ascii="Arial" w:cs="Arial" w:eastAsia="Arial" w:hAnsi="Arial"/>
          <w:sz w:val="17"/>
          <w:szCs w:val="17"/>
          <w:color w:val="auto"/>
        </w:rPr>
        <w:t>The following tables summarize unrealized losses on fixed maturity securities available for sale, which are carried at estimated fair value, at March 31, 2020 and December 31, 2019. The unrealized losses were primarily related to interest rate fluctuations. The tables set forth unrealized losses by duration with the fair value of the related fixed maturity securities:</w:t>
      </w:r>
    </w:p>
    <w:p>
      <w:pPr>
        <w:spacing w:after="0" w:line="81" w:lineRule="exact"/>
        <w:rPr>
          <w:sz w:val="20"/>
          <w:szCs w:val="20"/>
          <w:color w:val="auto"/>
        </w:rPr>
      </w:pPr>
    </w:p>
    <w:tbl>
      <w:tblPr>
        <w:tblLayout w:type="fixed"/>
        <w:tblInd w:w="5" w:type="dxa"/>
        <w:tblCellMar>
          <w:top w:w="0" w:type="dxa"/>
          <w:left w:w="0" w:type="dxa"/>
          <w:bottom w:w="0" w:type="dxa"/>
          <w:right w:w="0" w:type="dxa"/>
        </w:tblCellMar>
      </w:tblPr>
      <w:tr>
        <w:trPr>
          <w:trHeight w:val="138"/>
        </w:trPr>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2"/>
                <w:szCs w:val="12"/>
                <w:color w:val="auto"/>
                <w:w w:val="97"/>
              </w:rPr>
              <w:t>Unrealized</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2"/>
                <w:szCs w:val="12"/>
                <w:color w:val="auto"/>
                <w:w w:val="94"/>
              </w:rPr>
              <w:t>Unrealized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29"/>
        </w:trPr>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20"/>
              <w:spacing w:after="0" w:line="129" w:lineRule="exact"/>
              <w:rPr>
                <w:sz w:val="20"/>
                <w:szCs w:val="20"/>
                <w:color w:val="auto"/>
              </w:rPr>
            </w:pPr>
            <w:r>
              <w:rPr>
                <w:rFonts w:ascii="Arial" w:cs="Arial" w:eastAsia="Arial" w:hAnsi="Arial"/>
                <w:sz w:val="12"/>
                <w:szCs w:val="12"/>
                <w:color w:val="auto"/>
                <w:w w:val="93"/>
              </w:rPr>
              <w:t>Losses for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20"/>
              <w:spacing w:after="0" w:line="129" w:lineRule="exact"/>
              <w:rPr>
                <w:sz w:val="20"/>
                <w:szCs w:val="20"/>
                <w:color w:val="auto"/>
              </w:rPr>
            </w:pPr>
            <w:r>
              <w:rPr>
                <w:rFonts w:ascii="Arial" w:cs="Arial" w:eastAsia="Arial" w:hAnsi="Arial"/>
                <w:sz w:val="12"/>
                <w:szCs w:val="12"/>
                <w:color w:val="auto"/>
                <w:w w:val="93"/>
              </w:rPr>
              <w:t>Losses for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29"/>
        </w:trPr>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20"/>
              <w:spacing w:after="0" w:line="129" w:lineRule="exact"/>
              <w:rPr>
                <w:sz w:val="20"/>
                <w:szCs w:val="20"/>
                <w:color w:val="auto"/>
              </w:rPr>
            </w:pPr>
            <w:r>
              <w:rPr>
                <w:rFonts w:ascii="Arial" w:cs="Arial" w:eastAsia="Arial" w:hAnsi="Arial"/>
                <w:sz w:val="12"/>
                <w:szCs w:val="12"/>
                <w:color w:val="auto"/>
                <w:w w:val="92"/>
              </w:rPr>
              <w:t>Less than</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20"/>
              <w:spacing w:after="0" w:line="129" w:lineRule="exact"/>
              <w:rPr>
                <w:sz w:val="20"/>
                <w:szCs w:val="20"/>
                <w:color w:val="auto"/>
              </w:rPr>
            </w:pPr>
            <w:r>
              <w:rPr>
                <w:rFonts w:ascii="Arial" w:cs="Arial" w:eastAsia="Arial" w:hAnsi="Arial"/>
                <w:sz w:val="12"/>
                <w:szCs w:val="12"/>
                <w:color w:val="auto"/>
                <w:w w:val="96"/>
              </w:rPr>
              <w:t>More than</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20"/>
              <w:spacing w:after="0" w:line="129" w:lineRule="exact"/>
              <w:rPr>
                <w:sz w:val="20"/>
                <w:szCs w:val="20"/>
                <w:color w:val="auto"/>
              </w:rPr>
            </w:pPr>
            <w:r>
              <w:rPr>
                <w:rFonts w:ascii="Arial" w:cs="Arial" w:eastAsia="Arial" w:hAnsi="Arial"/>
                <w:sz w:val="12"/>
                <w:szCs w:val="12"/>
                <w:color w:val="auto"/>
                <w:w w:val="89"/>
              </w:rPr>
              <w:t>Total</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29"/>
        </w:trPr>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20"/>
              <w:spacing w:after="0" w:line="129" w:lineRule="exact"/>
              <w:rPr>
                <w:sz w:val="20"/>
                <w:szCs w:val="20"/>
                <w:color w:val="auto"/>
              </w:rPr>
            </w:pPr>
            <w:r>
              <w:rPr>
                <w:rFonts w:ascii="Arial" w:cs="Arial" w:eastAsia="Arial" w:hAnsi="Arial"/>
                <w:sz w:val="12"/>
                <w:szCs w:val="12"/>
                <w:color w:val="auto"/>
                <w:w w:val="94"/>
              </w:rPr>
              <w:t>Twelve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20"/>
              <w:spacing w:after="0" w:line="129" w:lineRule="exact"/>
              <w:rPr>
                <w:sz w:val="20"/>
                <w:szCs w:val="20"/>
                <w:color w:val="auto"/>
              </w:rPr>
            </w:pPr>
            <w:r>
              <w:rPr>
                <w:rFonts w:ascii="Arial" w:cs="Arial" w:eastAsia="Arial" w:hAnsi="Arial"/>
                <w:sz w:val="12"/>
                <w:szCs w:val="12"/>
                <w:color w:val="auto"/>
                <w:w w:val="94"/>
              </w:rPr>
              <w:t>Twelve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20"/>
              <w:spacing w:after="0" w:line="129" w:lineRule="exact"/>
              <w:rPr>
                <w:sz w:val="20"/>
                <w:szCs w:val="20"/>
                <w:color w:val="auto"/>
              </w:rPr>
            </w:pPr>
            <w:r>
              <w:rPr>
                <w:rFonts w:ascii="Arial" w:cs="Arial" w:eastAsia="Arial" w:hAnsi="Arial"/>
                <w:sz w:val="12"/>
                <w:szCs w:val="12"/>
                <w:color w:val="auto"/>
                <w:w w:val="97"/>
              </w:rPr>
              <w:t>Unrealized</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56"/>
        </w:trPr>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2"/>
                <w:szCs w:val="12"/>
                <w:color w:val="auto"/>
              </w:rPr>
              <w:t>Months</w:t>
            </w:r>
          </w:p>
        </w:tc>
        <w:tc>
          <w:tcPr>
            <w:tcW w:w="10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Arial" w:cs="Arial" w:eastAsia="Arial" w:hAnsi="Arial"/>
                <w:sz w:val="12"/>
                <w:szCs w:val="12"/>
                <w:color w:val="auto"/>
              </w:rPr>
              <w:t>Fair Value</w:t>
            </w:r>
          </w:p>
        </w:tc>
        <w:tc>
          <w:tcPr>
            <w:tcW w:w="100" w:type="dxa"/>
            <w:vAlign w:val="bottom"/>
          </w:tcPr>
          <w:p>
            <w:pPr>
              <w:spacing w:after="0"/>
              <w:rPr>
                <w:sz w:val="13"/>
                <w:szCs w:val="13"/>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2"/>
                <w:szCs w:val="12"/>
                <w:color w:val="auto"/>
                <w:w w:val="96"/>
              </w:rPr>
              <w:t>Months</w:t>
            </w:r>
          </w:p>
        </w:tc>
        <w:tc>
          <w:tcPr>
            <w:tcW w:w="120" w:type="dxa"/>
            <w:vAlign w:val="bottom"/>
          </w:tcPr>
          <w:p>
            <w:pPr>
              <w:spacing w:after="0"/>
              <w:rPr>
                <w:sz w:val="13"/>
                <w:szCs w:val="13"/>
                <w:color w:val="auto"/>
              </w:rPr>
            </w:pPr>
          </w:p>
        </w:tc>
        <w:tc>
          <w:tcPr>
            <w:tcW w:w="940" w:type="dxa"/>
            <w:vAlign w:val="bottom"/>
            <w:gridSpan w:val="2"/>
          </w:tcPr>
          <w:p>
            <w:pPr>
              <w:spacing w:after="0"/>
              <w:rPr>
                <w:sz w:val="20"/>
                <w:szCs w:val="20"/>
                <w:color w:val="auto"/>
              </w:rPr>
            </w:pPr>
            <w:r>
              <w:rPr>
                <w:rFonts w:ascii="Arial" w:cs="Arial" w:eastAsia="Arial" w:hAnsi="Arial"/>
                <w:sz w:val="12"/>
                <w:szCs w:val="12"/>
                <w:color w:val="auto"/>
              </w:rPr>
              <w:t>Fair Value</w:t>
            </w:r>
          </w:p>
        </w:tc>
        <w:tc>
          <w:tcPr>
            <w:tcW w:w="10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2"/>
                <w:szCs w:val="12"/>
                <w:color w:val="auto"/>
                <w:w w:val="94"/>
              </w:rPr>
              <w:t>Loss</w:t>
            </w:r>
          </w:p>
        </w:tc>
        <w:tc>
          <w:tcPr>
            <w:tcW w:w="100" w:type="dxa"/>
            <w:vAlign w:val="bottom"/>
          </w:tcPr>
          <w:p>
            <w:pPr>
              <w:spacing w:after="0"/>
              <w:rPr>
                <w:sz w:val="13"/>
                <w:szCs w:val="13"/>
                <w:color w:val="auto"/>
              </w:rPr>
            </w:pPr>
          </w:p>
        </w:tc>
        <w:tc>
          <w:tcPr>
            <w:tcW w:w="660" w:type="dxa"/>
            <w:vAlign w:val="bottom"/>
          </w:tcPr>
          <w:p>
            <w:pPr>
              <w:jc w:val="right"/>
              <w:ind w:right="58"/>
              <w:spacing w:after="0"/>
              <w:rPr>
                <w:sz w:val="20"/>
                <w:szCs w:val="20"/>
                <w:color w:val="auto"/>
              </w:rPr>
            </w:pPr>
            <w:r>
              <w:rPr>
                <w:rFonts w:ascii="Arial" w:cs="Arial" w:eastAsia="Arial" w:hAnsi="Arial"/>
                <w:sz w:val="12"/>
                <w:szCs w:val="12"/>
                <w:color w:val="auto"/>
                <w:w w:val="95"/>
              </w:rPr>
              <w:t>Fair Value</w:t>
            </w:r>
          </w:p>
        </w:tc>
      </w:tr>
      <w:tr>
        <w:trPr>
          <w:trHeight w:val="167"/>
        </w:trPr>
        <w:tc>
          <w:tcPr>
            <w:tcW w:w="960" w:type="dxa"/>
            <w:vAlign w:val="bottom"/>
            <w:tcBorders>
              <w:bottom w:val="single" w:sz="8" w:color="auto"/>
            </w:tcBorders>
          </w:tcPr>
          <w:p>
            <w:pPr>
              <w:spacing w:after="0"/>
              <w:rPr>
                <w:sz w:val="20"/>
                <w:szCs w:val="20"/>
                <w:color w:val="auto"/>
              </w:rPr>
            </w:pPr>
            <w:r>
              <w:rPr>
                <w:rFonts w:ascii="Arial" w:cs="Arial" w:eastAsia="Arial" w:hAnsi="Arial"/>
                <w:sz w:val="12"/>
                <w:szCs w:val="12"/>
                <w:color w:val="auto"/>
                <w:w w:val="95"/>
              </w:rPr>
              <w:t>At March 31, 2020</w:t>
            </w:r>
          </w:p>
        </w:tc>
        <w:tc>
          <w:tcPr>
            <w:tcW w:w="1380" w:type="dxa"/>
            <w:vAlign w:val="bottom"/>
            <w:gridSpan w:val="2"/>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r>
      <w:tr>
        <w:trPr>
          <w:trHeight w:val="116"/>
        </w:trPr>
        <w:tc>
          <w:tcPr>
            <w:tcW w:w="2340" w:type="dxa"/>
            <w:vAlign w:val="bottom"/>
            <w:gridSpan w:val="3"/>
            <w:shd w:val="clear" w:color="auto" w:fill="CCEEFF"/>
          </w:tcPr>
          <w:p>
            <w:pPr>
              <w:spacing w:after="0" w:line="117" w:lineRule="exact"/>
              <w:rPr>
                <w:sz w:val="20"/>
                <w:szCs w:val="20"/>
                <w:color w:val="auto"/>
              </w:rPr>
            </w:pPr>
            <w:r>
              <w:rPr>
                <w:rFonts w:ascii="Arial" w:cs="Arial" w:eastAsia="Arial" w:hAnsi="Arial"/>
                <w:sz w:val="12"/>
                <w:szCs w:val="12"/>
                <w:color w:val="auto"/>
              </w:rPr>
              <w:t>Obligations of States and Political</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56"/>
        </w:trPr>
        <w:tc>
          <w:tcPr>
            <w:tcW w:w="23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Subdivisions</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9,121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1,517,439</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9,121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1,517,439</w:t>
            </w:r>
          </w:p>
        </w:tc>
      </w:tr>
      <w:tr>
        <w:trPr>
          <w:trHeight w:val="199"/>
        </w:trPr>
        <w:tc>
          <w:tcPr>
            <w:tcW w:w="2340" w:type="dxa"/>
            <w:vAlign w:val="bottom"/>
            <w:gridSpan w:val="3"/>
          </w:tcPr>
          <w:p>
            <w:pPr>
              <w:spacing w:after="0"/>
              <w:rPr>
                <w:sz w:val="20"/>
                <w:szCs w:val="20"/>
                <w:color w:val="auto"/>
              </w:rPr>
            </w:pPr>
            <w:r>
              <w:rPr>
                <w:rFonts w:ascii="Arial" w:cs="Arial" w:eastAsia="Arial" w:hAnsi="Arial"/>
                <w:sz w:val="12"/>
                <w:szCs w:val="12"/>
                <w:color w:val="auto"/>
              </w:rPr>
              <w:t>Corporate Securities</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6,202,615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45,578,852</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1,408,449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2,597,590</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7,611,064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48,176,442</w:t>
            </w:r>
          </w:p>
        </w:tc>
      </w:tr>
      <w:tr>
        <w:trPr>
          <w:trHeight w:val="199"/>
        </w:trPr>
        <w:tc>
          <w:tcPr>
            <w:tcW w:w="2340" w:type="dxa"/>
            <w:vAlign w:val="bottom"/>
            <w:gridSpan w:val="3"/>
            <w:shd w:val="clear" w:color="auto" w:fill="CCEEFF"/>
          </w:tcPr>
          <w:p>
            <w:pPr>
              <w:spacing w:after="0"/>
              <w:rPr>
                <w:sz w:val="20"/>
                <w:szCs w:val="20"/>
                <w:color w:val="auto"/>
              </w:rPr>
            </w:pPr>
            <w:r>
              <w:rPr>
                <w:rFonts w:ascii="Arial" w:cs="Arial" w:eastAsia="Arial" w:hAnsi="Arial"/>
                <w:sz w:val="12"/>
                <w:szCs w:val="12"/>
                <w:color w:val="auto"/>
                <w:w w:val="99"/>
              </w:rPr>
              <w:t>Mortgage and other asset-backed securities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1,285,828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20,262,301</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31,492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477,580</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1,317,320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20,739,881</w:t>
            </w:r>
          </w:p>
        </w:tc>
      </w:tr>
      <w:tr>
        <w:trPr>
          <w:trHeight w:val="199"/>
        </w:trPr>
        <w:tc>
          <w:tcPr>
            <w:tcW w:w="2340" w:type="dxa"/>
            <w:vAlign w:val="bottom"/>
            <w:tcBorders>
              <w:bottom w:val="single" w:sz="8" w:color="CCEEFF"/>
            </w:tcBorders>
            <w:gridSpan w:val="3"/>
          </w:tcPr>
          <w:p>
            <w:pPr>
              <w:spacing w:after="0"/>
              <w:rPr>
                <w:sz w:val="20"/>
                <w:szCs w:val="20"/>
                <w:color w:val="auto"/>
              </w:rPr>
            </w:pPr>
            <w:r>
              <w:rPr>
                <w:rFonts w:ascii="Arial" w:cs="Arial" w:eastAsia="Arial" w:hAnsi="Arial"/>
                <w:sz w:val="12"/>
                <w:szCs w:val="12"/>
                <w:color w:val="auto"/>
              </w:rPr>
              <w:t>Redeemable preferred stock</w:t>
            </w: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8,750</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241,250</w:t>
            </w:r>
          </w:p>
        </w:tc>
        <w:tc>
          <w:tcPr>
            <w:tcW w:w="3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8,750</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241,250</w:t>
            </w:r>
          </w:p>
        </w:tc>
      </w:tr>
      <w:tr>
        <w:trPr>
          <w:trHeight w:val="179"/>
        </w:trPr>
        <w:tc>
          <w:tcPr>
            <w:tcW w:w="23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2"/>
                <w:szCs w:val="12"/>
                <w:color w:val="auto"/>
              </w:rPr>
              <w:t>Total unrealized losses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7,506,314</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67,599,842</w:t>
            </w:r>
          </w:p>
        </w:tc>
        <w:tc>
          <w:tcPr>
            <w:tcW w:w="3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1,439,941</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3,075,170</w:t>
            </w:r>
          </w:p>
        </w:tc>
        <w:tc>
          <w:tcPr>
            <w:tcW w:w="3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8,946,255</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70,675,012</w:t>
            </w: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27"/>
        </w:trPr>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87"/>
        </w:trPr>
        <w:tc>
          <w:tcPr>
            <w:tcW w:w="23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At December 31, 2019</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20"/>
        </w:trPr>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r>
      <w:tr>
        <w:trPr>
          <w:trHeight w:val="190"/>
        </w:trPr>
        <w:tc>
          <w:tcPr>
            <w:tcW w:w="2340" w:type="dxa"/>
            <w:vAlign w:val="bottom"/>
            <w:gridSpan w:val="3"/>
          </w:tcPr>
          <w:p>
            <w:pPr>
              <w:spacing w:after="0"/>
              <w:rPr>
                <w:sz w:val="20"/>
                <w:szCs w:val="20"/>
                <w:color w:val="auto"/>
              </w:rPr>
            </w:pPr>
            <w:r>
              <w:rPr>
                <w:rFonts w:ascii="Arial" w:cs="Arial" w:eastAsia="Arial" w:hAnsi="Arial"/>
                <w:sz w:val="12"/>
                <w:szCs w:val="12"/>
                <w:color w:val="auto"/>
              </w:rPr>
              <w:t>U.S. Treasury Securities and Obligations</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9"/>
        </w:trPr>
        <w:tc>
          <w:tcPr>
            <w:tcW w:w="2340" w:type="dxa"/>
            <w:vAlign w:val="bottom"/>
            <w:gridSpan w:val="3"/>
            <w:shd w:val="clear" w:color="auto" w:fill="CCEEFF"/>
          </w:tcPr>
          <w:p>
            <w:pPr>
              <w:ind w:left="100"/>
              <w:spacing w:after="0"/>
              <w:rPr>
                <w:sz w:val="20"/>
                <w:szCs w:val="20"/>
                <w:color w:val="auto"/>
              </w:rPr>
            </w:pPr>
            <w:r>
              <w:rPr>
                <w:rFonts w:ascii="Arial" w:cs="Arial" w:eastAsia="Arial" w:hAnsi="Arial"/>
                <w:sz w:val="12"/>
                <w:szCs w:val="12"/>
                <w:color w:val="auto"/>
              </w:rPr>
              <w:t>of U.S. Government Agencies</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20,211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30,629,288</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10,000,400</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25,215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40,629,688</w:t>
            </w:r>
          </w:p>
        </w:tc>
      </w:tr>
      <w:tr>
        <w:trPr>
          <w:trHeight w:val="124"/>
        </w:trPr>
        <w:tc>
          <w:tcPr>
            <w:tcW w:w="2340" w:type="dxa"/>
            <w:vAlign w:val="bottom"/>
            <w:gridSpan w:val="3"/>
          </w:tcPr>
          <w:p>
            <w:pPr>
              <w:spacing w:after="0" w:line="125" w:lineRule="exact"/>
              <w:rPr>
                <w:sz w:val="20"/>
                <w:szCs w:val="20"/>
                <w:color w:val="auto"/>
              </w:rPr>
            </w:pPr>
            <w:r>
              <w:rPr>
                <w:rFonts w:ascii="Arial" w:cs="Arial" w:eastAsia="Arial" w:hAnsi="Arial"/>
                <w:sz w:val="12"/>
                <w:szCs w:val="12"/>
                <w:color w:val="auto"/>
              </w:rPr>
              <w:t>Obligations of States and Political</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56"/>
        </w:trPr>
        <w:tc>
          <w:tcPr>
            <w:tcW w:w="2340" w:type="dxa"/>
            <w:vAlign w:val="bottom"/>
            <w:gridSpan w:val="3"/>
          </w:tcPr>
          <w:p>
            <w:pPr>
              <w:spacing w:after="0"/>
              <w:rPr>
                <w:sz w:val="20"/>
                <w:szCs w:val="20"/>
                <w:color w:val="auto"/>
              </w:rPr>
            </w:pPr>
            <w:r>
              <w:rPr>
                <w:rFonts w:ascii="Arial" w:cs="Arial" w:eastAsia="Arial" w:hAnsi="Arial"/>
                <w:sz w:val="12"/>
                <w:szCs w:val="12"/>
                <w:color w:val="auto"/>
              </w:rPr>
              <w:t>Subdivisions</w:t>
            </w: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9,026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3,062,889</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9,026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3,062,889</w:t>
            </w:r>
          </w:p>
        </w:tc>
      </w:tr>
      <w:tr>
        <w:trPr>
          <w:trHeight w:val="199"/>
        </w:trPr>
        <w:tc>
          <w:tcPr>
            <w:tcW w:w="23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Corporate Securities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118,746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7,184,311</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344,667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3,950,509</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463,413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11,134,820</w:t>
            </w:r>
          </w:p>
        </w:tc>
      </w:tr>
      <w:tr>
        <w:trPr>
          <w:trHeight w:val="199"/>
        </w:trPr>
        <w:tc>
          <w:tcPr>
            <w:tcW w:w="2340" w:type="dxa"/>
            <w:vAlign w:val="bottom"/>
            <w:tcBorders>
              <w:bottom w:val="single" w:sz="8" w:color="CCEEFF"/>
            </w:tcBorders>
            <w:gridSpan w:val="3"/>
          </w:tcPr>
          <w:p>
            <w:pPr>
              <w:spacing w:after="0"/>
              <w:rPr>
                <w:sz w:val="20"/>
                <w:szCs w:val="20"/>
                <w:color w:val="auto"/>
              </w:rPr>
            </w:pPr>
            <w:r>
              <w:rPr>
                <w:rFonts w:ascii="Arial" w:cs="Arial" w:eastAsia="Arial" w:hAnsi="Arial"/>
                <w:sz w:val="12"/>
                <w:szCs w:val="12"/>
                <w:color w:val="auto"/>
                <w:w w:val="99"/>
              </w:rPr>
              <w:t>Mortgage and other asset-backed securities</w:t>
            </w: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205,470</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13,266,443</w:t>
            </w:r>
          </w:p>
        </w:tc>
        <w:tc>
          <w:tcPr>
            <w:tcW w:w="3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34,707</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502,769</w:t>
            </w:r>
          </w:p>
        </w:tc>
        <w:tc>
          <w:tcPr>
            <w:tcW w:w="3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240,177</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13,769,212</w:t>
            </w:r>
          </w:p>
        </w:tc>
      </w:tr>
      <w:tr>
        <w:trPr>
          <w:trHeight w:val="179"/>
        </w:trPr>
        <w:tc>
          <w:tcPr>
            <w:tcW w:w="23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2"/>
                <w:szCs w:val="12"/>
                <w:color w:val="auto"/>
              </w:rPr>
              <w:t>Total unrealized losses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353,453</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54,142,931</w:t>
            </w:r>
          </w:p>
        </w:tc>
        <w:tc>
          <w:tcPr>
            <w:tcW w:w="3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384,378</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14,453,678</w:t>
            </w:r>
          </w:p>
        </w:tc>
        <w:tc>
          <w:tcPr>
            <w:tcW w:w="3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737,831</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68,596,609</w:t>
            </w: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jc w:val="both"/>
        <w:ind w:left="5" w:right="1439"/>
        <w:spacing w:after="0" w:line="257" w:lineRule="auto"/>
        <w:rPr>
          <w:sz w:val="20"/>
          <w:szCs w:val="20"/>
          <w:color w:val="auto"/>
        </w:rPr>
      </w:pPr>
      <w:r>
        <w:rPr>
          <w:rFonts w:ascii="Arial" w:cs="Arial" w:eastAsia="Arial" w:hAnsi="Arial"/>
          <w:sz w:val="17"/>
          <w:szCs w:val="17"/>
          <w:color w:val="auto"/>
        </w:rPr>
        <w:t>There were 253 securities with fair value of 88.8% of amortized cost at March 31, 2020. There were 93 securities with fair value of 98.9% of amortized cost at December 31, 2019. No credit losses have been recognized for the three months ended March 31, 2020 and 2019.</w:t>
      </w:r>
    </w:p>
    <w:p>
      <w:pPr>
        <w:spacing w:after="0" w:line="167" w:lineRule="exact"/>
        <w:rPr>
          <w:sz w:val="20"/>
          <w:szCs w:val="20"/>
          <w:color w:val="auto"/>
        </w:rPr>
      </w:pPr>
    </w:p>
    <w:p>
      <w:pPr>
        <w:jc w:val="both"/>
        <w:ind w:left="5" w:right="1439"/>
        <w:spacing w:after="0" w:line="282" w:lineRule="auto"/>
        <w:rPr>
          <w:sz w:val="20"/>
          <w:szCs w:val="20"/>
          <w:color w:val="auto"/>
        </w:rPr>
      </w:pPr>
      <w:r>
        <w:rPr>
          <w:rFonts w:ascii="Arial" w:cs="Arial" w:eastAsia="Arial" w:hAnsi="Arial"/>
          <w:sz w:val="15"/>
          <w:szCs w:val="15"/>
          <w:color w:val="auto"/>
        </w:rPr>
        <w:t>On a quarterly basis, the Company evaluates its fixed maturity securities available for sale. This evaluation includes a review of current ratings by the National Association of Insurance Commissions (“NAIC”). Securities with a rating of 1 or 2 are considered investment grade and are not reviewed for impairment. Securities with ratings of 3 to 5 are evaluated for impairment. Securities with a rating of 6 are automatically determined to be impaired and are written down. The evaluation involves an analysis of the securities in relation to historical values, interest payment history, projected earnings and revenue growth rates as well as a review of the reason for a downgrade in the NAIC rating. Based on the analysis of a security that is rated 3 to 5, a determination is made whether the security will likely make interest and principal payments in accordance with the terms of the financial instrument. If it is unlikely that the security will meet contractual obligations, the loss is considered to be other than temporary, the security is written down to the new anticipated market value and an impairment loss is recognized. Impairment losses are treated as credit losses as the Company holds fixed maturity securities to maturity unless the underlying conditions have changed in the financial instrument to require an impairment.</w:t>
      </w:r>
    </w:p>
    <w:p>
      <w:pPr>
        <w:spacing w:after="0" w:line="152" w:lineRule="exact"/>
        <w:rPr>
          <w:sz w:val="20"/>
          <w:szCs w:val="20"/>
          <w:color w:val="auto"/>
        </w:rPr>
      </w:pPr>
    </w:p>
    <w:p>
      <w:pPr>
        <w:jc w:val="both"/>
        <w:ind w:left="5" w:right="1439"/>
        <w:spacing w:after="0" w:line="252" w:lineRule="auto"/>
        <w:rPr>
          <w:sz w:val="20"/>
          <w:szCs w:val="20"/>
          <w:color w:val="auto"/>
        </w:rPr>
      </w:pPr>
      <w:r>
        <w:rPr>
          <w:rFonts w:ascii="Arial" w:cs="Arial" w:eastAsia="Arial" w:hAnsi="Arial"/>
          <w:sz w:val="17"/>
          <w:szCs w:val="17"/>
          <w:color w:val="auto"/>
        </w:rPr>
        <w:t>The fair values of fixed maturity securities are based on quoted market prices, when available. For fixed maturity securities not actively traded, fair values are estimated using values obtained from independent pricing services, or in the case of private placements, are estimated by discounting expected future cash flows using a current market value applicable to the coupon rate, credit and maturity of the investments.</w:t>
      </w:r>
    </w:p>
    <w:p>
      <w:pPr>
        <w:spacing w:after="0" w:line="185" w:lineRule="exact"/>
        <w:rPr>
          <w:sz w:val="20"/>
          <w:szCs w:val="20"/>
          <w:color w:val="auto"/>
        </w:rPr>
      </w:pPr>
    </w:p>
    <w:p>
      <w:pPr>
        <w:ind w:left="3845"/>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498983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89830" cy="29845"/>
                    </a:xfrm>
                    <a:prstGeom prst="rect">
                      <a:avLst/>
                    </a:prstGeom>
                    <a:noFill/>
                  </pic:spPr>
                </pic:pic>
              </a:graphicData>
            </a:graphic>
          </wp:anchor>
        </w:drawing>
      </w:r>
    </w:p>
    <w:p>
      <w:pPr>
        <w:sectPr>
          <w:pgSz w:w="11900" w:h="16838" w:orient="portrait"/>
          <w:cols w:equalWidth="0" w:num="1">
            <w:col w:w="9304"/>
          </w:cols>
          <w:pgMar w:left="1155" w:top="324" w:right="1440" w:bottom="1440" w:gutter="0" w:footer="0" w:header="0"/>
        </w:sectPr>
      </w:pPr>
    </w:p>
    <w:bookmarkStart w:id="14" w:name="page15"/>
    <w:bookmarkEnd w:id="14"/>
    <w:p>
      <w:pPr>
        <w:jc w:val="center"/>
        <w:ind w:left="1160" w:right="1140"/>
        <w:spacing w:after="0" w:line="257" w:lineRule="auto"/>
        <w:rPr>
          <w:sz w:val="20"/>
          <w:szCs w:val="20"/>
          <w:color w:val="auto"/>
        </w:rPr>
      </w:pPr>
      <w:r>
        <w:rPr>
          <w:rFonts w:ascii="Arial" w:cs="Arial" w:eastAsia="Arial" w:hAnsi="Arial"/>
          <w:sz w:val="17"/>
          <w:szCs w:val="17"/>
          <w:color w:val="auto"/>
        </w:rPr>
        <w:t>SECURITY NATIONAL FINANCIAL CORPORATION AND SUBSIDIARIES Notes to Condensed Consolidated Financial Statements March 31, 2020 (Unaudited)</w:t>
      </w:r>
    </w:p>
    <w:p>
      <w:pPr>
        <w:spacing w:after="0" w:line="97" w:lineRule="exact"/>
        <w:rPr>
          <w:sz w:val="20"/>
          <w:szCs w:val="20"/>
          <w:color w:val="auto"/>
        </w:rPr>
      </w:pPr>
    </w:p>
    <w:p>
      <w:pPr>
        <w:ind w:left="425" w:hanging="425"/>
        <w:spacing w:after="0"/>
        <w:tabs>
          <w:tab w:leader="none" w:pos="425"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Investments</w:t>
      </w:r>
      <w:r>
        <w:rPr>
          <w:rFonts w:ascii="Arial" w:cs="Arial" w:eastAsia="Arial" w:hAnsi="Arial"/>
          <w:sz w:val="17"/>
          <w:szCs w:val="17"/>
          <w:color w:val="auto"/>
        </w:rPr>
        <w:t xml:space="preserve"> (Continued)</w:t>
      </w:r>
    </w:p>
    <w:p>
      <w:pPr>
        <w:spacing w:after="0" w:line="225" w:lineRule="exact"/>
        <w:rPr>
          <w:sz w:val="20"/>
          <w:szCs w:val="20"/>
          <w:color w:val="auto"/>
        </w:rPr>
      </w:pPr>
    </w:p>
    <w:p>
      <w:pPr>
        <w:jc w:val="both"/>
        <w:ind w:left="5" w:right="1439"/>
        <w:spacing w:after="0" w:line="280" w:lineRule="auto"/>
        <w:rPr>
          <w:sz w:val="20"/>
          <w:szCs w:val="20"/>
          <w:color w:val="auto"/>
        </w:rPr>
      </w:pPr>
      <w:r>
        <w:rPr>
          <w:rFonts w:ascii="Arial" w:cs="Arial" w:eastAsia="Arial" w:hAnsi="Arial"/>
          <w:sz w:val="16"/>
          <w:szCs w:val="16"/>
          <w:color w:val="auto"/>
        </w:rPr>
        <w:t>The amortized cost and estimated fair value of fixed maturity securities available for sale, at March 31, 2020, by contractual maturity, are shown below. Expected maturities may differ from contractual maturities because certain borrowers may have the right to call or prepay obligations with or without call or prepayment penalties.</w:t>
      </w:r>
    </w:p>
    <w:p>
      <w:pPr>
        <w:spacing w:after="0" w:line="165" w:lineRule="exact"/>
        <w:rPr>
          <w:sz w:val="20"/>
          <w:szCs w:val="20"/>
          <w:color w:val="auto"/>
        </w:rPr>
      </w:pPr>
    </w:p>
    <w:tbl>
      <w:tblPr>
        <w:tblLayout w:type="fixed"/>
        <w:tblInd w:w="545" w:type="dxa"/>
        <w:tblCellMar>
          <w:top w:w="0" w:type="dxa"/>
          <w:left w:w="0" w:type="dxa"/>
          <w:bottom w:w="0" w:type="dxa"/>
          <w:right w:w="0" w:type="dxa"/>
        </w:tblCellMar>
      </w:tblPr>
      <w:tr>
        <w:trPr>
          <w:trHeight w:val="187"/>
        </w:trPr>
        <w:tc>
          <w:tcPr>
            <w:tcW w:w="2380" w:type="dxa"/>
            <w:vAlign w:val="bottom"/>
          </w:tcPr>
          <w:p>
            <w:pPr>
              <w:spacing w:after="0"/>
              <w:rPr>
                <w:sz w:val="16"/>
                <w:szCs w:val="16"/>
                <w:color w:val="auto"/>
              </w:rPr>
            </w:pPr>
          </w:p>
        </w:tc>
        <w:tc>
          <w:tcPr>
            <w:tcW w:w="1480" w:type="dxa"/>
            <w:vAlign w:val="bottom"/>
            <w:gridSpan w:val="3"/>
          </w:tcPr>
          <w:p>
            <w:pPr>
              <w:ind w:left="280"/>
              <w:spacing w:after="0"/>
              <w:rPr>
                <w:sz w:val="20"/>
                <w:szCs w:val="20"/>
                <w:color w:val="auto"/>
              </w:rPr>
            </w:pPr>
            <w:r>
              <w:rPr>
                <w:rFonts w:ascii="Arial" w:cs="Arial" w:eastAsia="Arial" w:hAnsi="Arial"/>
                <w:sz w:val="16"/>
                <w:szCs w:val="16"/>
                <w:color w:val="auto"/>
              </w:rPr>
              <w:t>Amortized</w:t>
            </w:r>
          </w:p>
        </w:tc>
        <w:tc>
          <w:tcPr>
            <w:tcW w:w="1300" w:type="dxa"/>
            <w:vAlign w:val="bottom"/>
            <w:gridSpan w:val="2"/>
          </w:tcPr>
          <w:p>
            <w:pPr>
              <w:jc w:val="right"/>
              <w:ind w:right="142"/>
              <w:spacing w:after="0"/>
              <w:rPr>
                <w:sz w:val="20"/>
                <w:szCs w:val="20"/>
                <w:color w:val="auto"/>
              </w:rPr>
            </w:pPr>
            <w:r>
              <w:rPr>
                <w:rFonts w:ascii="Arial" w:cs="Arial" w:eastAsia="Arial" w:hAnsi="Arial"/>
                <w:sz w:val="16"/>
                <w:szCs w:val="16"/>
                <w:color w:val="auto"/>
              </w:rPr>
              <w:t>Estimated Fair</w:t>
            </w:r>
          </w:p>
        </w:tc>
      </w:tr>
      <w:tr>
        <w:trPr>
          <w:trHeight w:val="205"/>
        </w:trPr>
        <w:tc>
          <w:tcPr>
            <w:tcW w:w="2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gridSpan w:val="2"/>
          </w:tcPr>
          <w:p>
            <w:pPr>
              <w:ind w:left="80"/>
              <w:spacing w:after="0"/>
              <w:rPr>
                <w:sz w:val="20"/>
                <w:szCs w:val="20"/>
                <w:color w:val="auto"/>
              </w:rPr>
            </w:pPr>
            <w:r>
              <w:rPr>
                <w:rFonts w:ascii="Arial" w:cs="Arial" w:eastAsia="Arial" w:hAnsi="Arial"/>
                <w:sz w:val="16"/>
                <w:szCs w:val="16"/>
                <w:color w:val="auto"/>
              </w:rPr>
              <w:t>Cost</w:t>
            </w:r>
          </w:p>
        </w:tc>
        <w:tc>
          <w:tcPr>
            <w:tcW w:w="340" w:type="dxa"/>
            <w:vAlign w:val="bottom"/>
          </w:tcPr>
          <w:p>
            <w:pPr>
              <w:spacing w:after="0"/>
              <w:rPr>
                <w:sz w:val="17"/>
                <w:szCs w:val="17"/>
                <w:color w:val="auto"/>
              </w:rPr>
            </w:pPr>
          </w:p>
        </w:tc>
        <w:tc>
          <w:tcPr>
            <w:tcW w:w="960" w:type="dxa"/>
            <w:vAlign w:val="bottom"/>
          </w:tcPr>
          <w:p>
            <w:pPr>
              <w:jc w:val="right"/>
              <w:ind w:right="482"/>
              <w:spacing w:after="0"/>
              <w:rPr>
                <w:sz w:val="20"/>
                <w:szCs w:val="20"/>
                <w:color w:val="auto"/>
              </w:rPr>
            </w:pPr>
            <w:r>
              <w:rPr>
                <w:rFonts w:ascii="Arial" w:cs="Arial" w:eastAsia="Arial" w:hAnsi="Arial"/>
                <w:sz w:val="16"/>
                <w:szCs w:val="16"/>
                <w:color w:val="auto"/>
                <w:w w:val="92"/>
              </w:rPr>
              <w:t>Value</w:t>
            </w:r>
          </w:p>
        </w:tc>
      </w:tr>
      <w:tr>
        <w:trPr>
          <w:trHeight w:val="208"/>
        </w:trPr>
        <w:tc>
          <w:tcPr>
            <w:tcW w:w="23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Due in 1 year</w:t>
            </w:r>
          </w:p>
        </w:tc>
        <w:tc>
          <w:tcPr>
            <w:tcW w:w="3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73,238,213</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73,502,130</w:t>
            </w:r>
          </w:p>
        </w:tc>
      </w:tr>
      <w:tr>
        <w:trPr>
          <w:trHeight w:val="205"/>
        </w:trPr>
        <w:tc>
          <w:tcPr>
            <w:tcW w:w="2380" w:type="dxa"/>
            <w:vAlign w:val="bottom"/>
          </w:tcPr>
          <w:p>
            <w:pPr>
              <w:ind w:left="160"/>
              <w:spacing w:after="0"/>
              <w:rPr>
                <w:sz w:val="20"/>
                <w:szCs w:val="20"/>
                <w:color w:val="auto"/>
              </w:rPr>
            </w:pPr>
            <w:r>
              <w:rPr>
                <w:rFonts w:ascii="Arial" w:cs="Arial" w:eastAsia="Arial" w:hAnsi="Arial"/>
                <w:sz w:val="16"/>
                <w:szCs w:val="16"/>
                <w:color w:val="auto"/>
              </w:rPr>
              <w:t>Due in 2-5 years</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71,857,335</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73,583,452</w:t>
            </w:r>
          </w:p>
        </w:tc>
      </w:tr>
      <w:tr>
        <w:trPr>
          <w:trHeight w:val="216"/>
        </w:trPr>
        <w:tc>
          <w:tcPr>
            <w:tcW w:w="23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Due in 5-10 years</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77,612,911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76,748,155</w:t>
            </w:r>
          </w:p>
        </w:tc>
      </w:tr>
      <w:tr>
        <w:trPr>
          <w:trHeight w:val="205"/>
        </w:trPr>
        <w:tc>
          <w:tcPr>
            <w:tcW w:w="2380" w:type="dxa"/>
            <w:vAlign w:val="bottom"/>
          </w:tcPr>
          <w:p>
            <w:pPr>
              <w:ind w:left="160"/>
              <w:spacing w:after="0"/>
              <w:rPr>
                <w:sz w:val="20"/>
                <w:szCs w:val="20"/>
                <w:color w:val="auto"/>
              </w:rPr>
            </w:pPr>
            <w:r>
              <w:rPr>
                <w:rFonts w:ascii="Arial" w:cs="Arial" w:eastAsia="Arial" w:hAnsi="Arial"/>
                <w:sz w:val="16"/>
                <w:szCs w:val="16"/>
                <w:color w:val="auto"/>
              </w:rPr>
              <w:t>Due in more than 10 years</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68,194,390</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73,831,361</w:t>
            </w:r>
          </w:p>
        </w:tc>
      </w:tr>
      <w:tr>
        <w:trPr>
          <w:trHeight w:val="216"/>
        </w:trPr>
        <w:tc>
          <w:tcPr>
            <w:tcW w:w="23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Mortgage-backed securities</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31,789,238</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31,106,494</w:t>
            </w:r>
          </w:p>
        </w:tc>
      </w:tr>
      <w:tr>
        <w:trPr>
          <w:trHeight w:val="205"/>
        </w:trPr>
        <w:tc>
          <w:tcPr>
            <w:tcW w:w="238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Redeemable preferred stock</w:t>
            </w: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364,339</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373,970</w:t>
            </w:r>
          </w:p>
        </w:tc>
      </w:tr>
      <w:tr>
        <w:trPr>
          <w:trHeight w:val="208"/>
        </w:trPr>
        <w:tc>
          <w:tcPr>
            <w:tcW w:w="23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323,056,426</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329,145,562</w:t>
            </w:r>
          </w:p>
        </w:tc>
      </w:tr>
      <w:tr>
        <w:trPr>
          <w:trHeight w:val="20"/>
        </w:trPr>
        <w:tc>
          <w:tcPr>
            <w:tcW w:w="2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5" w:right="1439"/>
        <w:spacing w:after="0" w:line="250" w:lineRule="auto"/>
        <w:rPr>
          <w:sz w:val="20"/>
          <w:szCs w:val="20"/>
          <w:color w:val="auto"/>
        </w:rPr>
      </w:pPr>
      <w:r>
        <w:rPr>
          <w:rFonts w:ascii="Arial" w:cs="Arial" w:eastAsia="Arial" w:hAnsi="Arial"/>
          <w:sz w:val="17"/>
          <w:szCs w:val="17"/>
          <w:color w:val="auto"/>
        </w:rPr>
        <w:t>The Company is a member of the Federal Home Loan Bank of Des Moines and Dallas (“FHLB”). The Company pledged a total of $110,000,000, par value, of United States Treasury fixed maturity securities with the FHLB at March 31, 2020. These securities are used as collateral on any cash borrowings from the FHLB. As of March 31, 2020, the Company owed $20,000,000 to the FHLB and its estimated remaining maximum borrowing capacity was $88,389,000.</w:t>
      </w:r>
    </w:p>
    <w:p>
      <w:pPr>
        <w:spacing w:after="0" w:line="169"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auto"/>
        </w:rPr>
        <w:t>Investment Related Earnings</w:t>
      </w:r>
    </w:p>
    <w:p>
      <w:pPr>
        <w:spacing w:after="0" w:line="208" w:lineRule="exact"/>
        <w:rPr>
          <w:sz w:val="20"/>
          <w:szCs w:val="20"/>
          <w:color w:val="auto"/>
        </w:rPr>
      </w:pPr>
    </w:p>
    <w:p>
      <w:pPr>
        <w:jc w:val="both"/>
        <w:ind w:left="5" w:right="1439"/>
        <w:spacing w:after="0" w:line="270" w:lineRule="auto"/>
        <w:rPr>
          <w:sz w:val="20"/>
          <w:szCs w:val="20"/>
          <w:color w:val="auto"/>
        </w:rPr>
      </w:pPr>
      <w:r>
        <w:rPr>
          <w:rFonts w:ascii="Arial" w:cs="Arial" w:eastAsia="Arial" w:hAnsi="Arial"/>
          <w:sz w:val="17"/>
          <w:szCs w:val="17"/>
          <w:color w:val="auto"/>
        </w:rPr>
        <w:t>The Company’s net realized gains and losses from sales, calls, and maturities, unrealized gains and losses on equity securities, and other than temporary impairments are summarized as follows:</w:t>
      </w:r>
    </w:p>
    <w:p>
      <w:pPr>
        <w:spacing w:after="0" w:line="170" w:lineRule="exact"/>
        <w:rPr>
          <w:sz w:val="20"/>
          <w:szCs w:val="20"/>
          <w:color w:val="auto"/>
        </w:rPr>
      </w:pPr>
    </w:p>
    <w:tbl>
      <w:tblPr>
        <w:tblLayout w:type="fixed"/>
        <w:tblInd w:w="5" w:type="dxa"/>
        <w:tblCellMar>
          <w:top w:w="0" w:type="dxa"/>
          <w:left w:w="0" w:type="dxa"/>
          <w:bottom w:w="0" w:type="dxa"/>
          <w:right w:w="0" w:type="dxa"/>
        </w:tblCellMar>
      </w:tblPr>
      <w:tr>
        <w:trPr>
          <w:trHeight w:val="205"/>
        </w:trPr>
        <w:tc>
          <w:tcPr>
            <w:tcW w:w="3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0" w:type="dxa"/>
            <w:vAlign w:val="bottom"/>
            <w:tcBorders>
              <w:bottom w:val="single" w:sz="8" w:color="auto"/>
            </w:tcBorders>
            <w:gridSpan w:val="5"/>
          </w:tcPr>
          <w:p>
            <w:pPr>
              <w:jc w:val="right"/>
              <w:ind w:right="234"/>
              <w:spacing w:after="0"/>
              <w:rPr>
                <w:sz w:val="20"/>
                <w:szCs w:val="20"/>
                <w:color w:val="auto"/>
              </w:rPr>
            </w:pPr>
            <w:r>
              <w:rPr>
                <w:rFonts w:ascii="Arial" w:cs="Arial" w:eastAsia="Arial" w:hAnsi="Arial"/>
                <w:sz w:val="16"/>
                <w:szCs w:val="16"/>
                <w:color w:val="auto"/>
              </w:rPr>
              <w:t>Three Months Ended March 31</w:t>
            </w:r>
          </w:p>
        </w:tc>
        <w:tc>
          <w:tcPr>
            <w:tcW w:w="1380" w:type="dxa"/>
            <w:vAlign w:val="bottom"/>
          </w:tcPr>
          <w:p>
            <w:pPr>
              <w:spacing w:after="0"/>
              <w:rPr>
                <w:sz w:val="17"/>
                <w:szCs w:val="17"/>
                <w:color w:val="auto"/>
              </w:rPr>
            </w:pPr>
          </w:p>
        </w:tc>
      </w:tr>
      <w:tr>
        <w:trPr>
          <w:trHeight w:val="217"/>
        </w:trPr>
        <w:tc>
          <w:tcPr>
            <w:tcW w:w="356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2020</w:t>
            </w: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w w:val="89"/>
              </w:rPr>
              <w:t>2019</w:t>
            </w:r>
          </w:p>
        </w:tc>
        <w:tc>
          <w:tcPr>
            <w:tcW w:w="1380" w:type="dxa"/>
            <w:vAlign w:val="bottom"/>
          </w:tcPr>
          <w:p>
            <w:pPr>
              <w:spacing w:after="0"/>
              <w:rPr>
                <w:sz w:val="18"/>
                <w:szCs w:val="18"/>
                <w:color w:val="auto"/>
              </w:rPr>
            </w:pPr>
          </w:p>
        </w:tc>
      </w:tr>
      <w:tr>
        <w:trPr>
          <w:trHeight w:val="205"/>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Fixed maturity securities:</w:t>
            </w: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380" w:type="dxa"/>
            <w:vAlign w:val="bottom"/>
          </w:tcPr>
          <w:p>
            <w:pPr>
              <w:spacing w:after="0"/>
              <w:rPr>
                <w:sz w:val="17"/>
                <w:szCs w:val="17"/>
                <w:color w:val="auto"/>
              </w:rPr>
            </w:pPr>
          </w:p>
        </w:tc>
      </w:tr>
      <w:tr>
        <w:trPr>
          <w:trHeight w:val="219"/>
        </w:trPr>
        <w:tc>
          <w:tcPr>
            <w:tcW w:w="3560" w:type="dxa"/>
            <w:vAlign w:val="bottom"/>
          </w:tcPr>
          <w:p>
            <w:pPr>
              <w:ind w:left="360"/>
              <w:spacing w:after="0"/>
              <w:rPr>
                <w:sz w:val="20"/>
                <w:szCs w:val="20"/>
                <w:color w:val="auto"/>
              </w:rPr>
            </w:pPr>
            <w:r>
              <w:rPr>
                <w:rFonts w:ascii="Arial" w:cs="Arial" w:eastAsia="Arial" w:hAnsi="Arial"/>
                <w:sz w:val="17"/>
                <w:szCs w:val="17"/>
                <w:color w:val="auto"/>
              </w:rPr>
              <w:t>Gross realized gains</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95,821</w:t>
            </w: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85,587</w:t>
            </w:r>
          </w:p>
        </w:tc>
        <w:tc>
          <w:tcPr>
            <w:tcW w:w="1380" w:type="dxa"/>
            <w:vAlign w:val="bottom"/>
          </w:tcPr>
          <w:p>
            <w:pPr>
              <w:spacing w:after="0"/>
              <w:rPr>
                <w:sz w:val="19"/>
                <w:szCs w:val="19"/>
                <w:color w:val="auto"/>
              </w:rPr>
            </w:pPr>
          </w:p>
        </w:tc>
      </w:tr>
      <w:tr>
        <w:trPr>
          <w:trHeight w:val="225"/>
        </w:trPr>
        <w:tc>
          <w:tcPr>
            <w:tcW w:w="35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Gross realized losses</w:t>
            </w: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(35,393)</w:t>
            </w:r>
          </w:p>
        </w:tc>
        <w:tc>
          <w:tcPr>
            <w:tcW w:w="1380" w:type="dxa"/>
            <w:vAlign w:val="bottom"/>
          </w:tcPr>
          <w:p>
            <w:pPr>
              <w:spacing w:after="0"/>
              <w:rPr>
                <w:sz w:val="19"/>
                <w:szCs w:val="19"/>
                <w:color w:val="auto"/>
              </w:rPr>
            </w:pPr>
          </w:p>
        </w:tc>
      </w:tr>
      <w:tr>
        <w:trPr>
          <w:trHeight w:val="222"/>
        </w:trPr>
        <w:tc>
          <w:tcPr>
            <w:tcW w:w="3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2"/>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Equity securities:</w:t>
            </w: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380" w:type="dxa"/>
            <w:vAlign w:val="bottom"/>
          </w:tcPr>
          <w:p>
            <w:pPr>
              <w:spacing w:after="0"/>
              <w:rPr>
                <w:sz w:val="19"/>
                <w:szCs w:val="19"/>
                <w:color w:val="auto"/>
              </w:rPr>
            </w:pPr>
          </w:p>
        </w:tc>
      </w:tr>
      <w:tr>
        <w:trPr>
          <w:trHeight w:val="219"/>
        </w:trPr>
        <w:tc>
          <w:tcPr>
            <w:tcW w:w="3560" w:type="dxa"/>
            <w:vAlign w:val="bottom"/>
          </w:tcPr>
          <w:p>
            <w:pPr>
              <w:ind w:left="360"/>
              <w:spacing w:after="0"/>
              <w:rPr>
                <w:sz w:val="20"/>
                <w:szCs w:val="20"/>
                <w:color w:val="auto"/>
              </w:rPr>
            </w:pPr>
            <w:r>
              <w:rPr>
                <w:rFonts w:ascii="Arial" w:cs="Arial" w:eastAsia="Arial" w:hAnsi="Arial"/>
                <w:sz w:val="17"/>
                <w:szCs w:val="17"/>
                <w:color w:val="auto"/>
              </w:rPr>
              <w:t>Gains (losses) on securities sold</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(57,442)</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11,576</w:t>
            </w:r>
          </w:p>
        </w:tc>
        <w:tc>
          <w:tcPr>
            <w:tcW w:w="1380" w:type="dxa"/>
            <w:vAlign w:val="bottom"/>
          </w:tcPr>
          <w:p>
            <w:pPr>
              <w:spacing w:after="0"/>
              <w:rPr>
                <w:sz w:val="19"/>
                <w:szCs w:val="19"/>
                <w:color w:val="auto"/>
              </w:rPr>
            </w:pPr>
          </w:p>
        </w:tc>
      </w:tr>
      <w:tr>
        <w:trPr>
          <w:trHeight w:val="198"/>
        </w:trPr>
        <w:tc>
          <w:tcPr>
            <w:tcW w:w="3560" w:type="dxa"/>
            <w:vAlign w:val="bottom"/>
            <w:shd w:val="clear" w:color="auto" w:fill="CCEEFF"/>
          </w:tcPr>
          <w:p>
            <w:pPr>
              <w:ind w:left="360"/>
              <w:spacing w:after="0"/>
              <w:rPr>
                <w:sz w:val="20"/>
                <w:szCs w:val="20"/>
                <w:color w:val="auto"/>
              </w:rPr>
            </w:pPr>
            <w:r>
              <w:rPr>
                <w:rFonts w:ascii="Arial" w:cs="Arial" w:eastAsia="Arial" w:hAnsi="Arial"/>
                <w:sz w:val="17"/>
                <w:szCs w:val="17"/>
                <w:color w:val="auto"/>
                <w:w w:val="98"/>
              </w:rPr>
              <w:t>Unrealized gains and (losses) on securities</w:t>
            </w: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380" w:type="dxa"/>
            <w:vAlign w:val="bottom"/>
          </w:tcPr>
          <w:p>
            <w:pPr>
              <w:spacing w:after="0"/>
              <w:rPr>
                <w:sz w:val="17"/>
                <w:szCs w:val="17"/>
                <w:color w:val="auto"/>
              </w:rPr>
            </w:pPr>
          </w:p>
        </w:tc>
      </w:tr>
      <w:tr>
        <w:trPr>
          <w:trHeight w:val="225"/>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held at the end of the period</w:t>
            </w: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(2,761,856)</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761,208</w:t>
            </w:r>
          </w:p>
        </w:tc>
        <w:tc>
          <w:tcPr>
            <w:tcW w:w="1380" w:type="dxa"/>
            <w:vAlign w:val="bottom"/>
          </w:tcPr>
          <w:p>
            <w:pPr>
              <w:spacing w:after="0"/>
              <w:rPr>
                <w:sz w:val="19"/>
                <w:szCs w:val="19"/>
                <w:color w:val="auto"/>
              </w:rPr>
            </w:pPr>
          </w:p>
        </w:tc>
      </w:tr>
      <w:tr>
        <w:trPr>
          <w:trHeight w:val="222"/>
        </w:trPr>
        <w:tc>
          <w:tcPr>
            <w:tcW w:w="3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2"/>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380" w:type="dxa"/>
            <w:vAlign w:val="bottom"/>
          </w:tcPr>
          <w:p>
            <w:pPr>
              <w:spacing w:after="0"/>
              <w:rPr>
                <w:sz w:val="19"/>
                <w:szCs w:val="19"/>
                <w:color w:val="auto"/>
              </w:rPr>
            </w:pPr>
          </w:p>
        </w:tc>
      </w:tr>
      <w:tr>
        <w:trPr>
          <w:trHeight w:val="219"/>
        </w:trPr>
        <w:tc>
          <w:tcPr>
            <w:tcW w:w="3560" w:type="dxa"/>
            <w:vAlign w:val="bottom"/>
          </w:tcPr>
          <w:p>
            <w:pPr>
              <w:ind w:left="360"/>
              <w:spacing w:after="0"/>
              <w:rPr>
                <w:sz w:val="20"/>
                <w:szCs w:val="20"/>
                <w:color w:val="auto"/>
              </w:rPr>
            </w:pPr>
            <w:r>
              <w:rPr>
                <w:rFonts w:ascii="Arial" w:cs="Arial" w:eastAsia="Arial" w:hAnsi="Arial"/>
                <w:sz w:val="17"/>
                <w:szCs w:val="17"/>
                <w:color w:val="auto"/>
              </w:rPr>
              <w:t>Gross realized gains</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457,028</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1,104,935</w:t>
            </w:r>
          </w:p>
        </w:tc>
        <w:tc>
          <w:tcPr>
            <w:tcW w:w="1380" w:type="dxa"/>
            <w:vAlign w:val="bottom"/>
          </w:tcPr>
          <w:p>
            <w:pPr>
              <w:spacing w:after="0"/>
              <w:rPr>
                <w:sz w:val="19"/>
                <w:szCs w:val="19"/>
                <w:color w:val="auto"/>
              </w:rPr>
            </w:pPr>
          </w:p>
        </w:tc>
      </w:tr>
      <w:tr>
        <w:trPr>
          <w:trHeight w:val="225"/>
        </w:trPr>
        <w:tc>
          <w:tcPr>
            <w:tcW w:w="35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Gross realized losses</w:t>
            </w:r>
          </w:p>
        </w:tc>
        <w:tc>
          <w:tcPr>
            <w:tcW w:w="3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(945,798)</w:t>
            </w:r>
          </w:p>
        </w:tc>
        <w:tc>
          <w:tcPr>
            <w:tcW w:w="2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(121,252)</w:t>
            </w:r>
          </w:p>
        </w:tc>
        <w:tc>
          <w:tcPr>
            <w:tcW w:w="1380" w:type="dxa"/>
            <w:vAlign w:val="bottom"/>
          </w:tcPr>
          <w:p>
            <w:pPr>
              <w:spacing w:after="0"/>
              <w:rPr>
                <w:sz w:val="19"/>
                <w:szCs w:val="19"/>
                <w:color w:val="auto"/>
              </w:rPr>
            </w:pPr>
          </w:p>
        </w:tc>
      </w:tr>
      <w:tr>
        <w:trPr>
          <w:trHeight w:val="214"/>
        </w:trPr>
        <w:tc>
          <w:tcPr>
            <w:tcW w:w="3560" w:type="dxa"/>
            <w:vAlign w:val="bottom"/>
          </w:tcPr>
          <w:p>
            <w:pPr>
              <w:ind w:left="520"/>
              <w:spacing w:after="0"/>
              <w:rPr>
                <w:sz w:val="20"/>
                <w:szCs w:val="20"/>
                <w:color w:val="auto"/>
              </w:rPr>
            </w:pPr>
            <w:r>
              <w:rPr>
                <w:rFonts w:ascii="Arial" w:cs="Arial" w:eastAsia="Arial" w:hAnsi="Arial"/>
                <w:sz w:val="17"/>
                <w:szCs w:val="17"/>
                <w:color w:val="auto"/>
              </w:rPr>
              <w:t>Total</w:t>
            </w:r>
          </w:p>
        </w:tc>
        <w:tc>
          <w:tcPr>
            <w:tcW w:w="320" w:type="dxa"/>
            <w:vAlign w:val="bottom"/>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(3,212,247)</w:t>
            </w:r>
          </w:p>
        </w:tc>
        <w:tc>
          <w:tcPr>
            <w:tcW w:w="200" w:type="dxa"/>
            <w:vAlign w:val="bottom"/>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1,806,661</w:t>
            </w:r>
          </w:p>
        </w:tc>
        <w:tc>
          <w:tcPr>
            <w:tcW w:w="1380" w:type="dxa"/>
            <w:vAlign w:val="bottom"/>
          </w:tcPr>
          <w:p>
            <w:pPr>
              <w:spacing w:after="0"/>
              <w:rPr>
                <w:sz w:val="18"/>
                <w:szCs w:val="18"/>
                <w:color w:val="auto"/>
              </w:rPr>
            </w:pPr>
          </w:p>
        </w:tc>
      </w:tr>
      <w:tr>
        <w:trPr>
          <w:trHeight w:val="20"/>
        </w:trPr>
        <w:tc>
          <w:tcPr>
            <w:tcW w:w="3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388"/>
        </w:trPr>
        <w:tc>
          <w:tcPr>
            <w:tcW w:w="3560" w:type="dxa"/>
            <w:vAlign w:val="bottom"/>
          </w:tcPr>
          <w:p>
            <w:pPr>
              <w:spacing w:after="0"/>
              <w:rPr>
                <w:sz w:val="24"/>
                <w:szCs w:val="24"/>
                <w:color w:val="auto"/>
              </w:rPr>
            </w:pPr>
          </w:p>
        </w:tc>
        <w:tc>
          <w:tcPr>
            <w:tcW w:w="700" w:type="dxa"/>
            <w:vAlign w:val="bottom"/>
            <w:gridSpan w:val="2"/>
          </w:tcPr>
          <w:p>
            <w:pPr>
              <w:jc w:val="right"/>
              <w:ind w:right="158"/>
              <w:spacing w:after="0"/>
              <w:rPr>
                <w:sz w:val="20"/>
                <w:szCs w:val="20"/>
                <w:color w:val="auto"/>
              </w:rPr>
            </w:pPr>
            <w:r>
              <w:rPr>
                <w:rFonts w:ascii="Arial" w:cs="Arial" w:eastAsia="Arial" w:hAnsi="Arial"/>
                <w:sz w:val="17"/>
                <w:szCs w:val="17"/>
                <w:color w:val="auto"/>
              </w:rPr>
              <w:t>15</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52"/>
        </w:trPr>
        <w:tc>
          <w:tcPr>
            <w:tcW w:w="3560" w:type="dxa"/>
            <w:vAlign w:val="bottom"/>
            <w:tcBorders>
              <w:bottom w:val="single" w:sz="8" w:color="909090"/>
            </w:tcBorders>
          </w:tcPr>
          <w:p>
            <w:pPr>
              <w:spacing w:after="0"/>
              <w:rPr>
                <w:sz w:val="13"/>
                <w:szCs w:val="13"/>
                <w:color w:val="auto"/>
              </w:rPr>
            </w:pPr>
          </w:p>
        </w:tc>
        <w:tc>
          <w:tcPr>
            <w:tcW w:w="320" w:type="dxa"/>
            <w:vAlign w:val="bottom"/>
            <w:tcBorders>
              <w:bottom w:val="single" w:sz="8" w:color="909090"/>
            </w:tcBorders>
          </w:tcPr>
          <w:p>
            <w:pPr>
              <w:spacing w:after="0"/>
              <w:rPr>
                <w:sz w:val="13"/>
                <w:szCs w:val="13"/>
                <w:color w:val="auto"/>
              </w:rPr>
            </w:pPr>
          </w:p>
        </w:tc>
        <w:tc>
          <w:tcPr>
            <w:tcW w:w="380" w:type="dxa"/>
            <w:vAlign w:val="bottom"/>
            <w:tcBorders>
              <w:bottom w:val="single" w:sz="8" w:color="909090"/>
            </w:tcBorders>
          </w:tcPr>
          <w:p>
            <w:pPr>
              <w:spacing w:after="0"/>
              <w:rPr>
                <w:sz w:val="13"/>
                <w:szCs w:val="13"/>
                <w:color w:val="auto"/>
              </w:rPr>
            </w:pPr>
          </w:p>
        </w:tc>
        <w:tc>
          <w:tcPr>
            <w:tcW w:w="820" w:type="dxa"/>
            <w:vAlign w:val="bottom"/>
            <w:tcBorders>
              <w:bottom w:val="single" w:sz="8" w:color="909090"/>
            </w:tcBorders>
          </w:tcPr>
          <w:p>
            <w:pPr>
              <w:spacing w:after="0"/>
              <w:rPr>
                <w:sz w:val="13"/>
                <w:szCs w:val="13"/>
                <w:color w:val="auto"/>
              </w:rPr>
            </w:pPr>
          </w:p>
        </w:tc>
        <w:tc>
          <w:tcPr>
            <w:tcW w:w="200" w:type="dxa"/>
            <w:vAlign w:val="bottom"/>
            <w:tcBorders>
              <w:bottom w:val="single" w:sz="8" w:color="909090"/>
            </w:tcBorders>
          </w:tcPr>
          <w:p>
            <w:pPr>
              <w:spacing w:after="0"/>
              <w:rPr>
                <w:sz w:val="13"/>
                <w:szCs w:val="13"/>
                <w:color w:val="auto"/>
              </w:rPr>
            </w:pPr>
          </w:p>
        </w:tc>
        <w:tc>
          <w:tcPr>
            <w:tcW w:w="400" w:type="dxa"/>
            <w:vAlign w:val="bottom"/>
            <w:tcBorders>
              <w:bottom w:val="single" w:sz="8" w:color="909090"/>
            </w:tcBorders>
          </w:tcPr>
          <w:p>
            <w:pPr>
              <w:spacing w:after="0"/>
              <w:rPr>
                <w:sz w:val="13"/>
                <w:szCs w:val="13"/>
                <w:color w:val="auto"/>
              </w:rPr>
            </w:pPr>
          </w:p>
        </w:tc>
        <w:tc>
          <w:tcPr>
            <w:tcW w:w="800" w:type="dxa"/>
            <w:vAlign w:val="bottom"/>
            <w:tcBorders>
              <w:bottom w:val="single" w:sz="8" w:color="909090"/>
            </w:tcBorders>
          </w:tcPr>
          <w:p>
            <w:pPr>
              <w:spacing w:after="0"/>
              <w:rPr>
                <w:sz w:val="13"/>
                <w:szCs w:val="13"/>
                <w:color w:val="auto"/>
              </w:rPr>
            </w:pPr>
          </w:p>
        </w:tc>
        <w:tc>
          <w:tcPr>
            <w:tcW w:w="1380" w:type="dxa"/>
            <w:vAlign w:val="bottom"/>
            <w:tcBorders>
              <w:bottom w:val="single" w:sz="8" w:color="909090"/>
            </w:tcBorders>
          </w:tcPr>
          <w:p>
            <w:pPr>
              <w:spacing w:after="0"/>
              <w:rPr>
                <w:sz w:val="13"/>
                <w:szCs w:val="13"/>
                <w:color w:val="auto"/>
              </w:rPr>
            </w:pPr>
          </w:p>
        </w:tc>
      </w:tr>
    </w:tbl>
    <w:p>
      <w:pPr>
        <w:sectPr>
          <w:pgSz w:w="11900" w:h="16838" w:orient="portrait"/>
          <w:cols w:equalWidth="0" w:num="1">
            <w:col w:w="9304"/>
          </w:cols>
          <w:pgMar w:left="1155" w:top="324" w:right="1440" w:bottom="1440" w:gutter="0" w:footer="0" w:header="0"/>
        </w:sectPr>
      </w:pPr>
    </w:p>
    <w:bookmarkStart w:id="15" w:name="page16"/>
    <w:bookmarkEnd w:id="15"/>
    <w:p>
      <w:pPr>
        <w:jc w:val="center"/>
        <w:ind w:left="1160" w:right="1140"/>
        <w:spacing w:after="0" w:line="257" w:lineRule="auto"/>
        <w:rPr>
          <w:sz w:val="20"/>
          <w:szCs w:val="20"/>
          <w:color w:val="auto"/>
        </w:rPr>
      </w:pPr>
      <w:r>
        <w:rPr>
          <w:rFonts w:ascii="Arial" w:cs="Arial" w:eastAsia="Arial" w:hAnsi="Arial"/>
          <w:sz w:val="17"/>
          <w:szCs w:val="17"/>
          <w:color w:val="auto"/>
        </w:rPr>
        <w:t>SECURITY NATIONAL FINANCIAL CORPORATION AND SUBSIDIARIES Notes to Condensed Consolidated Financial Statements March 31, 2020 (Unaudited)</w:t>
      </w:r>
    </w:p>
    <w:p>
      <w:pPr>
        <w:spacing w:after="0" w:line="97" w:lineRule="exact"/>
        <w:rPr>
          <w:sz w:val="20"/>
          <w:szCs w:val="20"/>
          <w:color w:val="auto"/>
        </w:rPr>
      </w:pPr>
    </w:p>
    <w:p>
      <w:pPr>
        <w:ind w:left="425" w:hanging="425"/>
        <w:spacing w:after="0"/>
        <w:tabs>
          <w:tab w:leader="none" w:pos="425"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Investments</w:t>
      </w:r>
      <w:r>
        <w:rPr>
          <w:rFonts w:ascii="Arial" w:cs="Arial" w:eastAsia="Arial" w:hAnsi="Arial"/>
          <w:sz w:val="17"/>
          <w:szCs w:val="17"/>
          <w:color w:val="auto"/>
        </w:rPr>
        <w:t xml:space="preserve"> (Continued)</w:t>
      </w:r>
    </w:p>
    <w:p>
      <w:pPr>
        <w:spacing w:after="0" w:line="225" w:lineRule="exact"/>
        <w:rPr>
          <w:sz w:val="20"/>
          <w:szCs w:val="20"/>
          <w:color w:val="auto"/>
        </w:rPr>
      </w:pPr>
    </w:p>
    <w:p>
      <w:pPr>
        <w:jc w:val="both"/>
        <w:ind w:left="5" w:right="1439"/>
        <w:spacing w:after="0" w:line="270" w:lineRule="auto"/>
        <w:rPr>
          <w:sz w:val="20"/>
          <w:szCs w:val="20"/>
          <w:color w:val="auto"/>
        </w:rPr>
      </w:pPr>
      <w:r>
        <w:rPr>
          <w:rFonts w:ascii="Arial" w:cs="Arial" w:eastAsia="Arial" w:hAnsi="Arial"/>
          <w:sz w:val="17"/>
          <w:szCs w:val="17"/>
          <w:color w:val="auto"/>
        </w:rPr>
        <w:t>The net realized gains and losses on the sale of securities are recorded on the trade date, and the cost of the securities sold is determined using the specific identification method.</w:t>
      </w:r>
    </w:p>
    <w:p>
      <w:pPr>
        <w:spacing w:after="0" w:line="157" w:lineRule="exact"/>
        <w:rPr>
          <w:sz w:val="20"/>
          <w:szCs w:val="20"/>
          <w:color w:val="auto"/>
        </w:rPr>
      </w:pPr>
    </w:p>
    <w:p>
      <w:pPr>
        <w:jc w:val="both"/>
        <w:ind w:left="5" w:right="1439"/>
        <w:spacing w:after="0" w:line="266" w:lineRule="auto"/>
        <w:rPr>
          <w:sz w:val="20"/>
          <w:szCs w:val="20"/>
          <w:color w:val="auto"/>
        </w:rPr>
      </w:pPr>
      <w:r>
        <w:rPr>
          <w:rFonts w:ascii="Arial" w:cs="Arial" w:eastAsia="Arial" w:hAnsi="Arial"/>
          <w:sz w:val="16"/>
          <w:szCs w:val="16"/>
          <w:color w:val="auto"/>
        </w:rPr>
        <w:t>On December 31, 2019, the Company changed the classification of its bond and preferred stock investments from held to maturity to available for sale based on the Company’s need to be able to respond proactively to market risks in managing its portfolio. Proceeds received from the sale of fixed maturity available for sale securities for the three months ended March 31, 2020, were $645,750, and resulted in gross realized gains and gross realized losses of $79,411 and $-0-, respectively. The carrying amount of held to maturity securities sold was $369,263 for the three months ended March 31, 2019. The net realized loss related to these sales was $35,388 for the three months ended March 31, 2019.</w:t>
      </w:r>
    </w:p>
    <w:p>
      <w:pPr>
        <w:spacing w:after="0" w:line="34" w:lineRule="exact"/>
        <w:rPr>
          <w:sz w:val="20"/>
          <w:szCs w:val="20"/>
          <w:color w:val="auto"/>
        </w:rPr>
      </w:pPr>
    </w:p>
    <w:p>
      <w:pPr>
        <w:ind w:left="5"/>
        <w:spacing w:after="0"/>
        <w:rPr>
          <w:sz w:val="20"/>
          <w:szCs w:val="20"/>
          <w:color w:val="auto"/>
        </w:rPr>
      </w:pPr>
      <w:r>
        <w:rPr>
          <w:rFonts w:ascii="Arial" w:cs="Arial" w:eastAsia="Arial" w:hAnsi="Arial"/>
          <w:sz w:val="17"/>
          <w:szCs w:val="17"/>
          <w:color w:val="auto"/>
        </w:rPr>
        <w:t>Major categories of net investment income are as follows:</w:t>
      </w:r>
    </w:p>
    <w:p>
      <w:pPr>
        <w:spacing w:after="0" w:line="216" w:lineRule="exact"/>
        <w:rPr>
          <w:sz w:val="20"/>
          <w:szCs w:val="20"/>
          <w:color w:val="auto"/>
        </w:rPr>
      </w:pPr>
    </w:p>
    <w:tbl>
      <w:tblPr>
        <w:tblLayout w:type="fixed"/>
        <w:tblInd w:w="5" w:type="dxa"/>
        <w:tblCellMar>
          <w:top w:w="0" w:type="dxa"/>
          <w:left w:w="0" w:type="dxa"/>
          <w:bottom w:w="0" w:type="dxa"/>
          <w:right w:w="0" w:type="dxa"/>
        </w:tblCellMar>
      </w:tblPr>
      <w:tr>
        <w:trPr>
          <w:trHeight w:val="205"/>
        </w:trPr>
        <w:tc>
          <w:tcPr>
            <w:tcW w:w="33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4"/>
          </w:tcPr>
          <w:p>
            <w:pPr>
              <w:jc w:val="right"/>
              <w:ind w:right="315"/>
              <w:spacing w:after="0"/>
              <w:rPr>
                <w:sz w:val="20"/>
                <w:szCs w:val="20"/>
                <w:color w:val="auto"/>
              </w:rPr>
            </w:pPr>
            <w:r>
              <w:rPr>
                <w:rFonts w:ascii="Arial" w:cs="Arial" w:eastAsia="Arial" w:hAnsi="Arial"/>
                <w:sz w:val="16"/>
                <w:szCs w:val="16"/>
                <w:color w:val="auto"/>
                <w:w w:val="88"/>
              </w:rPr>
              <w:t>Three Months Ended March 31</w:t>
            </w:r>
          </w:p>
        </w:tc>
      </w:tr>
      <w:tr>
        <w:trPr>
          <w:trHeight w:val="203"/>
        </w:trPr>
        <w:tc>
          <w:tcPr>
            <w:tcW w:w="33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color w:val="auto"/>
              </w:rPr>
              <w:t>2020</w:t>
            </w:r>
          </w:p>
        </w:tc>
        <w:tc>
          <w:tcPr>
            <w:tcW w:w="2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5"/>
              <w:spacing w:after="0"/>
              <w:rPr>
                <w:sz w:val="20"/>
                <w:szCs w:val="20"/>
                <w:color w:val="auto"/>
              </w:rPr>
            </w:pPr>
            <w:r>
              <w:rPr>
                <w:rFonts w:ascii="Arial" w:cs="Arial" w:eastAsia="Arial" w:hAnsi="Arial"/>
                <w:sz w:val="16"/>
                <w:szCs w:val="16"/>
                <w:color w:val="auto"/>
              </w:rPr>
              <w:t>2019</w:t>
            </w:r>
          </w:p>
        </w:tc>
      </w:tr>
      <w:tr>
        <w:trPr>
          <w:trHeight w:val="220"/>
        </w:trPr>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Fixed maturity securities</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2,924,714</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2,503,865</w:t>
            </w:r>
          </w:p>
        </w:tc>
      </w:tr>
      <w:tr>
        <w:trPr>
          <w:trHeight w:val="219"/>
        </w:trPr>
        <w:tc>
          <w:tcPr>
            <w:tcW w:w="3380" w:type="dxa"/>
            <w:vAlign w:val="bottom"/>
          </w:tcPr>
          <w:p>
            <w:pPr>
              <w:spacing w:after="0"/>
              <w:rPr>
                <w:sz w:val="20"/>
                <w:szCs w:val="20"/>
                <w:color w:val="auto"/>
              </w:rPr>
            </w:pPr>
            <w:r>
              <w:rPr>
                <w:rFonts w:ascii="Arial" w:cs="Arial" w:eastAsia="Arial" w:hAnsi="Arial"/>
                <w:sz w:val="17"/>
                <w:szCs w:val="17"/>
                <w:color w:val="auto"/>
              </w:rPr>
              <w:t>Equity securities</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92,042</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77,921</w:t>
            </w:r>
          </w:p>
        </w:tc>
      </w:tr>
      <w:tr>
        <w:trPr>
          <w:trHeight w:val="225"/>
        </w:trPr>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Mortgage loans held for investment</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5,653,890</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4,103,367</w:t>
            </w:r>
          </w:p>
        </w:tc>
      </w:tr>
      <w:tr>
        <w:trPr>
          <w:trHeight w:val="219"/>
        </w:trPr>
        <w:tc>
          <w:tcPr>
            <w:tcW w:w="3380" w:type="dxa"/>
            <w:vAlign w:val="bottom"/>
          </w:tcPr>
          <w:p>
            <w:pPr>
              <w:spacing w:after="0"/>
              <w:rPr>
                <w:sz w:val="20"/>
                <w:szCs w:val="20"/>
                <w:color w:val="auto"/>
              </w:rPr>
            </w:pPr>
            <w:r>
              <w:rPr>
                <w:rFonts w:ascii="Arial" w:cs="Arial" w:eastAsia="Arial" w:hAnsi="Arial"/>
                <w:sz w:val="17"/>
                <w:szCs w:val="17"/>
                <w:color w:val="auto"/>
              </w:rPr>
              <w:t>Real estate held for investment</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3,153,385</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1,910,294</w:t>
            </w:r>
          </w:p>
        </w:tc>
      </w:tr>
      <w:tr>
        <w:trPr>
          <w:trHeight w:val="225"/>
        </w:trPr>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Policy loans</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233,966</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88,137</w:t>
            </w:r>
          </w:p>
        </w:tc>
      </w:tr>
      <w:tr>
        <w:trPr>
          <w:trHeight w:val="219"/>
        </w:trPr>
        <w:tc>
          <w:tcPr>
            <w:tcW w:w="3380" w:type="dxa"/>
            <w:vAlign w:val="bottom"/>
          </w:tcPr>
          <w:p>
            <w:pPr>
              <w:spacing w:after="0"/>
              <w:rPr>
                <w:sz w:val="20"/>
                <w:szCs w:val="20"/>
                <w:color w:val="auto"/>
              </w:rPr>
            </w:pPr>
            <w:r>
              <w:rPr>
                <w:rFonts w:ascii="Arial" w:cs="Arial" w:eastAsia="Arial" w:hAnsi="Arial"/>
                <w:sz w:val="17"/>
                <w:szCs w:val="17"/>
                <w:color w:val="auto"/>
              </w:rPr>
              <w:t>Insurance assignments</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4,299,205</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4,212,120</w:t>
            </w:r>
          </w:p>
        </w:tc>
      </w:tr>
      <w:tr>
        <w:trPr>
          <w:trHeight w:val="225"/>
        </w:trPr>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Other investments</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25,023</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54,548</w:t>
            </w:r>
          </w:p>
        </w:tc>
      </w:tr>
      <w:tr>
        <w:trPr>
          <w:trHeight w:val="219"/>
        </w:trPr>
        <w:tc>
          <w:tcPr>
            <w:tcW w:w="33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Cash and cash equivalents</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298,005</w:t>
            </w:r>
          </w:p>
        </w:tc>
        <w:tc>
          <w:tcPr>
            <w:tcW w:w="2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498,918</w:t>
            </w:r>
          </w:p>
        </w:tc>
      </w:tr>
      <w:tr>
        <w:trPr>
          <w:trHeight w:val="217"/>
        </w:trPr>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Gross investment income</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16,680,230</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13,449,170</w:t>
            </w:r>
          </w:p>
        </w:tc>
      </w:tr>
      <w:tr>
        <w:trPr>
          <w:trHeight w:val="219"/>
        </w:trPr>
        <w:tc>
          <w:tcPr>
            <w:tcW w:w="33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Investment expenses</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(3,279,731)</w:t>
            </w:r>
          </w:p>
        </w:tc>
        <w:tc>
          <w:tcPr>
            <w:tcW w:w="2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(3,407,502)</w:t>
            </w:r>
          </w:p>
        </w:tc>
      </w:tr>
      <w:tr>
        <w:trPr>
          <w:trHeight w:val="214"/>
        </w:trPr>
        <w:tc>
          <w:tcPr>
            <w:tcW w:w="3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investment income</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13,400,499</w:t>
            </w:r>
          </w:p>
        </w:tc>
        <w:tc>
          <w:tcPr>
            <w:tcW w:w="2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10,041,668</w:t>
            </w:r>
          </w:p>
        </w:tc>
      </w:tr>
      <w:tr>
        <w:trPr>
          <w:trHeight w:val="20"/>
        </w:trPr>
        <w:tc>
          <w:tcPr>
            <w:tcW w:w="3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jc w:val="both"/>
        <w:ind w:left="5" w:right="1459"/>
        <w:spacing w:after="0" w:line="270" w:lineRule="auto"/>
        <w:rPr>
          <w:sz w:val="20"/>
          <w:szCs w:val="20"/>
          <w:color w:val="auto"/>
        </w:rPr>
      </w:pPr>
      <w:r>
        <w:rPr>
          <w:rFonts w:ascii="Arial" w:cs="Arial" w:eastAsia="Arial" w:hAnsi="Arial"/>
          <w:sz w:val="17"/>
          <w:szCs w:val="17"/>
          <w:color w:val="auto"/>
        </w:rPr>
        <w:t>Net investment income includes income earned by the restricted assets cemeteries and mortuaries of $110,639 and $86,288 for the three months ended March 31, 2020 and 2019, respectively.</w:t>
      </w:r>
    </w:p>
    <w:p>
      <w:pPr>
        <w:spacing w:after="0" w:line="157" w:lineRule="exact"/>
        <w:rPr>
          <w:sz w:val="20"/>
          <w:szCs w:val="20"/>
          <w:color w:val="auto"/>
        </w:rPr>
      </w:pPr>
    </w:p>
    <w:p>
      <w:pPr>
        <w:ind w:left="5"/>
        <w:spacing w:after="0"/>
        <w:rPr>
          <w:sz w:val="20"/>
          <w:szCs w:val="20"/>
          <w:color w:val="auto"/>
        </w:rPr>
      </w:pPr>
      <w:r>
        <w:rPr>
          <w:rFonts w:ascii="Arial" w:cs="Arial" w:eastAsia="Arial" w:hAnsi="Arial"/>
          <w:sz w:val="17"/>
          <w:szCs w:val="17"/>
          <w:color w:val="auto"/>
        </w:rPr>
        <w:t>Net investment income on real estate consists primarily of rental revenue.</w:t>
      </w:r>
    </w:p>
    <w:p>
      <w:pPr>
        <w:spacing w:after="0" w:line="202" w:lineRule="exact"/>
        <w:rPr>
          <w:sz w:val="20"/>
          <w:szCs w:val="20"/>
          <w:color w:val="auto"/>
        </w:rPr>
      </w:pPr>
    </w:p>
    <w:p>
      <w:pPr>
        <w:jc w:val="both"/>
        <w:ind w:left="5" w:right="1459"/>
        <w:spacing w:after="0" w:line="270" w:lineRule="auto"/>
        <w:rPr>
          <w:sz w:val="20"/>
          <w:szCs w:val="20"/>
          <w:color w:val="auto"/>
        </w:rPr>
      </w:pPr>
      <w:r>
        <w:rPr>
          <w:rFonts w:ascii="Arial" w:cs="Arial" w:eastAsia="Arial" w:hAnsi="Arial"/>
          <w:sz w:val="17"/>
          <w:szCs w:val="17"/>
          <w:color w:val="auto"/>
        </w:rPr>
        <w:t>Investment expenses consist primarily of depreciation, property taxes, operating expenses of real estate and an estimated portion of administrative expenses relating to investment activities.</w:t>
      </w:r>
    </w:p>
    <w:p>
      <w:pPr>
        <w:spacing w:after="0" w:line="157" w:lineRule="exact"/>
        <w:rPr>
          <w:sz w:val="20"/>
          <w:szCs w:val="20"/>
          <w:color w:val="auto"/>
        </w:rPr>
      </w:pPr>
    </w:p>
    <w:p>
      <w:pPr>
        <w:jc w:val="both"/>
        <w:ind w:left="5" w:right="1459"/>
        <w:spacing w:after="0" w:line="257" w:lineRule="auto"/>
        <w:rPr>
          <w:sz w:val="20"/>
          <w:szCs w:val="20"/>
          <w:color w:val="auto"/>
        </w:rPr>
      </w:pPr>
      <w:r>
        <w:rPr>
          <w:rFonts w:ascii="Arial" w:cs="Arial" w:eastAsia="Arial" w:hAnsi="Arial"/>
          <w:sz w:val="17"/>
          <w:szCs w:val="17"/>
          <w:color w:val="auto"/>
        </w:rPr>
        <w:t>Securities on deposit with regulatory authorities as required by law amounted to $9,633,176 at March 31, 2020 and $9,633,818 at December 31, 2019. These restricted securities are included in various assets under investments on the accompanying condensed consolidated balance sheets.</w:t>
      </w:r>
    </w:p>
    <w:p>
      <w:pPr>
        <w:spacing w:after="0" w:line="167" w:lineRule="exact"/>
        <w:rPr>
          <w:sz w:val="20"/>
          <w:szCs w:val="20"/>
          <w:color w:val="auto"/>
        </w:rPr>
      </w:pPr>
    </w:p>
    <w:p>
      <w:pPr>
        <w:jc w:val="both"/>
        <w:ind w:left="5" w:right="1459"/>
        <w:spacing w:after="0" w:line="257" w:lineRule="auto"/>
        <w:rPr>
          <w:sz w:val="20"/>
          <w:szCs w:val="20"/>
          <w:color w:val="auto"/>
        </w:rPr>
      </w:pPr>
      <w:r>
        <w:rPr>
          <w:rFonts w:ascii="Arial" w:cs="Arial" w:eastAsia="Arial" w:hAnsi="Arial"/>
          <w:sz w:val="17"/>
          <w:szCs w:val="17"/>
          <w:color w:val="auto"/>
        </w:rPr>
        <w:t>There were no investments, aggregated by issuer, in excess of 10% of shareholders’ equity (before net unrealized gains and losses on equity securities and fixed maturity securities) at March 31, 2020, other than investments issued or guaranteed by the United States Government.</w:t>
      </w:r>
    </w:p>
    <w:p>
      <w:pPr>
        <w:spacing w:after="0" w:line="161"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auto"/>
        </w:rPr>
        <w:t>Real Estate Held for Investment and Held for Sale</w:t>
      </w:r>
    </w:p>
    <w:p>
      <w:pPr>
        <w:spacing w:after="0" w:line="208" w:lineRule="exact"/>
        <w:rPr>
          <w:sz w:val="20"/>
          <w:szCs w:val="20"/>
          <w:color w:val="auto"/>
        </w:rPr>
      </w:pPr>
    </w:p>
    <w:p>
      <w:pPr>
        <w:jc w:val="both"/>
        <w:ind w:left="5" w:right="1459"/>
        <w:spacing w:after="0" w:line="257" w:lineRule="auto"/>
        <w:rPr>
          <w:sz w:val="20"/>
          <w:szCs w:val="20"/>
          <w:color w:val="auto"/>
        </w:rPr>
      </w:pPr>
      <w:r>
        <w:rPr>
          <w:rFonts w:ascii="Arial" w:cs="Arial" w:eastAsia="Arial" w:hAnsi="Arial"/>
          <w:sz w:val="17"/>
          <w:szCs w:val="17"/>
          <w:color w:val="auto"/>
        </w:rPr>
        <w:t>The Company continues to strategically deploy resources into real estate to match the income and yield durations of its primary obligations. The sources for these real estate assets come through its various business units in the form of acquisition, development and mortgage foreclosures.</w:t>
      </w:r>
    </w:p>
    <w:p>
      <w:pPr>
        <w:spacing w:after="0" w:line="179" w:lineRule="exact"/>
        <w:rPr>
          <w:sz w:val="20"/>
          <w:szCs w:val="20"/>
          <w:color w:val="auto"/>
        </w:rPr>
      </w:pPr>
    </w:p>
    <w:p>
      <w:pPr>
        <w:ind w:left="3845"/>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498983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89830" cy="29845"/>
                    </a:xfrm>
                    <a:prstGeom prst="rect">
                      <a:avLst/>
                    </a:prstGeom>
                    <a:noFill/>
                  </pic:spPr>
                </pic:pic>
              </a:graphicData>
            </a:graphic>
          </wp:anchor>
        </w:drawing>
      </w:r>
    </w:p>
    <w:p>
      <w:pPr>
        <w:sectPr>
          <w:pgSz w:w="11900" w:h="16838" w:orient="portrait"/>
          <w:cols w:equalWidth="0" w:num="1">
            <w:col w:w="9304"/>
          </w:cols>
          <w:pgMar w:left="1155" w:top="324" w:right="1440" w:bottom="1440" w:gutter="0" w:footer="0" w:header="0"/>
        </w:sectPr>
      </w:pPr>
    </w:p>
    <w:bookmarkStart w:id="16" w:name="page17"/>
    <w:bookmarkEnd w:id="16"/>
    <w:p>
      <w:pPr>
        <w:jc w:val="center"/>
        <w:ind w:left="1160" w:right="1140"/>
        <w:spacing w:after="0" w:line="257" w:lineRule="auto"/>
        <w:rPr>
          <w:sz w:val="20"/>
          <w:szCs w:val="20"/>
          <w:color w:val="auto"/>
        </w:rPr>
      </w:pPr>
      <w:r>
        <w:rPr>
          <w:rFonts w:ascii="Arial" w:cs="Arial" w:eastAsia="Arial" w:hAnsi="Arial"/>
          <w:sz w:val="17"/>
          <w:szCs w:val="17"/>
          <w:color w:val="auto"/>
        </w:rPr>
        <w:t>SECURITY NATIONAL FINANCIAL CORPORATION AND SUBSIDIARIES Notes to Condensed Consolidated Financial Statements March 31, 2020 (Unaudited)</w:t>
      </w:r>
    </w:p>
    <w:p>
      <w:pPr>
        <w:spacing w:after="0" w:line="97" w:lineRule="exact"/>
        <w:rPr>
          <w:sz w:val="20"/>
          <w:szCs w:val="20"/>
          <w:color w:val="auto"/>
        </w:rPr>
      </w:pPr>
    </w:p>
    <w:p>
      <w:pPr>
        <w:ind w:left="425" w:hanging="425"/>
        <w:spacing w:after="0"/>
        <w:tabs>
          <w:tab w:leader="none" w:pos="425"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Investments</w:t>
      </w:r>
      <w:r>
        <w:rPr>
          <w:rFonts w:ascii="Arial" w:cs="Arial" w:eastAsia="Arial" w:hAnsi="Arial"/>
          <w:sz w:val="17"/>
          <w:szCs w:val="17"/>
          <w:color w:val="auto"/>
        </w:rPr>
        <w:t xml:space="preserve"> (Continued)</w:t>
      </w:r>
    </w:p>
    <w:p>
      <w:pPr>
        <w:spacing w:after="0" w:line="225" w:lineRule="exact"/>
        <w:rPr>
          <w:sz w:val="20"/>
          <w:szCs w:val="20"/>
          <w:color w:val="auto"/>
        </w:rPr>
      </w:pPr>
    </w:p>
    <w:p>
      <w:pPr>
        <w:ind w:left="5"/>
        <w:spacing w:after="0"/>
        <w:rPr>
          <w:sz w:val="20"/>
          <w:szCs w:val="20"/>
          <w:color w:val="auto"/>
        </w:rPr>
      </w:pPr>
      <w:r>
        <w:rPr>
          <w:rFonts w:ascii="Arial" w:cs="Arial" w:eastAsia="Arial" w:hAnsi="Arial"/>
          <w:sz w:val="17"/>
          <w:szCs w:val="17"/>
          <w:u w:val="single" w:color="auto"/>
          <w:color w:val="auto"/>
        </w:rPr>
        <w:t>Commercial Real Estate Held for Investment and Held for Sale</w:t>
      </w:r>
    </w:p>
    <w:p>
      <w:pPr>
        <w:spacing w:after="0" w:line="202" w:lineRule="exact"/>
        <w:rPr>
          <w:sz w:val="20"/>
          <w:szCs w:val="20"/>
          <w:color w:val="auto"/>
        </w:rPr>
      </w:pPr>
    </w:p>
    <w:p>
      <w:pPr>
        <w:jc w:val="both"/>
        <w:ind w:left="5" w:right="1459"/>
        <w:spacing w:after="0" w:line="297" w:lineRule="auto"/>
        <w:rPr>
          <w:sz w:val="20"/>
          <w:szCs w:val="20"/>
          <w:color w:val="auto"/>
        </w:rPr>
      </w:pPr>
      <w:r>
        <w:rPr>
          <w:rFonts w:ascii="Arial" w:cs="Arial" w:eastAsia="Arial" w:hAnsi="Arial"/>
          <w:sz w:val="15"/>
          <w:szCs w:val="15"/>
          <w:color w:val="auto"/>
        </w:rPr>
        <w:t>The Company owns and manages commercial real estate assets as a means of generating investment income. These assets are acquired in accordance with the Company’s goals and objectives for risk-adjusted returns. Due diligence is conducted on each asset using internal and third-party reports. Geographic locations and asset classes of the investment activity is determined by senior management under the direction of the Board of Directors.</w:t>
      </w:r>
    </w:p>
    <w:p>
      <w:pPr>
        <w:spacing w:after="0" w:line="140" w:lineRule="exact"/>
        <w:rPr>
          <w:sz w:val="20"/>
          <w:szCs w:val="20"/>
          <w:color w:val="auto"/>
        </w:rPr>
      </w:pPr>
    </w:p>
    <w:p>
      <w:pPr>
        <w:jc w:val="both"/>
        <w:ind w:left="5" w:right="1439"/>
        <w:spacing w:after="0" w:line="250" w:lineRule="auto"/>
        <w:rPr>
          <w:sz w:val="20"/>
          <w:szCs w:val="20"/>
          <w:color w:val="auto"/>
        </w:rPr>
      </w:pPr>
      <w:r>
        <w:rPr>
          <w:rFonts w:ascii="Arial" w:cs="Arial" w:eastAsia="Arial" w:hAnsi="Arial"/>
          <w:sz w:val="17"/>
          <w:szCs w:val="17"/>
          <w:color w:val="auto"/>
        </w:rPr>
        <w:t>The Company employs full-time employees to attend to the day-to-day operations of those assets within the greater Salt Lake area and close surrounding markets. The Company utilizes third party property managers when the geographic boundary does not warrant full-time staff or through strategic lease-up periods. The Company generally looks to acquire assets in regions that are high growth regions for employment and population and in assets that provide operational efficiencies.</w:t>
      </w:r>
    </w:p>
    <w:p>
      <w:pPr>
        <w:spacing w:after="0" w:line="175" w:lineRule="exact"/>
        <w:rPr>
          <w:sz w:val="20"/>
          <w:szCs w:val="20"/>
          <w:color w:val="auto"/>
        </w:rPr>
      </w:pPr>
    </w:p>
    <w:p>
      <w:pPr>
        <w:jc w:val="both"/>
        <w:ind w:left="5" w:right="1439"/>
        <w:spacing w:after="0" w:line="250" w:lineRule="auto"/>
        <w:rPr>
          <w:sz w:val="20"/>
          <w:szCs w:val="20"/>
          <w:color w:val="auto"/>
        </w:rPr>
      </w:pPr>
      <w:r>
        <w:rPr>
          <w:rFonts w:ascii="Arial" w:cs="Arial" w:eastAsia="Arial" w:hAnsi="Arial"/>
          <w:sz w:val="17"/>
          <w:szCs w:val="17"/>
          <w:color w:val="auto"/>
        </w:rPr>
        <w:t>The Company currently owns and operates 14 commercial properties in 5 states. These properties include industrial warehouses, office buildings, and includes the redevelopment and expansion of its corporate campus (“Center53”) in Salt Lake City, Utah. The Company also holds undeveloped land that may be used for future commercial developments. The Company uses bank debt in strategic cases to leverage established yields or to acquire a higher quality or different class of asset.</w:t>
      </w:r>
    </w:p>
    <w:p>
      <w:pPr>
        <w:spacing w:after="0" w:line="175" w:lineRule="exact"/>
        <w:rPr>
          <w:sz w:val="20"/>
          <w:szCs w:val="20"/>
          <w:color w:val="auto"/>
        </w:rPr>
      </w:pPr>
    </w:p>
    <w:p>
      <w:pPr>
        <w:jc w:val="both"/>
        <w:ind w:left="5" w:right="1439"/>
        <w:spacing w:after="0" w:line="252" w:lineRule="auto"/>
        <w:rPr>
          <w:sz w:val="20"/>
          <w:szCs w:val="20"/>
          <w:color w:val="auto"/>
        </w:rPr>
      </w:pPr>
      <w:r>
        <w:rPr>
          <w:rFonts w:ascii="Arial" w:cs="Arial" w:eastAsia="Arial" w:hAnsi="Arial"/>
          <w:sz w:val="17"/>
          <w:szCs w:val="17"/>
          <w:color w:val="auto"/>
        </w:rPr>
        <w:t>The aggregated net ending balance of commercial real estate that serves as collateral for bank borrowings was approximately $86,326,000 and $87,815,000 as of March 31, 2020 and December 31, 2019, respectively. The associated bank loan carrying values totaled approximately $54,641,000 and $54,917,000 as of March 31, 2020 and December 31, 2019, respectively.</w:t>
      </w:r>
    </w:p>
    <w:p>
      <w:pPr>
        <w:spacing w:after="0" w:line="173" w:lineRule="exact"/>
        <w:rPr>
          <w:sz w:val="20"/>
          <w:szCs w:val="20"/>
          <w:color w:val="auto"/>
        </w:rPr>
      </w:pPr>
    </w:p>
    <w:p>
      <w:pPr>
        <w:jc w:val="both"/>
        <w:ind w:left="5" w:right="1459"/>
        <w:spacing w:after="0" w:line="252" w:lineRule="auto"/>
        <w:rPr>
          <w:sz w:val="20"/>
          <w:szCs w:val="20"/>
          <w:color w:val="auto"/>
        </w:rPr>
      </w:pPr>
      <w:r>
        <w:rPr>
          <w:rFonts w:ascii="Arial" w:cs="Arial" w:eastAsia="Arial" w:hAnsi="Arial"/>
          <w:sz w:val="17"/>
          <w:szCs w:val="17"/>
          <w:color w:val="auto"/>
        </w:rPr>
        <w:t>During the three months ended March 31, 2020 and 2019, the Company recorded impairment losses on commercial real estate held for sale of $31,429 and $-0-, respectively. This impairment loss relates to an office building held by the life insurance segment. Impairment losses are included in gains (losses) on investment and other assets on the condensed consolidated statements of earnings.</w:t>
      </w:r>
    </w:p>
    <w:p>
      <w:pPr>
        <w:spacing w:after="0" w:line="173" w:lineRule="exact"/>
        <w:rPr>
          <w:sz w:val="20"/>
          <w:szCs w:val="20"/>
          <w:color w:val="auto"/>
        </w:rPr>
      </w:pPr>
    </w:p>
    <w:p>
      <w:pPr>
        <w:jc w:val="both"/>
        <w:ind w:left="5" w:right="1459"/>
        <w:spacing w:after="0" w:line="270" w:lineRule="auto"/>
        <w:rPr>
          <w:sz w:val="20"/>
          <w:szCs w:val="20"/>
          <w:color w:val="auto"/>
        </w:rPr>
      </w:pPr>
      <w:r>
        <w:rPr>
          <w:rFonts w:ascii="Arial" w:cs="Arial" w:eastAsia="Arial" w:hAnsi="Arial"/>
          <w:sz w:val="17"/>
          <w:szCs w:val="17"/>
          <w:color w:val="auto"/>
        </w:rPr>
        <w:t>The following is a summary of the Company’s commercial real estate held for investment for the periods presented:</w:t>
      </w:r>
    </w:p>
    <w:p>
      <w:pPr>
        <w:spacing w:after="0" w:line="168" w:lineRule="exact"/>
        <w:rPr>
          <w:sz w:val="20"/>
          <w:szCs w:val="20"/>
          <w:color w:val="auto"/>
        </w:rPr>
      </w:pPr>
    </w:p>
    <w:tbl>
      <w:tblPr>
        <w:tblLayout w:type="fixed"/>
        <w:tblInd w:w="5" w:type="dxa"/>
        <w:tblCellMar>
          <w:top w:w="0" w:type="dxa"/>
          <w:left w:w="0" w:type="dxa"/>
          <w:bottom w:w="0" w:type="dxa"/>
          <w:right w:w="0" w:type="dxa"/>
        </w:tblCellMar>
      </w:tblPr>
      <w:tr>
        <w:trPr>
          <w:trHeight w:val="217"/>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0" w:type="dxa"/>
            <w:vAlign w:val="bottom"/>
            <w:gridSpan w:val="5"/>
          </w:tcPr>
          <w:p>
            <w:pPr>
              <w:ind w:left="200"/>
              <w:spacing w:after="0"/>
              <w:rPr>
                <w:sz w:val="20"/>
                <w:szCs w:val="20"/>
                <w:color w:val="auto"/>
              </w:rPr>
            </w:pPr>
            <w:r>
              <w:rPr>
                <w:rFonts w:ascii="Arial" w:cs="Arial" w:eastAsia="Arial" w:hAnsi="Arial"/>
                <w:sz w:val="17"/>
                <w:szCs w:val="17"/>
                <w:color w:val="auto"/>
              </w:rPr>
              <w:t>Net Ending Balance</w:t>
            </w:r>
          </w:p>
        </w:tc>
        <w:tc>
          <w:tcPr>
            <w:tcW w:w="2380" w:type="dxa"/>
            <w:vAlign w:val="bottom"/>
            <w:gridSpan w:val="3"/>
          </w:tcPr>
          <w:p>
            <w:pPr>
              <w:jc w:val="right"/>
              <w:ind w:right="374"/>
              <w:spacing w:after="0"/>
              <w:rPr>
                <w:sz w:val="20"/>
                <w:szCs w:val="20"/>
                <w:color w:val="auto"/>
              </w:rPr>
            </w:pPr>
            <w:r>
              <w:rPr>
                <w:rFonts w:ascii="Arial" w:cs="Arial" w:eastAsia="Arial" w:hAnsi="Arial"/>
                <w:sz w:val="17"/>
                <w:szCs w:val="17"/>
                <w:color w:val="auto"/>
              </w:rPr>
              <w:t>Total Square Footage</w:t>
            </w:r>
          </w:p>
        </w:tc>
      </w:tr>
      <w:tr>
        <w:trPr>
          <w:trHeight w:val="204"/>
        </w:trPr>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3"/>
          </w:tcPr>
          <w:p>
            <w:pPr>
              <w:ind w:left="140"/>
              <w:spacing w:after="0"/>
              <w:rPr>
                <w:sz w:val="20"/>
                <w:szCs w:val="20"/>
                <w:color w:val="auto"/>
              </w:rPr>
            </w:pPr>
            <w:r>
              <w:rPr>
                <w:rFonts w:ascii="Arial" w:cs="Arial" w:eastAsia="Arial" w:hAnsi="Arial"/>
                <w:sz w:val="17"/>
                <w:szCs w:val="17"/>
                <w:color w:val="auto"/>
              </w:rPr>
              <w:t>December 31</w:t>
            </w:r>
          </w:p>
        </w:tc>
        <w:tc>
          <w:tcPr>
            <w:tcW w:w="1180" w:type="dxa"/>
            <w:vAlign w:val="bottom"/>
            <w:gridSpan w:val="2"/>
          </w:tcPr>
          <w:p>
            <w:pPr>
              <w:ind w:left="160"/>
              <w:spacing w:after="0"/>
              <w:rPr>
                <w:sz w:val="20"/>
                <w:szCs w:val="20"/>
                <w:color w:val="auto"/>
              </w:rPr>
            </w:pPr>
            <w:r>
              <w:rPr>
                <w:rFonts w:ascii="Arial" w:cs="Arial" w:eastAsia="Arial" w:hAnsi="Arial"/>
                <w:sz w:val="17"/>
                <w:szCs w:val="17"/>
                <w:color w:val="auto"/>
              </w:rPr>
              <w:t>March 31</w:t>
            </w:r>
          </w:p>
        </w:tc>
        <w:tc>
          <w:tcPr>
            <w:tcW w:w="1200" w:type="dxa"/>
            <w:vAlign w:val="bottom"/>
          </w:tcPr>
          <w:p>
            <w:pPr>
              <w:jc w:val="right"/>
              <w:ind w:right="54"/>
              <w:spacing w:after="0"/>
              <w:rPr>
                <w:sz w:val="20"/>
                <w:szCs w:val="20"/>
                <w:color w:val="auto"/>
              </w:rPr>
            </w:pPr>
            <w:r>
              <w:rPr>
                <w:rFonts w:ascii="Arial" w:cs="Arial" w:eastAsia="Arial" w:hAnsi="Arial"/>
                <w:sz w:val="17"/>
                <w:szCs w:val="17"/>
                <w:color w:val="auto"/>
              </w:rPr>
              <w:t>December 31</w:t>
            </w:r>
          </w:p>
        </w:tc>
      </w:tr>
      <w:tr>
        <w:trPr>
          <w:trHeight w:val="221"/>
        </w:trPr>
        <w:tc>
          <w:tcPr>
            <w:tcW w:w="1280" w:type="dxa"/>
            <w:vAlign w:val="bottom"/>
          </w:tcPr>
          <w:p>
            <w:pPr>
              <w:spacing w:after="0"/>
              <w:rPr>
                <w:sz w:val="19"/>
                <w:szCs w:val="19"/>
                <w:color w:val="auto"/>
              </w:rPr>
            </w:pPr>
          </w:p>
        </w:tc>
        <w:tc>
          <w:tcPr>
            <w:tcW w:w="1400" w:type="dxa"/>
            <w:vAlign w:val="bottom"/>
            <w:gridSpan w:val="3"/>
          </w:tcPr>
          <w:p>
            <w:pPr>
              <w:ind w:left="60"/>
              <w:spacing w:after="0"/>
              <w:rPr>
                <w:sz w:val="20"/>
                <w:szCs w:val="20"/>
                <w:color w:val="auto"/>
              </w:rPr>
            </w:pPr>
            <w:r>
              <w:rPr>
                <w:rFonts w:ascii="Arial" w:cs="Arial" w:eastAsia="Arial" w:hAnsi="Arial"/>
                <w:sz w:val="17"/>
                <w:szCs w:val="17"/>
                <w:color w:val="auto"/>
              </w:rPr>
              <w:t>March 31 2020</w:t>
            </w:r>
          </w:p>
        </w:tc>
        <w:tc>
          <w:tcPr>
            <w:tcW w:w="420" w:type="dxa"/>
            <w:vAlign w:val="bottom"/>
          </w:tcPr>
          <w:p>
            <w:pPr>
              <w:spacing w:after="0"/>
              <w:rPr>
                <w:sz w:val="19"/>
                <w:szCs w:val="19"/>
                <w:color w:val="auto"/>
              </w:rPr>
            </w:pPr>
          </w:p>
        </w:tc>
        <w:tc>
          <w:tcPr>
            <w:tcW w:w="780" w:type="dxa"/>
            <w:vAlign w:val="bottom"/>
          </w:tcPr>
          <w:p>
            <w:pPr>
              <w:jc w:val="right"/>
              <w:ind w:right="354"/>
              <w:spacing w:after="0"/>
              <w:rPr>
                <w:sz w:val="20"/>
                <w:szCs w:val="20"/>
                <w:color w:val="auto"/>
              </w:rPr>
            </w:pPr>
            <w:r>
              <w:rPr>
                <w:rFonts w:ascii="Arial" w:cs="Arial" w:eastAsia="Arial" w:hAnsi="Arial"/>
                <w:sz w:val="17"/>
                <w:szCs w:val="17"/>
                <w:color w:val="auto"/>
                <w:w w:val="84"/>
              </w:rPr>
              <w:t>2019</w:t>
            </w:r>
          </w:p>
        </w:tc>
        <w:tc>
          <w:tcPr>
            <w:tcW w:w="200" w:type="dxa"/>
            <w:vAlign w:val="bottom"/>
          </w:tcPr>
          <w:p>
            <w:pPr>
              <w:spacing w:after="0"/>
              <w:rPr>
                <w:sz w:val="19"/>
                <w:szCs w:val="19"/>
                <w:color w:val="auto"/>
              </w:rPr>
            </w:pPr>
          </w:p>
        </w:tc>
        <w:tc>
          <w:tcPr>
            <w:tcW w:w="980" w:type="dxa"/>
            <w:vAlign w:val="bottom"/>
          </w:tcPr>
          <w:p>
            <w:pPr>
              <w:jc w:val="right"/>
              <w:ind w:right="234"/>
              <w:spacing w:after="0"/>
              <w:rPr>
                <w:sz w:val="20"/>
                <w:szCs w:val="20"/>
                <w:color w:val="auto"/>
              </w:rPr>
            </w:pPr>
            <w:r>
              <w:rPr>
                <w:rFonts w:ascii="Arial" w:cs="Arial" w:eastAsia="Arial" w:hAnsi="Arial"/>
                <w:sz w:val="17"/>
                <w:szCs w:val="17"/>
                <w:color w:val="auto"/>
              </w:rPr>
              <w:t>2020</w:t>
            </w:r>
          </w:p>
        </w:tc>
        <w:tc>
          <w:tcPr>
            <w:tcW w:w="200" w:type="dxa"/>
            <w:vAlign w:val="bottom"/>
          </w:tcPr>
          <w:p>
            <w:pPr>
              <w:spacing w:after="0"/>
              <w:rPr>
                <w:sz w:val="19"/>
                <w:szCs w:val="19"/>
                <w:color w:val="auto"/>
              </w:rPr>
            </w:pPr>
          </w:p>
        </w:tc>
        <w:tc>
          <w:tcPr>
            <w:tcW w:w="1200" w:type="dxa"/>
            <w:vAlign w:val="bottom"/>
          </w:tcPr>
          <w:p>
            <w:pPr>
              <w:jc w:val="right"/>
              <w:ind w:right="334"/>
              <w:spacing w:after="0"/>
              <w:rPr>
                <w:sz w:val="20"/>
                <w:szCs w:val="20"/>
                <w:color w:val="auto"/>
              </w:rPr>
            </w:pPr>
            <w:r>
              <w:rPr>
                <w:rFonts w:ascii="Arial" w:cs="Arial" w:eastAsia="Arial" w:hAnsi="Arial"/>
                <w:sz w:val="17"/>
                <w:szCs w:val="17"/>
                <w:color w:val="auto"/>
              </w:rPr>
              <w:t>2019</w:t>
            </w:r>
          </w:p>
        </w:tc>
      </w:tr>
      <w:tr>
        <w:trPr>
          <w:trHeight w:val="218"/>
        </w:trPr>
        <w:tc>
          <w:tcPr>
            <w:tcW w:w="1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Louisiana</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5,969,190</w:t>
            </w: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6,009,079</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125,114</w:t>
            </w:r>
          </w:p>
        </w:tc>
        <w:tc>
          <w:tcPr>
            <w:tcW w:w="2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125,114</w:t>
            </w:r>
          </w:p>
        </w:tc>
      </w:tr>
      <w:tr>
        <w:trPr>
          <w:trHeight w:val="219"/>
        </w:trPr>
        <w:tc>
          <w:tcPr>
            <w:tcW w:w="1280" w:type="dxa"/>
            <w:vAlign w:val="bottom"/>
          </w:tcPr>
          <w:p>
            <w:pPr>
              <w:spacing w:after="0"/>
              <w:rPr>
                <w:sz w:val="20"/>
                <w:szCs w:val="20"/>
                <w:color w:val="auto"/>
              </w:rPr>
            </w:pPr>
            <w:r>
              <w:rPr>
                <w:rFonts w:ascii="Arial" w:cs="Arial" w:eastAsia="Arial" w:hAnsi="Arial"/>
                <w:sz w:val="17"/>
                <w:szCs w:val="17"/>
                <w:color w:val="auto"/>
              </w:rPr>
              <w:t>Mississippi</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2,933,234</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w w:val="97"/>
              </w:rPr>
              <w:t>2,951,478</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21,521</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21,521</w:t>
            </w:r>
          </w:p>
        </w:tc>
      </w:tr>
      <w:tr>
        <w:trPr>
          <w:trHeight w:val="225"/>
        </w:trPr>
        <w:tc>
          <w:tcPr>
            <w:tcW w:w="1280" w:type="dxa"/>
            <w:vAlign w:val="bottom"/>
            <w:shd w:val="clear" w:color="auto" w:fill="CCEEFF"/>
          </w:tcPr>
          <w:p>
            <w:pPr>
              <w:spacing w:after="0"/>
              <w:rPr>
                <w:sz w:val="20"/>
                <w:szCs w:val="20"/>
                <w:color w:val="auto"/>
              </w:rPr>
            </w:pPr>
            <w:r>
              <w:rPr>
                <w:rFonts w:ascii="Arial" w:cs="Arial" w:eastAsia="Arial" w:hAnsi="Arial"/>
                <w:sz w:val="17"/>
                <w:szCs w:val="17"/>
                <w:color w:val="auto"/>
              </w:rPr>
              <w:t>Utah (1)</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83,074,226</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81,266,083</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462,730</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465,230</w:t>
            </w:r>
          </w:p>
        </w:tc>
      </w:tr>
      <w:tr>
        <w:trPr>
          <w:trHeight w:val="222"/>
        </w:trPr>
        <w:tc>
          <w:tcPr>
            <w:tcW w:w="1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11"/>
        </w:trPr>
        <w:tc>
          <w:tcPr>
            <w:tcW w:w="1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91,976,650</w:t>
            </w:r>
          </w:p>
        </w:tc>
        <w:tc>
          <w:tcPr>
            <w:tcW w:w="2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6"/>
              </w:rPr>
              <w:t>90,226,640</w:t>
            </w: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609,365</w:t>
            </w: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611,865</w:t>
            </w:r>
          </w:p>
        </w:tc>
      </w:tr>
      <w:tr>
        <w:trPr>
          <w:trHeight w:val="20"/>
        </w:trPr>
        <w:tc>
          <w:tcPr>
            <w:tcW w:w="1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118745</wp:posOffset>
            </wp:positionV>
            <wp:extent cx="46037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60375" cy="7620"/>
                    </a:xfrm>
                    <a:prstGeom prst="rect">
                      <a:avLst/>
                    </a:prstGeom>
                    <a:noFill/>
                  </pic:spPr>
                </pic:pic>
              </a:graphicData>
            </a:graphic>
          </wp:anchor>
        </w:drawing>
      </w:r>
    </w:p>
    <w:p>
      <w:pPr>
        <w:spacing w:after="0" w:line="187" w:lineRule="exact"/>
        <w:rPr>
          <w:sz w:val="20"/>
          <w:szCs w:val="20"/>
          <w:color w:val="auto"/>
        </w:rPr>
      </w:pPr>
    </w:p>
    <w:p>
      <w:pPr>
        <w:ind w:left="5" w:right="3679" w:firstLine="7"/>
        <w:spacing w:after="0" w:line="270" w:lineRule="auto"/>
        <w:tabs>
          <w:tab w:leader="none" w:pos="247"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Includes Center53 phase 1 completed in July 2017 and phase 2 which is under 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-276860</wp:posOffset>
            </wp:positionV>
            <wp:extent cx="4106545" cy="267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106545" cy="267335"/>
                    </a:xfrm>
                    <a:prstGeom prst="rect">
                      <a:avLst/>
                    </a:prstGeom>
                    <a:noFill/>
                  </pic:spPr>
                </pic:pic>
              </a:graphicData>
            </a:graphic>
          </wp:anchor>
        </w:drawing>
      </w:r>
    </w:p>
    <w:p>
      <w:pPr>
        <w:spacing w:after="0" w:line="160" w:lineRule="exact"/>
        <w:rPr>
          <w:sz w:val="20"/>
          <w:szCs w:val="20"/>
          <w:color w:val="auto"/>
        </w:rPr>
      </w:pPr>
    </w:p>
    <w:p>
      <w:pPr>
        <w:ind w:left="3845"/>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498983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89830" cy="29845"/>
                    </a:xfrm>
                    <a:prstGeom prst="rect">
                      <a:avLst/>
                    </a:prstGeom>
                    <a:noFill/>
                  </pic:spPr>
                </pic:pic>
              </a:graphicData>
            </a:graphic>
          </wp:anchor>
        </w:drawing>
      </w:r>
    </w:p>
    <w:p>
      <w:pPr>
        <w:sectPr>
          <w:pgSz w:w="11900" w:h="16838" w:orient="portrait"/>
          <w:cols w:equalWidth="0" w:num="1">
            <w:col w:w="9304"/>
          </w:cols>
          <w:pgMar w:left="1155" w:top="324" w:right="1440" w:bottom="1440" w:gutter="0" w:footer="0" w:header="0"/>
        </w:sectPr>
      </w:pPr>
    </w:p>
    <w:bookmarkStart w:id="17" w:name="page18"/>
    <w:bookmarkEnd w:id="17"/>
    <w:p>
      <w:pPr>
        <w:jc w:val="center"/>
        <w:ind w:left="1160" w:right="1140"/>
        <w:spacing w:after="0" w:line="257" w:lineRule="auto"/>
        <w:rPr>
          <w:sz w:val="20"/>
          <w:szCs w:val="20"/>
          <w:color w:val="auto"/>
        </w:rPr>
      </w:pPr>
      <w:r>
        <w:rPr>
          <w:rFonts w:ascii="Arial" w:cs="Arial" w:eastAsia="Arial" w:hAnsi="Arial"/>
          <w:sz w:val="17"/>
          <w:szCs w:val="17"/>
          <w:color w:val="auto"/>
        </w:rPr>
        <w:t>SECURITY NATIONAL FINANCIAL CORPORATION AND SUBSIDIARIES Notes to Condensed Consolidated Financial Statements March 31, 2020 (Unaudited)</w:t>
      </w:r>
    </w:p>
    <w:p>
      <w:pPr>
        <w:spacing w:after="0" w:line="97" w:lineRule="exact"/>
        <w:rPr>
          <w:sz w:val="20"/>
          <w:szCs w:val="20"/>
          <w:color w:val="auto"/>
        </w:rPr>
      </w:pPr>
    </w:p>
    <w:p>
      <w:pPr>
        <w:ind w:left="425" w:hanging="425"/>
        <w:spacing w:after="0"/>
        <w:tabs>
          <w:tab w:leader="none" w:pos="425"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Investments</w:t>
      </w:r>
      <w:r>
        <w:rPr>
          <w:rFonts w:ascii="Arial" w:cs="Arial" w:eastAsia="Arial" w:hAnsi="Arial"/>
          <w:sz w:val="17"/>
          <w:szCs w:val="17"/>
          <w:color w:val="auto"/>
        </w:rPr>
        <w:t xml:space="preserve"> (Continued)</w:t>
      </w:r>
    </w:p>
    <w:p>
      <w:pPr>
        <w:spacing w:after="0" w:line="200" w:lineRule="exact"/>
        <w:rPr>
          <w:sz w:val="20"/>
          <w:szCs w:val="20"/>
          <w:color w:val="auto"/>
        </w:rPr>
      </w:pPr>
    </w:p>
    <w:p>
      <w:pPr>
        <w:spacing w:after="0" w:line="224" w:lineRule="exact"/>
        <w:rPr>
          <w:sz w:val="20"/>
          <w:szCs w:val="20"/>
          <w:color w:val="auto"/>
        </w:rPr>
      </w:pPr>
    </w:p>
    <w:p>
      <w:pPr>
        <w:ind w:left="5"/>
        <w:spacing w:after="0"/>
        <w:rPr>
          <w:sz w:val="20"/>
          <w:szCs w:val="20"/>
          <w:color w:val="auto"/>
        </w:rPr>
      </w:pPr>
      <w:r>
        <w:rPr>
          <w:rFonts w:ascii="Arial" w:cs="Arial" w:eastAsia="Arial" w:hAnsi="Arial"/>
          <w:sz w:val="16"/>
          <w:szCs w:val="16"/>
          <w:color w:val="auto"/>
        </w:rPr>
        <w:t>The following is a summary of the Company’s commercial real estate held for sale for the periods presented:</w:t>
      </w:r>
    </w:p>
    <w:p>
      <w:pPr>
        <w:spacing w:after="0" w:line="225" w:lineRule="exact"/>
        <w:rPr>
          <w:sz w:val="20"/>
          <w:szCs w:val="20"/>
          <w:color w:val="auto"/>
        </w:rPr>
      </w:pPr>
    </w:p>
    <w:tbl>
      <w:tblPr>
        <w:tblLayout w:type="fixed"/>
        <w:tblInd w:w="5" w:type="dxa"/>
        <w:tblCellMar>
          <w:top w:w="0" w:type="dxa"/>
          <w:left w:w="0" w:type="dxa"/>
          <w:bottom w:w="0" w:type="dxa"/>
          <w:right w:w="0" w:type="dxa"/>
        </w:tblCellMar>
      </w:tblPr>
      <w:tr>
        <w:trPr>
          <w:trHeight w:val="217"/>
        </w:trPr>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300" w:type="dxa"/>
            <w:vAlign w:val="bottom"/>
            <w:gridSpan w:val="5"/>
          </w:tcPr>
          <w:p>
            <w:pPr>
              <w:ind w:left="120"/>
              <w:spacing w:after="0"/>
              <w:rPr>
                <w:sz w:val="20"/>
                <w:szCs w:val="20"/>
                <w:color w:val="auto"/>
              </w:rPr>
            </w:pPr>
            <w:r>
              <w:rPr>
                <w:rFonts w:ascii="Arial" w:cs="Arial" w:eastAsia="Arial" w:hAnsi="Arial"/>
                <w:sz w:val="17"/>
                <w:szCs w:val="17"/>
                <w:color w:val="auto"/>
              </w:rPr>
              <w:t>Net Ending Balance</w:t>
            </w:r>
          </w:p>
        </w:tc>
        <w:tc>
          <w:tcPr>
            <w:tcW w:w="2560" w:type="dxa"/>
            <w:vAlign w:val="bottom"/>
            <w:gridSpan w:val="3"/>
          </w:tcPr>
          <w:p>
            <w:pPr>
              <w:jc w:val="right"/>
              <w:ind w:right="454"/>
              <w:spacing w:after="0"/>
              <w:rPr>
                <w:sz w:val="20"/>
                <w:szCs w:val="20"/>
                <w:color w:val="auto"/>
              </w:rPr>
            </w:pPr>
            <w:r>
              <w:rPr>
                <w:rFonts w:ascii="Arial" w:cs="Arial" w:eastAsia="Arial" w:hAnsi="Arial"/>
                <w:sz w:val="17"/>
                <w:szCs w:val="17"/>
                <w:color w:val="auto"/>
              </w:rPr>
              <w:t>Total Square Footage</w:t>
            </w:r>
          </w:p>
        </w:tc>
      </w:tr>
      <w:tr>
        <w:trPr>
          <w:trHeight w:val="204"/>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3"/>
          </w:tcPr>
          <w:p>
            <w:pPr>
              <w:ind w:left="140"/>
              <w:spacing w:after="0"/>
              <w:rPr>
                <w:sz w:val="20"/>
                <w:szCs w:val="20"/>
                <w:color w:val="auto"/>
              </w:rPr>
            </w:pPr>
            <w:r>
              <w:rPr>
                <w:rFonts w:ascii="Arial" w:cs="Arial" w:eastAsia="Arial" w:hAnsi="Arial"/>
                <w:sz w:val="17"/>
                <w:szCs w:val="17"/>
                <w:color w:val="auto"/>
              </w:rPr>
              <w:t>December 31</w:t>
            </w:r>
          </w:p>
        </w:tc>
        <w:tc>
          <w:tcPr>
            <w:tcW w:w="1260" w:type="dxa"/>
            <w:vAlign w:val="bottom"/>
            <w:gridSpan w:val="2"/>
          </w:tcPr>
          <w:p>
            <w:pPr>
              <w:ind w:left="200"/>
              <w:spacing w:after="0"/>
              <w:rPr>
                <w:sz w:val="20"/>
                <w:szCs w:val="20"/>
                <w:color w:val="auto"/>
              </w:rPr>
            </w:pPr>
            <w:r>
              <w:rPr>
                <w:rFonts w:ascii="Arial" w:cs="Arial" w:eastAsia="Arial" w:hAnsi="Arial"/>
                <w:sz w:val="17"/>
                <w:szCs w:val="17"/>
                <w:color w:val="auto"/>
              </w:rPr>
              <w:t>March 31</w:t>
            </w:r>
          </w:p>
        </w:tc>
        <w:tc>
          <w:tcPr>
            <w:tcW w:w="1300" w:type="dxa"/>
            <w:vAlign w:val="bottom"/>
          </w:tcPr>
          <w:p>
            <w:pPr>
              <w:jc w:val="right"/>
              <w:ind w:right="94"/>
              <w:spacing w:after="0"/>
              <w:rPr>
                <w:sz w:val="20"/>
                <w:szCs w:val="20"/>
                <w:color w:val="auto"/>
              </w:rPr>
            </w:pPr>
            <w:r>
              <w:rPr>
                <w:rFonts w:ascii="Arial" w:cs="Arial" w:eastAsia="Arial" w:hAnsi="Arial"/>
                <w:sz w:val="17"/>
                <w:szCs w:val="17"/>
                <w:color w:val="auto"/>
              </w:rPr>
              <w:t>December 31</w:t>
            </w:r>
          </w:p>
        </w:tc>
      </w:tr>
      <w:tr>
        <w:trPr>
          <w:trHeight w:val="221"/>
        </w:trPr>
        <w:tc>
          <w:tcPr>
            <w:tcW w:w="1280" w:type="dxa"/>
            <w:vAlign w:val="bottom"/>
          </w:tcPr>
          <w:p>
            <w:pPr>
              <w:spacing w:after="0"/>
              <w:rPr>
                <w:sz w:val="19"/>
                <w:szCs w:val="19"/>
                <w:color w:val="auto"/>
              </w:rPr>
            </w:pPr>
          </w:p>
        </w:tc>
        <w:tc>
          <w:tcPr>
            <w:tcW w:w="1400" w:type="dxa"/>
            <w:vAlign w:val="bottom"/>
            <w:gridSpan w:val="3"/>
          </w:tcPr>
          <w:p>
            <w:pPr>
              <w:ind w:left="80"/>
              <w:spacing w:after="0"/>
              <w:rPr>
                <w:sz w:val="20"/>
                <w:szCs w:val="20"/>
                <w:color w:val="auto"/>
              </w:rPr>
            </w:pPr>
            <w:r>
              <w:rPr>
                <w:rFonts w:ascii="Arial" w:cs="Arial" w:eastAsia="Arial" w:hAnsi="Arial"/>
                <w:sz w:val="17"/>
                <w:szCs w:val="17"/>
                <w:color w:val="auto"/>
              </w:rPr>
              <w:t>March 31 2020</w:t>
            </w:r>
          </w:p>
        </w:tc>
        <w:tc>
          <w:tcPr>
            <w:tcW w:w="1180" w:type="dxa"/>
            <w:vAlign w:val="bottom"/>
            <w:gridSpan w:val="2"/>
          </w:tcPr>
          <w:p>
            <w:pPr>
              <w:jc w:val="right"/>
              <w:ind w:right="334"/>
              <w:spacing w:after="0"/>
              <w:rPr>
                <w:sz w:val="20"/>
                <w:szCs w:val="20"/>
                <w:color w:val="auto"/>
              </w:rPr>
            </w:pPr>
            <w:r>
              <w:rPr>
                <w:rFonts w:ascii="Arial" w:cs="Arial" w:eastAsia="Arial" w:hAnsi="Arial"/>
                <w:sz w:val="17"/>
                <w:szCs w:val="17"/>
                <w:color w:val="auto"/>
              </w:rPr>
              <w:t>2019</w:t>
            </w:r>
          </w:p>
        </w:tc>
        <w:tc>
          <w:tcPr>
            <w:tcW w:w="200" w:type="dxa"/>
            <w:vAlign w:val="bottom"/>
          </w:tcPr>
          <w:p>
            <w:pPr>
              <w:spacing w:after="0"/>
              <w:rPr>
                <w:sz w:val="19"/>
                <w:szCs w:val="19"/>
                <w:color w:val="auto"/>
              </w:rPr>
            </w:pPr>
          </w:p>
        </w:tc>
        <w:tc>
          <w:tcPr>
            <w:tcW w:w="1060" w:type="dxa"/>
            <w:vAlign w:val="bottom"/>
          </w:tcPr>
          <w:p>
            <w:pPr>
              <w:jc w:val="right"/>
              <w:ind w:right="274"/>
              <w:spacing w:after="0"/>
              <w:rPr>
                <w:sz w:val="20"/>
                <w:szCs w:val="20"/>
                <w:color w:val="auto"/>
              </w:rPr>
            </w:pPr>
            <w:r>
              <w:rPr>
                <w:rFonts w:ascii="Arial" w:cs="Arial" w:eastAsia="Arial" w:hAnsi="Arial"/>
                <w:sz w:val="17"/>
                <w:szCs w:val="17"/>
                <w:color w:val="auto"/>
              </w:rPr>
              <w:t>2020</w:t>
            </w:r>
          </w:p>
        </w:tc>
        <w:tc>
          <w:tcPr>
            <w:tcW w:w="200" w:type="dxa"/>
            <w:vAlign w:val="bottom"/>
          </w:tcPr>
          <w:p>
            <w:pPr>
              <w:spacing w:after="0"/>
              <w:rPr>
                <w:sz w:val="19"/>
                <w:szCs w:val="19"/>
                <w:color w:val="auto"/>
              </w:rPr>
            </w:pPr>
          </w:p>
        </w:tc>
        <w:tc>
          <w:tcPr>
            <w:tcW w:w="1300" w:type="dxa"/>
            <w:vAlign w:val="bottom"/>
          </w:tcPr>
          <w:p>
            <w:pPr>
              <w:jc w:val="right"/>
              <w:ind w:right="394"/>
              <w:spacing w:after="0"/>
              <w:rPr>
                <w:sz w:val="20"/>
                <w:szCs w:val="20"/>
                <w:color w:val="auto"/>
              </w:rPr>
            </w:pPr>
            <w:r>
              <w:rPr>
                <w:rFonts w:ascii="Arial" w:cs="Arial" w:eastAsia="Arial" w:hAnsi="Arial"/>
                <w:sz w:val="17"/>
                <w:szCs w:val="17"/>
                <w:color w:val="auto"/>
              </w:rPr>
              <w:t>2019</w:t>
            </w:r>
          </w:p>
        </w:tc>
      </w:tr>
      <w:tr>
        <w:trPr>
          <w:trHeight w:val="218"/>
        </w:trPr>
        <w:tc>
          <w:tcPr>
            <w:tcW w:w="1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Arizona (1)</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2,500</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2,500</w:t>
            </w: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1280" w:type="dxa"/>
            <w:vAlign w:val="bottom"/>
          </w:tcPr>
          <w:p>
            <w:pPr>
              <w:spacing w:after="0"/>
              <w:rPr>
                <w:sz w:val="20"/>
                <w:szCs w:val="20"/>
                <w:color w:val="auto"/>
              </w:rPr>
            </w:pPr>
            <w:r>
              <w:rPr>
                <w:rFonts w:ascii="Arial" w:cs="Arial" w:eastAsia="Arial" w:hAnsi="Arial"/>
                <w:sz w:val="17"/>
                <w:szCs w:val="17"/>
                <w:color w:val="auto"/>
              </w:rPr>
              <w:t>Kansas</w:t>
            </w: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89"/>
              </w:rPr>
              <w:t>4,800,000</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92"/>
              </w:rPr>
              <w:t>4,800,000</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222,679</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222,679</w:t>
            </w:r>
          </w:p>
        </w:tc>
      </w:tr>
      <w:tr>
        <w:trPr>
          <w:trHeight w:val="225"/>
        </w:trPr>
        <w:tc>
          <w:tcPr>
            <w:tcW w:w="1280" w:type="dxa"/>
            <w:vAlign w:val="bottom"/>
            <w:shd w:val="clear" w:color="auto" w:fill="CCEEFF"/>
          </w:tcPr>
          <w:p>
            <w:pPr>
              <w:spacing w:after="0"/>
              <w:rPr>
                <w:sz w:val="20"/>
                <w:szCs w:val="20"/>
                <w:color w:val="auto"/>
              </w:rPr>
            </w:pPr>
            <w:r>
              <w:rPr>
                <w:rFonts w:ascii="Arial" w:cs="Arial" w:eastAsia="Arial" w:hAnsi="Arial"/>
                <w:sz w:val="17"/>
                <w:szCs w:val="17"/>
                <w:color w:val="auto"/>
              </w:rPr>
              <w:t>Mississippi</w:t>
            </w: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318,322</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318,322</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12,300</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12,300</w:t>
            </w:r>
          </w:p>
        </w:tc>
      </w:tr>
      <w:tr>
        <w:trPr>
          <w:trHeight w:val="219"/>
        </w:trPr>
        <w:tc>
          <w:tcPr>
            <w:tcW w:w="1280" w:type="dxa"/>
            <w:vAlign w:val="bottom"/>
          </w:tcPr>
          <w:p>
            <w:pPr>
              <w:spacing w:after="0"/>
              <w:rPr>
                <w:sz w:val="20"/>
                <w:szCs w:val="20"/>
                <w:color w:val="auto"/>
              </w:rPr>
            </w:pPr>
            <w:r>
              <w:rPr>
                <w:rFonts w:ascii="Arial" w:cs="Arial" w:eastAsia="Arial" w:hAnsi="Arial"/>
                <w:sz w:val="17"/>
                <w:szCs w:val="17"/>
                <w:color w:val="auto"/>
              </w:rPr>
              <w:t>Nevada</w:t>
            </w: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655,499</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655,499</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4,800</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4,800</w:t>
            </w:r>
          </w:p>
        </w:tc>
      </w:tr>
      <w:tr>
        <w:trPr>
          <w:trHeight w:val="225"/>
        </w:trPr>
        <w:tc>
          <w:tcPr>
            <w:tcW w:w="1280" w:type="dxa"/>
            <w:vAlign w:val="bottom"/>
            <w:shd w:val="clear" w:color="auto" w:fill="CCEEFF"/>
          </w:tcPr>
          <w:p>
            <w:pPr>
              <w:spacing w:after="0"/>
              <w:rPr>
                <w:sz w:val="20"/>
                <w:szCs w:val="20"/>
                <w:color w:val="auto"/>
              </w:rPr>
            </w:pPr>
            <w:r>
              <w:rPr>
                <w:rFonts w:ascii="Arial" w:cs="Arial" w:eastAsia="Arial" w:hAnsi="Arial"/>
                <w:sz w:val="17"/>
                <w:szCs w:val="17"/>
                <w:color w:val="auto"/>
              </w:rPr>
              <w:t>Texas (2)</w:t>
            </w: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300,000</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300,000</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12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gridSpan w:val="2"/>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gridSpan w:val="2"/>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11"/>
        </w:trPr>
        <w:tc>
          <w:tcPr>
            <w:tcW w:w="1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$ 6,076,321</w:t>
            </w:r>
          </w:p>
        </w:tc>
        <w:tc>
          <w:tcPr>
            <w:tcW w:w="2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$ 6,076,321</w:t>
            </w: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239,779</w:t>
            </w:r>
          </w:p>
        </w:tc>
        <w:tc>
          <w:tcPr>
            <w:tcW w:w="2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239,779</w:t>
            </w:r>
          </w:p>
        </w:tc>
      </w:tr>
      <w:tr>
        <w:trPr>
          <w:trHeight w:val="20"/>
        </w:trPr>
        <w:tc>
          <w:tcPr>
            <w:tcW w:w="1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118745</wp:posOffset>
            </wp:positionV>
            <wp:extent cx="46037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60375" cy="7620"/>
                    </a:xfrm>
                    <a:prstGeom prst="rect">
                      <a:avLst/>
                    </a:prstGeom>
                    <a:noFill/>
                  </pic:spPr>
                </pic:pic>
              </a:graphicData>
            </a:graphic>
          </wp:anchor>
        </w:drawing>
      </w:r>
    </w:p>
    <w:p>
      <w:pPr>
        <w:spacing w:after="0" w:line="187" w:lineRule="exact"/>
        <w:rPr>
          <w:sz w:val="20"/>
          <w:szCs w:val="20"/>
          <w:color w:val="auto"/>
        </w:rPr>
      </w:pPr>
    </w:p>
    <w:p>
      <w:pPr>
        <w:ind w:left="245" w:hanging="233"/>
        <w:spacing w:after="0"/>
        <w:tabs>
          <w:tab w:leader="none" w:pos="245" w:val="left"/>
        </w:tabs>
        <w:numPr>
          <w:ilvl w:val="0"/>
          <w:numId w:val="14"/>
        </w:numPr>
        <w:rPr>
          <w:rFonts w:ascii="Arial" w:cs="Arial" w:eastAsia="Arial" w:hAnsi="Arial"/>
          <w:sz w:val="17"/>
          <w:szCs w:val="17"/>
          <w:color w:val="auto"/>
        </w:rPr>
      </w:pPr>
      <w:r>
        <w:rPr>
          <w:rFonts w:ascii="Arial" w:cs="Arial" w:eastAsia="Arial" w:hAnsi="Arial"/>
          <w:sz w:val="17"/>
          <w:szCs w:val="17"/>
          <w:color w:val="auto"/>
        </w:rPr>
        <w:t>Undeveloped land</w:t>
      </w:r>
    </w:p>
    <w:p>
      <w:pPr>
        <w:spacing w:after="0" w:line="26" w:lineRule="exact"/>
        <w:rPr>
          <w:rFonts w:ascii="Arial" w:cs="Arial" w:eastAsia="Arial" w:hAnsi="Arial"/>
          <w:sz w:val="17"/>
          <w:szCs w:val="17"/>
          <w:color w:val="auto"/>
        </w:rPr>
      </w:pPr>
    </w:p>
    <w:p>
      <w:pPr>
        <w:ind w:left="245" w:hanging="233"/>
        <w:spacing w:after="0"/>
        <w:tabs>
          <w:tab w:leader="none" w:pos="245" w:val="left"/>
        </w:tabs>
        <w:numPr>
          <w:ilvl w:val="0"/>
          <w:numId w:val="14"/>
        </w:numPr>
        <w:rPr>
          <w:rFonts w:ascii="Arial" w:cs="Arial" w:eastAsia="Arial" w:hAnsi="Arial"/>
          <w:sz w:val="17"/>
          <w:szCs w:val="17"/>
          <w:color w:val="auto"/>
        </w:rPr>
      </w:pPr>
      <w:r>
        <w:rPr>
          <w:rFonts w:ascii="Arial" w:cs="Arial" w:eastAsia="Arial" w:hAnsi="Arial"/>
          <w:sz w:val="17"/>
          <w:szCs w:val="17"/>
          <w:color w:val="auto"/>
        </w:rPr>
        <w:t>Improved commercial pad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-262890</wp:posOffset>
            </wp:positionV>
            <wp:extent cx="4203065" cy="1409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203065" cy="140970"/>
                    </a:xfrm>
                    <a:prstGeom prst="rect">
                      <a:avLst/>
                    </a:prstGeom>
                    <a:noFill/>
                  </pic:spPr>
                </pic:pic>
              </a:graphicData>
            </a:graphic>
          </wp:anchor>
        </w:drawing>
      </w:r>
    </w:p>
    <w:p>
      <w:pPr>
        <w:spacing w:after="0" w:line="194" w:lineRule="exact"/>
        <w:rPr>
          <w:sz w:val="20"/>
          <w:szCs w:val="20"/>
          <w:color w:val="auto"/>
        </w:rPr>
      </w:pPr>
    </w:p>
    <w:p>
      <w:pPr>
        <w:jc w:val="both"/>
        <w:ind w:left="5" w:right="1439"/>
        <w:spacing w:after="0" w:line="257" w:lineRule="auto"/>
        <w:rPr>
          <w:sz w:val="20"/>
          <w:szCs w:val="20"/>
          <w:color w:val="auto"/>
        </w:rPr>
      </w:pPr>
      <w:r>
        <w:rPr>
          <w:rFonts w:ascii="Arial" w:cs="Arial" w:eastAsia="Arial" w:hAnsi="Arial"/>
          <w:sz w:val="17"/>
          <w:szCs w:val="17"/>
          <w:color w:val="auto"/>
        </w:rPr>
        <w:t>These properties are all actively being marketed with the assistance of commercial real estate brokers in the markets where the properties are located. The Company expects these properties to sell within the coming 12 months.</w:t>
      </w:r>
    </w:p>
    <w:p>
      <w:pPr>
        <w:spacing w:after="0" w:line="167" w:lineRule="exact"/>
        <w:rPr>
          <w:sz w:val="20"/>
          <w:szCs w:val="20"/>
          <w:color w:val="auto"/>
        </w:rPr>
      </w:pPr>
    </w:p>
    <w:p>
      <w:pPr>
        <w:ind w:left="5"/>
        <w:spacing w:after="0"/>
        <w:rPr>
          <w:sz w:val="20"/>
          <w:szCs w:val="20"/>
          <w:color w:val="auto"/>
        </w:rPr>
      </w:pPr>
      <w:r>
        <w:rPr>
          <w:rFonts w:ascii="Arial" w:cs="Arial" w:eastAsia="Arial" w:hAnsi="Arial"/>
          <w:sz w:val="17"/>
          <w:szCs w:val="17"/>
          <w:u w:val="single" w:color="auto"/>
          <w:color w:val="auto"/>
        </w:rPr>
        <w:t>Residential Real Estate Held for Investment and Held for Sale</w:t>
      </w:r>
    </w:p>
    <w:p>
      <w:pPr>
        <w:spacing w:after="0" w:line="109" w:lineRule="exact"/>
        <w:rPr>
          <w:sz w:val="20"/>
          <w:szCs w:val="20"/>
          <w:color w:val="auto"/>
        </w:rPr>
      </w:pPr>
    </w:p>
    <w:p>
      <w:pPr>
        <w:jc w:val="both"/>
        <w:ind w:left="5" w:right="1439"/>
        <w:spacing w:after="0" w:line="250" w:lineRule="auto"/>
        <w:rPr>
          <w:sz w:val="20"/>
          <w:szCs w:val="20"/>
          <w:color w:val="auto"/>
        </w:rPr>
      </w:pPr>
      <w:r>
        <w:rPr>
          <w:rFonts w:ascii="Arial" w:cs="Arial" w:eastAsia="Arial" w:hAnsi="Arial"/>
          <w:sz w:val="17"/>
          <w:szCs w:val="17"/>
          <w:color w:val="auto"/>
        </w:rPr>
        <w:t>The Company owns a portfolio of residential homes primarily as a result of loan foreclosures. The strategy has been to lease these homes to produce cash flow and allow time for the economic fundamentals to return to the various markets. As an orderly and active market for these homes returns, the Company has the option to dispose or to continue and hold them for cash flow and acceptable returns. The Company also invests in residential subdivision developments.</w:t>
      </w:r>
    </w:p>
    <w:p>
      <w:pPr>
        <w:spacing w:after="0" w:line="175" w:lineRule="exact"/>
        <w:rPr>
          <w:sz w:val="20"/>
          <w:szCs w:val="20"/>
          <w:color w:val="auto"/>
        </w:rPr>
      </w:pPr>
    </w:p>
    <w:p>
      <w:pPr>
        <w:jc w:val="both"/>
        <w:ind w:left="5" w:right="1459"/>
        <w:spacing w:after="0" w:line="257" w:lineRule="auto"/>
        <w:rPr>
          <w:sz w:val="20"/>
          <w:szCs w:val="20"/>
          <w:color w:val="auto"/>
        </w:rPr>
      </w:pPr>
      <w:r>
        <w:rPr>
          <w:rFonts w:ascii="Arial" w:cs="Arial" w:eastAsia="Arial" w:hAnsi="Arial"/>
          <w:sz w:val="17"/>
          <w:szCs w:val="17"/>
          <w:color w:val="auto"/>
        </w:rPr>
        <w:t>The Company established Security National Real Estate Services (“SNRE”) to manage the residential portfolio. SNRE cultivates and maintains the preferred vendor relationships necessary to manage costs and quality of work performed on the portfolio of homes across the country.</w:t>
      </w:r>
    </w:p>
    <w:p>
      <w:pPr>
        <w:spacing w:after="0" w:line="167" w:lineRule="exact"/>
        <w:rPr>
          <w:sz w:val="20"/>
          <w:szCs w:val="20"/>
          <w:color w:val="auto"/>
        </w:rPr>
      </w:pPr>
    </w:p>
    <w:p>
      <w:pPr>
        <w:ind w:left="5"/>
        <w:spacing w:after="0"/>
        <w:rPr>
          <w:sz w:val="20"/>
          <w:szCs w:val="20"/>
          <w:color w:val="auto"/>
        </w:rPr>
      </w:pPr>
      <w:r>
        <w:rPr>
          <w:rFonts w:ascii="Arial" w:cs="Arial" w:eastAsia="Arial" w:hAnsi="Arial"/>
          <w:sz w:val="17"/>
          <w:szCs w:val="17"/>
          <w:color w:val="auto"/>
        </w:rPr>
        <w:t>As of March 31, 2020, SNRE manages 28 residential properties in 6 states across the United States.</w:t>
      </w:r>
    </w:p>
    <w:p>
      <w:pPr>
        <w:spacing w:after="0" w:line="202" w:lineRule="exact"/>
        <w:rPr>
          <w:sz w:val="20"/>
          <w:szCs w:val="20"/>
          <w:color w:val="auto"/>
        </w:rPr>
      </w:pPr>
    </w:p>
    <w:p>
      <w:pPr>
        <w:jc w:val="both"/>
        <w:ind w:left="5" w:right="1439"/>
        <w:spacing w:after="0" w:line="270" w:lineRule="auto"/>
        <w:rPr>
          <w:sz w:val="20"/>
          <w:szCs w:val="20"/>
          <w:color w:val="auto"/>
        </w:rPr>
      </w:pPr>
      <w:r>
        <w:rPr>
          <w:rFonts w:ascii="Arial" w:cs="Arial" w:eastAsia="Arial" w:hAnsi="Arial"/>
          <w:sz w:val="17"/>
          <w:szCs w:val="17"/>
          <w:color w:val="auto"/>
        </w:rPr>
        <w:t>The net ending balance of foreclosed residential real estate included in residential real estate held for investment is $9,040,000 and $12,434,000 as of March 31, 2020 and December 31, 2019, respectively.</w:t>
      </w:r>
    </w:p>
    <w:p>
      <w:pPr>
        <w:spacing w:after="0" w:line="157" w:lineRule="exact"/>
        <w:rPr>
          <w:sz w:val="20"/>
          <w:szCs w:val="20"/>
          <w:color w:val="auto"/>
        </w:rPr>
      </w:pPr>
    </w:p>
    <w:p>
      <w:pPr>
        <w:jc w:val="both"/>
        <w:ind w:left="5" w:right="1459"/>
        <w:spacing w:after="0" w:line="280" w:lineRule="auto"/>
        <w:rPr>
          <w:sz w:val="20"/>
          <w:szCs w:val="20"/>
          <w:color w:val="auto"/>
        </w:rPr>
      </w:pPr>
      <w:r>
        <w:rPr>
          <w:rFonts w:ascii="Arial" w:cs="Arial" w:eastAsia="Arial" w:hAnsi="Arial"/>
          <w:sz w:val="16"/>
          <w:szCs w:val="16"/>
          <w:color w:val="auto"/>
        </w:rPr>
        <w:t>During the three months ended March 31, 2020 and 2019 the Company did not record any impairment losses on residential real estate held for investment or held for sale. Impairment losses, if any, are included in gains (losses) on investment and other assets on the condensed consolidated statements of earnings.</w:t>
      </w:r>
    </w:p>
    <w:p>
      <w:pPr>
        <w:spacing w:after="0" w:line="151" w:lineRule="exact"/>
        <w:rPr>
          <w:sz w:val="20"/>
          <w:szCs w:val="20"/>
          <w:color w:val="auto"/>
        </w:rPr>
      </w:pPr>
    </w:p>
    <w:p>
      <w:pPr>
        <w:ind w:left="5"/>
        <w:spacing w:after="0"/>
        <w:rPr>
          <w:sz w:val="20"/>
          <w:szCs w:val="20"/>
          <w:color w:val="auto"/>
        </w:rPr>
      </w:pPr>
      <w:r>
        <w:rPr>
          <w:rFonts w:ascii="Arial" w:cs="Arial" w:eastAsia="Arial" w:hAnsi="Arial"/>
          <w:sz w:val="15"/>
          <w:szCs w:val="15"/>
          <w:color w:val="auto"/>
        </w:rPr>
        <w:t>The following is a summary of the Company’s residential real estate held for investment for the periods presented:</w:t>
      </w:r>
    </w:p>
    <w:p>
      <w:pPr>
        <w:spacing w:after="0" w:line="237" w:lineRule="exact"/>
        <w:rPr>
          <w:sz w:val="20"/>
          <w:szCs w:val="20"/>
          <w:color w:val="auto"/>
        </w:rPr>
      </w:pPr>
    </w:p>
    <w:tbl>
      <w:tblPr>
        <w:tblLayout w:type="fixed"/>
        <w:tblInd w:w="5" w:type="dxa"/>
        <w:tblCellMar>
          <w:top w:w="0" w:type="dxa"/>
          <w:left w:w="0" w:type="dxa"/>
          <w:bottom w:w="0" w:type="dxa"/>
          <w:right w:w="0" w:type="dxa"/>
        </w:tblCellMar>
      </w:tblPr>
      <w:tr>
        <w:trPr>
          <w:trHeight w:val="217"/>
        </w:trPr>
        <w:tc>
          <w:tcPr>
            <w:tcW w:w="1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00" w:type="dxa"/>
            <w:vAlign w:val="bottom"/>
            <w:gridSpan w:val="3"/>
          </w:tcPr>
          <w:p>
            <w:pPr>
              <w:jc w:val="right"/>
              <w:spacing w:after="0"/>
              <w:rPr>
                <w:sz w:val="20"/>
                <w:szCs w:val="20"/>
                <w:color w:val="auto"/>
              </w:rPr>
            </w:pPr>
            <w:r>
              <w:rPr>
                <w:rFonts w:ascii="Arial" w:cs="Arial" w:eastAsia="Arial" w:hAnsi="Arial"/>
                <w:sz w:val="17"/>
                <w:szCs w:val="17"/>
                <w:color w:val="auto"/>
              </w:rPr>
              <w:t>Net Ending Balance</w:t>
            </w:r>
          </w:p>
        </w:tc>
        <w:tc>
          <w:tcPr>
            <w:tcW w:w="800" w:type="dxa"/>
            <w:vAlign w:val="bottom"/>
          </w:tcPr>
          <w:p>
            <w:pPr>
              <w:spacing w:after="0"/>
              <w:rPr>
                <w:sz w:val="18"/>
                <w:szCs w:val="18"/>
                <w:color w:val="auto"/>
              </w:rPr>
            </w:pPr>
          </w:p>
        </w:tc>
      </w:tr>
      <w:tr>
        <w:trPr>
          <w:trHeight w:val="320"/>
        </w:trPr>
        <w:tc>
          <w:tcPr>
            <w:tcW w:w="1520" w:type="dxa"/>
            <w:vAlign w:val="bottom"/>
          </w:tcPr>
          <w:p>
            <w:pPr>
              <w:spacing w:after="0"/>
              <w:rPr>
                <w:sz w:val="24"/>
                <w:szCs w:val="24"/>
                <w:color w:val="auto"/>
              </w:rPr>
            </w:pPr>
          </w:p>
        </w:tc>
        <w:tc>
          <w:tcPr>
            <w:tcW w:w="1600" w:type="dxa"/>
            <w:vAlign w:val="bottom"/>
            <w:gridSpan w:val="3"/>
          </w:tcPr>
          <w:p>
            <w:pPr>
              <w:ind w:left="160"/>
              <w:spacing w:after="0"/>
              <w:rPr>
                <w:sz w:val="20"/>
                <w:szCs w:val="20"/>
                <w:color w:val="auto"/>
              </w:rPr>
            </w:pPr>
            <w:r>
              <w:rPr>
                <w:rFonts w:ascii="Arial" w:cs="Arial" w:eastAsia="Arial" w:hAnsi="Arial"/>
                <w:sz w:val="17"/>
                <w:szCs w:val="17"/>
                <w:color w:val="auto"/>
              </w:rPr>
              <w:t>March 31 2020</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w w:val="94"/>
              </w:rPr>
              <w:t>December 31 2019</w:t>
            </w:r>
          </w:p>
        </w:tc>
      </w:tr>
      <w:tr>
        <w:trPr>
          <w:trHeight w:val="218"/>
        </w:trPr>
        <w:tc>
          <w:tcPr>
            <w:tcW w:w="1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Florida</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2,166,615</w:t>
            </w:r>
          </w:p>
        </w:tc>
        <w:tc>
          <w:tcPr>
            <w:tcW w:w="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2,487,723</w:t>
            </w:r>
          </w:p>
        </w:tc>
      </w:tr>
      <w:tr>
        <w:trPr>
          <w:trHeight w:val="219"/>
        </w:trPr>
        <w:tc>
          <w:tcPr>
            <w:tcW w:w="1520" w:type="dxa"/>
            <w:vAlign w:val="bottom"/>
          </w:tcPr>
          <w:p>
            <w:pPr>
              <w:spacing w:after="0"/>
              <w:rPr>
                <w:sz w:val="20"/>
                <w:szCs w:val="20"/>
                <w:color w:val="auto"/>
              </w:rPr>
            </w:pPr>
            <w:r>
              <w:rPr>
                <w:rFonts w:ascii="Arial" w:cs="Arial" w:eastAsia="Arial" w:hAnsi="Arial"/>
                <w:sz w:val="17"/>
                <w:szCs w:val="17"/>
                <w:color w:val="auto"/>
              </w:rPr>
              <w:t>Nevada</w:t>
            </w:r>
          </w:p>
        </w:tc>
        <w:tc>
          <w:tcPr>
            <w:tcW w:w="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293,516</w:t>
            </w:r>
          </w:p>
        </w:tc>
      </w:tr>
      <w:tr>
        <w:trPr>
          <w:trHeight w:val="225"/>
        </w:trPr>
        <w:tc>
          <w:tcPr>
            <w:tcW w:w="1520" w:type="dxa"/>
            <w:vAlign w:val="bottom"/>
            <w:shd w:val="clear" w:color="auto" w:fill="CCEEFF"/>
          </w:tcPr>
          <w:p>
            <w:pPr>
              <w:spacing w:after="0"/>
              <w:rPr>
                <w:sz w:val="20"/>
                <w:szCs w:val="20"/>
                <w:color w:val="auto"/>
              </w:rPr>
            </w:pPr>
            <w:r>
              <w:rPr>
                <w:rFonts w:ascii="Arial" w:cs="Arial" w:eastAsia="Arial" w:hAnsi="Arial"/>
                <w:sz w:val="17"/>
                <w:szCs w:val="17"/>
                <w:color w:val="auto"/>
              </w:rPr>
              <w:t>Utah (1)</w:t>
            </w: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8,486,973</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9,462,886</w:t>
            </w:r>
          </w:p>
        </w:tc>
      </w:tr>
      <w:tr>
        <w:trPr>
          <w:trHeight w:val="219"/>
        </w:trPr>
        <w:tc>
          <w:tcPr>
            <w:tcW w:w="15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Washington</w:t>
            </w:r>
          </w:p>
        </w:tc>
        <w:tc>
          <w:tcPr>
            <w:tcW w:w="5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286,181</w:t>
            </w:r>
          </w:p>
        </w:tc>
        <w:tc>
          <w:tcPr>
            <w:tcW w:w="24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286,181</w:t>
            </w:r>
          </w:p>
        </w:tc>
      </w:tr>
      <w:tr>
        <w:trPr>
          <w:trHeight w:val="214"/>
        </w:trPr>
        <w:tc>
          <w:tcPr>
            <w:tcW w:w="15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10,939,769</w:t>
            </w:r>
          </w:p>
        </w:tc>
        <w:tc>
          <w:tcPr>
            <w:tcW w:w="2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12,530,306</w:t>
            </w:r>
          </w:p>
        </w:tc>
      </w:tr>
      <w:tr>
        <w:trPr>
          <w:trHeight w:val="20"/>
        </w:trPr>
        <w:tc>
          <w:tcPr>
            <w:tcW w:w="15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118745</wp:posOffset>
            </wp:positionV>
            <wp:extent cx="46037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60375" cy="7620"/>
                    </a:xfrm>
                    <a:prstGeom prst="rect">
                      <a:avLst/>
                    </a:prstGeom>
                    <a:noFill/>
                  </pic:spPr>
                </pic:pic>
              </a:graphicData>
            </a:graphic>
          </wp:anchor>
        </w:drawing>
      </w:r>
    </w:p>
    <w:p>
      <w:pPr>
        <w:spacing w:after="0" w:line="187" w:lineRule="exact"/>
        <w:rPr>
          <w:sz w:val="20"/>
          <w:szCs w:val="20"/>
          <w:color w:val="auto"/>
        </w:rPr>
      </w:pPr>
    </w:p>
    <w:p>
      <w:pPr>
        <w:ind w:left="5"/>
        <w:spacing w:after="0"/>
        <w:rPr>
          <w:sz w:val="20"/>
          <w:szCs w:val="20"/>
          <w:color w:val="auto"/>
        </w:rPr>
      </w:pPr>
      <w:r>
        <w:rPr>
          <w:rFonts w:ascii="Arial" w:cs="Arial" w:eastAsia="Arial" w:hAnsi="Arial"/>
          <w:sz w:val="17"/>
          <w:szCs w:val="17"/>
          <w:color w:val="auto"/>
        </w:rPr>
        <w:t>(1) Includes subdivision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2903220" cy="1409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903220" cy="140970"/>
                    </a:xfrm>
                    <a:prstGeom prst="rect">
                      <a:avLst/>
                    </a:prstGeom>
                    <a:noFill/>
                  </pic:spPr>
                </pic:pic>
              </a:graphicData>
            </a:graphic>
          </wp:anchor>
        </w:drawing>
      </w:r>
    </w:p>
    <w:p>
      <w:pPr>
        <w:spacing w:after="0" w:line="205" w:lineRule="exact"/>
        <w:rPr>
          <w:sz w:val="20"/>
          <w:szCs w:val="20"/>
          <w:color w:val="auto"/>
        </w:rPr>
      </w:pPr>
    </w:p>
    <w:p>
      <w:pPr>
        <w:ind w:left="3845"/>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498983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89830" cy="29845"/>
                    </a:xfrm>
                    <a:prstGeom prst="rect">
                      <a:avLst/>
                    </a:prstGeom>
                    <a:noFill/>
                  </pic:spPr>
                </pic:pic>
              </a:graphicData>
            </a:graphic>
          </wp:anchor>
        </w:drawing>
      </w:r>
    </w:p>
    <w:p>
      <w:pPr>
        <w:sectPr>
          <w:pgSz w:w="11900" w:h="16838" w:orient="portrait"/>
          <w:cols w:equalWidth="0" w:num="1">
            <w:col w:w="9304"/>
          </w:cols>
          <w:pgMar w:left="1155" w:top="324" w:right="1440" w:bottom="1440" w:gutter="0" w:footer="0" w:header="0"/>
        </w:sectPr>
      </w:pPr>
    </w:p>
    <w:bookmarkStart w:id="18" w:name="page19"/>
    <w:bookmarkEnd w:id="18"/>
    <w:p>
      <w:pPr>
        <w:jc w:val="center"/>
        <w:ind w:left="1160" w:right="1140"/>
        <w:spacing w:after="0" w:line="257" w:lineRule="auto"/>
        <w:rPr>
          <w:sz w:val="20"/>
          <w:szCs w:val="20"/>
          <w:color w:val="auto"/>
        </w:rPr>
      </w:pPr>
      <w:r>
        <w:rPr>
          <w:rFonts w:ascii="Arial" w:cs="Arial" w:eastAsia="Arial" w:hAnsi="Arial"/>
          <w:sz w:val="17"/>
          <w:szCs w:val="17"/>
          <w:color w:val="auto"/>
        </w:rPr>
        <w:t>SECURITY NATIONAL FINANCIAL CORPORATION AND SUBSIDIARIES Notes to Condensed Consolidated Financial Statements March 31, 2020 (Unaudited)</w:t>
      </w:r>
    </w:p>
    <w:p>
      <w:pPr>
        <w:spacing w:after="0" w:line="97" w:lineRule="exact"/>
        <w:rPr>
          <w:sz w:val="20"/>
          <w:szCs w:val="20"/>
          <w:color w:val="auto"/>
        </w:rPr>
      </w:pPr>
    </w:p>
    <w:p>
      <w:pPr>
        <w:ind w:left="425" w:hanging="425"/>
        <w:spacing w:after="0"/>
        <w:tabs>
          <w:tab w:leader="none" w:pos="425"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Investments</w:t>
      </w:r>
      <w:r>
        <w:rPr>
          <w:rFonts w:ascii="Arial" w:cs="Arial" w:eastAsia="Arial" w:hAnsi="Arial"/>
          <w:sz w:val="17"/>
          <w:szCs w:val="17"/>
          <w:color w:val="auto"/>
        </w:rPr>
        <w:t xml:space="preserve"> (Continued)</w:t>
      </w:r>
    </w:p>
    <w:p>
      <w:pPr>
        <w:spacing w:after="0" w:line="296" w:lineRule="exact"/>
        <w:rPr>
          <w:sz w:val="20"/>
          <w:szCs w:val="20"/>
          <w:color w:val="auto"/>
        </w:rPr>
      </w:pPr>
    </w:p>
    <w:p>
      <w:pPr>
        <w:ind w:left="5"/>
        <w:spacing w:after="0"/>
        <w:rPr>
          <w:sz w:val="20"/>
          <w:szCs w:val="20"/>
          <w:color w:val="auto"/>
        </w:rPr>
      </w:pPr>
      <w:r>
        <w:rPr>
          <w:rFonts w:ascii="Arial" w:cs="Arial" w:eastAsia="Arial" w:hAnsi="Arial"/>
          <w:sz w:val="16"/>
          <w:szCs w:val="16"/>
          <w:color w:val="auto"/>
        </w:rPr>
        <w:t>The following is a summary of the Company’s residential real estate held for sale for the periods presented:</w:t>
      </w:r>
    </w:p>
    <w:p>
      <w:pPr>
        <w:spacing w:after="0" w:line="307" w:lineRule="exact"/>
        <w:rPr>
          <w:sz w:val="20"/>
          <w:szCs w:val="20"/>
          <w:color w:val="auto"/>
        </w:rPr>
      </w:pPr>
    </w:p>
    <w:tbl>
      <w:tblPr>
        <w:tblLayout w:type="fixed"/>
        <w:tblInd w:w="5" w:type="dxa"/>
        <w:tblCellMar>
          <w:top w:w="0" w:type="dxa"/>
          <w:left w:w="0" w:type="dxa"/>
          <w:bottom w:w="0" w:type="dxa"/>
          <w:right w:w="0" w:type="dxa"/>
        </w:tblCellMar>
      </w:tblPr>
      <w:tr>
        <w:trPr>
          <w:trHeight w:val="217"/>
        </w:trPr>
        <w:tc>
          <w:tcPr>
            <w:tcW w:w="1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00" w:type="dxa"/>
            <w:vAlign w:val="bottom"/>
            <w:gridSpan w:val="3"/>
          </w:tcPr>
          <w:p>
            <w:pPr>
              <w:jc w:val="right"/>
              <w:ind w:right="854"/>
              <w:spacing w:after="0"/>
              <w:rPr>
                <w:sz w:val="20"/>
                <w:szCs w:val="20"/>
                <w:color w:val="auto"/>
              </w:rPr>
            </w:pPr>
            <w:r>
              <w:rPr>
                <w:rFonts w:ascii="Arial" w:cs="Arial" w:eastAsia="Arial" w:hAnsi="Arial"/>
                <w:sz w:val="17"/>
                <w:szCs w:val="17"/>
                <w:color w:val="auto"/>
              </w:rPr>
              <w:t>Net Ending Balance</w:t>
            </w:r>
          </w:p>
        </w:tc>
      </w:tr>
      <w:tr>
        <w:trPr>
          <w:trHeight w:val="332"/>
        </w:trPr>
        <w:tc>
          <w:tcPr>
            <w:tcW w:w="1680" w:type="dxa"/>
            <w:vAlign w:val="bottom"/>
          </w:tcPr>
          <w:p>
            <w:pPr>
              <w:spacing w:after="0"/>
              <w:rPr>
                <w:sz w:val="24"/>
                <w:szCs w:val="24"/>
                <w:color w:val="auto"/>
              </w:rPr>
            </w:pPr>
          </w:p>
        </w:tc>
        <w:tc>
          <w:tcPr>
            <w:tcW w:w="1780" w:type="dxa"/>
            <w:vAlign w:val="bottom"/>
            <w:gridSpan w:val="3"/>
          </w:tcPr>
          <w:p>
            <w:pPr>
              <w:ind w:left="240"/>
              <w:spacing w:after="0"/>
              <w:rPr>
                <w:sz w:val="20"/>
                <w:szCs w:val="20"/>
                <w:color w:val="auto"/>
              </w:rPr>
            </w:pPr>
            <w:r>
              <w:rPr>
                <w:rFonts w:ascii="Arial" w:cs="Arial" w:eastAsia="Arial" w:hAnsi="Arial"/>
                <w:sz w:val="17"/>
                <w:szCs w:val="17"/>
                <w:color w:val="auto"/>
              </w:rPr>
              <w:t>March 31 2020</w:t>
            </w:r>
          </w:p>
        </w:tc>
        <w:tc>
          <w:tcPr>
            <w:tcW w:w="1480" w:type="dxa"/>
            <w:vAlign w:val="bottom"/>
          </w:tcPr>
          <w:p>
            <w:pPr>
              <w:jc w:val="right"/>
              <w:ind w:right="14"/>
              <w:spacing w:after="0"/>
              <w:rPr>
                <w:sz w:val="20"/>
                <w:szCs w:val="20"/>
                <w:color w:val="auto"/>
              </w:rPr>
            </w:pPr>
            <w:r>
              <w:rPr>
                <w:rFonts w:ascii="Arial" w:cs="Arial" w:eastAsia="Arial" w:hAnsi="Arial"/>
                <w:sz w:val="17"/>
                <w:szCs w:val="17"/>
                <w:color w:val="auto"/>
                <w:w w:val="94"/>
              </w:rPr>
              <w:t>December 31 2019</w:t>
            </w:r>
          </w:p>
        </w:tc>
      </w:tr>
      <w:tr>
        <w:trPr>
          <w:trHeight w:val="218"/>
        </w:trPr>
        <w:tc>
          <w:tcPr>
            <w:tcW w:w="1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California</w:t>
            </w:r>
          </w:p>
        </w:tc>
        <w:tc>
          <w:tcPr>
            <w:tcW w:w="7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421,452</w:t>
            </w:r>
          </w:p>
        </w:tc>
        <w:tc>
          <w:tcPr>
            <w:tcW w:w="26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640,452</w:t>
            </w:r>
          </w:p>
        </w:tc>
      </w:tr>
      <w:tr>
        <w:trPr>
          <w:trHeight w:val="219"/>
        </w:trPr>
        <w:tc>
          <w:tcPr>
            <w:tcW w:w="2440" w:type="dxa"/>
            <w:vAlign w:val="bottom"/>
            <w:gridSpan w:val="2"/>
          </w:tcPr>
          <w:p>
            <w:pPr>
              <w:spacing w:after="0"/>
              <w:rPr>
                <w:sz w:val="20"/>
                <w:szCs w:val="20"/>
                <w:color w:val="auto"/>
              </w:rPr>
            </w:pPr>
            <w:r>
              <w:rPr>
                <w:rFonts w:ascii="Arial" w:cs="Arial" w:eastAsia="Arial" w:hAnsi="Arial"/>
                <w:sz w:val="17"/>
                <w:szCs w:val="17"/>
                <w:color w:val="auto"/>
              </w:rPr>
              <w:t>Florida</w:t>
            </w:r>
          </w:p>
        </w:tc>
        <w:tc>
          <w:tcPr>
            <w:tcW w:w="760" w:type="dxa"/>
            <w:vAlign w:val="bottom"/>
          </w:tcPr>
          <w:p>
            <w:pPr>
              <w:jc w:val="right"/>
              <w:spacing w:after="0"/>
              <w:rPr>
                <w:sz w:val="20"/>
                <w:szCs w:val="20"/>
                <w:color w:val="auto"/>
              </w:rPr>
            </w:pPr>
            <w:r>
              <w:rPr>
                <w:rFonts w:ascii="Arial" w:cs="Arial" w:eastAsia="Arial" w:hAnsi="Arial"/>
                <w:sz w:val="17"/>
                <w:szCs w:val="17"/>
                <w:color w:val="auto"/>
              </w:rPr>
              <w:t>858,221</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1,300,641</w:t>
            </w:r>
          </w:p>
        </w:tc>
      </w:tr>
      <w:tr>
        <w:trPr>
          <w:trHeight w:val="225"/>
        </w:trPr>
        <w:tc>
          <w:tcPr>
            <w:tcW w:w="2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Nevada</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293,516</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2440" w:type="dxa"/>
            <w:vAlign w:val="bottom"/>
            <w:gridSpan w:val="2"/>
          </w:tcPr>
          <w:p>
            <w:pPr>
              <w:spacing w:after="0"/>
              <w:rPr>
                <w:sz w:val="20"/>
                <w:szCs w:val="20"/>
                <w:color w:val="auto"/>
              </w:rPr>
            </w:pPr>
            <w:r>
              <w:rPr>
                <w:rFonts w:ascii="Arial" w:cs="Arial" w:eastAsia="Arial" w:hAnsi="Arial"/>
                <w:sz w:val="17"/>
                <w:szCs w:val="17"/>
                <w:color w:val="auto"/>
              </w:rPr>
              <w:t>Ohio</w:t>
            </w:r>
          </w:p>
        </w:tc>
        <w:tc>
          <w:tcPr>
            <w:tcW w:w="760" w:type="dxa"/>
            <w:vAlign w:val="bottom"/>
          </w:tcPr>
          <w:p>
            <w:pPr>
              <w:jc w:val="right"/>
              <w:spacing w:after="0"/>
              <w:rPr>
                <w:sz w:val="20"/>
                <w:szCs w:val="20"/>
                <w:color w:val="auto"/>
              </w:rPr>
            </w:pPr>
            <w:r>
              <w:rPr>
                <w:rFonts w:ascii="Arial" w:cs="Arial" w:eastAsia="Arial" w:hAnsi="Arial"/>
                <w:sz w:val="17"/>
                <w:szCs w:val="17"/>
                <w:color w:val="auto"/>
              </w:rPr>
              <w:t>10,000</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10,000</w:t>
            </w:r>
          </w:p>
        </w:tc>
      </w:tr>
      <w:tr>
        <w:trPr>
          <w:trHeight w:val="225"/>
        </w:trPr>
        <w:tc>
          <w:tcPr>
            <w:tcW w:w="2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Utah</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4,064,922</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5,880,213</w:t>
            </w:r>
          </w:p>
        </w:tc>
      </w:tr>
      <w:tr>
        <w:trPr>
          <w:trHeight w:val="219"/>
        </w:trPr>
        <w:tc>
          <w:tcPr>
            <w:tcW w:w="2440" w:type="dxa"/>
            <w:vAlign w:val="bottom"/>
            <w:gridSpan w:val="2"/>
          </w:tcPr>
          <w:p>
            <w:pPr>
              <w:spacing w:after="0"/>
              <w:rPr>
                <w:sz w:val="20"/>
                <w:szCs w:val="20"/>
                <w:color w:val="auto"/>
              </w:rPr>
            </w:pPr>
            <w:r>
              <w:rPr>
                <w:rFonts w:ascii="Arial" w:cs="Arial" w:eastAsia="Arial" w:hAnsi="Arial"/>
                <w:sz w:val="17"/>
                <w:szCs w:val="17"/>
                <w:color w:val="auto"/>
              </w:rPr>
              <w:t>Washington</w:t>
            </w: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190,000</w:t>
            </w:r>
          </w:p>
        </w:tc>
      </w:tr>
      <w:tr>
        <w:trPr>
          <w:trHeight w:val="214"/>
        </w:trPr>
        <w:tc>
          <w:tcPr>
            <w:tcW w:w="16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5,648,111</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$ 8,021,306</w:t>
            </w:r>
          </w:p>
        </w:tc>
      </w:tr>
      <w:tr>
        <w:trPr>
          <w:trHeight w:val="20"/>
        </w:trPr>
        <w:tc>
          <w:tcPr>
            <w:tcW w:w="16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95" w:lineRule="exact"/>
        <w:rPr>
          <w:sz w:val="20"/>
          <w:szCs w:val="20"/>
          <w:color w:val="auto"/>
        </w:rPr>
      </w:pPr>
    </w:p>
    <w:p>
      <w:pPr>
        <w:ind w:left="5" w:right="1819"/>
        <w:spacing w:after="0" w:line="257" w:lineRule="auto"/>
        <w:rPr>
          <w:sz w:val="20"/>
          <w:szCs w:val="20"/>
          <w:color w:val="auto"/>
        </w:rPr>
      </w:pPr>
      <w:r>
        <w:rPr>
          <w:rFonts w:ascii="Arial" w:cs="Arial" w:eastAsia="Arial" w:hAnsi="Arial"/>
          <w:sz w:val="17"/>
          <w:szCs w:val="17"/>
          <w:color w:val="auto"/>
        </w:rPr>
        <w:t>These properties are all actively being marketed with the assistance of residential real estate brokers in the markets where the properties are located. The Company expects these properties to sell within the coming 12 months.</w:t>
      </w:r>
    </w:p>
    <w:p>
      <w:pPr>
        <w:spacing w:after="0" w:line="167" w:lineRule="exact"/>
        <w:rPr>
          <w:sz w:val="20"/>
          <w:szCs w:val="20"/>
          <w:color w:val="auto"/>
        </w:rPr>
      </w:pPr>
    </w:p>
    <w:p>
      <w:pPr>
        <w:ind w:left="5"/>
        <w:spacing w:after="0"/>
        <w:rPr>
          <w:sz w:val="20"/>
          <w:szCs w:val="20"/>
          <w:color w:val="auto"/>
        </w:rPr>
      </w:pPr>
      <w:r>
        <w:rPr>
          <w:rFonts w:ascii="Arial" w:cs="Arial" w:eastAsia="Arial" w:hAnsi="Arial"/>
          <w:sz w:val="17"/>
          <w:szCs w:val="17"/>
          <w:u w:val="single" w:color="auto"/>
          <w:color w:val="auto"/>
        </w:rPr>
        <w:t>Real Estate Owned and Occupied by the Company</w:t>
      </w:r>
    </w:p>
    <w:p>
      <w:pPr>
        <w:spacing w:after="0" w:line="202" w:lineRule="exact"/>
        <w:rPr>
          <w:sz w:val="20"/>
          <w:szCs w:val="20"/>
          <w:color w:val="auto"/>
        </w:rPr>
      </w:pPr>
    </w:p>
    <w:p>
      <w:pPr>
        <w:ind w:left="5"/>
        <w:spacing w:after="0"/>
        <w:rPr>
          <w:sz w:val="20"/>
          <w:szCs w:val="20"/>
          <w:color w:val="auto"/>
        </w:rPr>
      </w:pPr>
      <w:r>
        <w:rPr>
          <w:rFonts w:ascii="Arial" w:cs="Arial" w:eastAsia="Arial" w:hAnsi="Arial"/>
          <w:sz w:val="16"/>
          <w:szCs w:val="16"/>
          <w:color w:val="auto"/>
        </w:rPr>
        <w:t>The primary business units of the Company occupy a portion of the real estate owned by the Company.  As of</w:t>
      </w:r>
    </w:p>
    <w:p>
      <w:pPr>
        <w:spacing w:after="0" w:line="29" w:lineRule="exact"/>
        <w:rPr>
          <w:sz w:val="20"/>
          <w:szCs w:val="20"/>
          <w:color w:val="auto"/>
        </w:rPr>
      </w:pPr>
    </w:p>
    <w:p>
      <w:pPr>
        <w:ind w:left="5"/>
        <w:spacing w:after="0"/>
        <w:rPr>
          <w:sz w:val="20"/>
          <w:szCs w:val="20"/>
          <w:color w:val="auto"/>
        </w:rPr>
      </w:pPr>
      <w:r>
        <w:rPr>
          <w:rFonts w:ascii="Arial" w:cs="Arial" w:eastAsia="Arial" w:hAnsi="Arial"/>
          <w:sz w:val="17"/>
          <w:szCs w:val="17"/>
          <w:color w:val="auto"/>
        </w:rPr>
        <w:t>March 31, 2020, real estate owned and occupied by the Company is summarized as follows:</w:t>
      </w:r>
    </w:p>
    <w:p>
      <w:pPr>
        <w:spacing w:after="0" w:line="189" w:lineRule="exact"/>
        <w:rPr>
          <w:sz w:val="20"/>
          <w:szCs w:val="20"/>
          <w:color w:val="auto"/>
        </w:rPr>
      </w:pPr>
    </w:p>
    <w:tbl>
      <w:tblPr>
        <w:tblLayout w:type="fixed"/>
        <w:tblInd w:w="5" w:type="dxa"/>
        <w:tblCellMar>
          <w:top w:w="0" w:type="dxa"/>
          <w:left w:w="0" w:type="dxa"/>
          <w:bottom w:w="0" w:type="dxa"/>
          <w:right w:w="0" w:type="dxa"/>
        </w:tblCellMar>
      </w:tblPr>
      <w:tr>
        <w:trPr>
          <w:trHeight w:val="138"/>
        </w:trPr>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auto"/>
                <w:w w:val="92"/>
              </w:rPr>
              <w:t>Square</w:t>
            </w:r>
          </w:p>
        </w:tc>
      </w:tr>
      <w:tr>
        <w:trPr>
          <w:trHeight w:val="129"/>
        </w:trPr>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Arial" w:cs="Arial" w:eastAsia="Arial" w:hAnsi="Arial"/>
                <w:sz w:val="12"/>
                <w:szCs w:val="12"/>
                <w:color w:val="auto"/>
                <w:w w:val="90"/>
              </w:rPr>
              <w:t>Footage</w:t>
            </w:r>
          </w:p>
        </w:tc>
      </w:tr>
      <w:tr>
        <w:trPr>
          <w:trHeight w:val="129"/>
        </w:trPr>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tcPr>
          <w:p>
            <w:pPr>
              <w:jc w:val="center"/>
              <w:ind w:right="180"/>
              <w:spacing w:after="0" w:line="129" w:lineRule="exact"/>
              <w:rPr>
                <w:sz w:val="20"/>
                <w:szCs w:val="20"/>
                <w:color w:val="auto"/>
              </w:rPr>
            </w:pPr>
            <w:r>
              <w:rPr>
                <w:rFonts w:ascii="Arial" w:cs="Arial" w:eastAsia="Arial" w:hAnsi="Arial"/>
                <w:sz w:val="12"/>
                <w:szCs w:val="12"/>
                <w:color w:val="auto"/>
                <w:w w:val="97"/>
              </w:rPr>
              <w:t>Approximate</w:t>
            </w:r>
          </w:p>
        </w:tc>
        <w:tc>
          <w:tcPr>
            <w:tcW w:w="780" w:type="dxa"/>
            <w:vAlign w:val="bottom"/>
          </w:tcPr>
          <w:p>
            <w:pPr>
              <w:jc w:val="center"/>
              <w:spacing w:after="0" w:line="129" w:lineRule="exact"/>
              <w:rPr>
                <w:sz w:val="20"/>
                <w:szCs w:val="20"/>
                <w:color w:val="auto"/>
              </w:rPr>
            </w:pPr>
            <w:r>
              <w:rPr>
                <w:rFonts w:ascii="Arial" w:cs="Arial" w:eastAsia="Arial" w:hAnsi="Arial"/>
                <w:sz w:val="12"/>
                <w:szCs w:val="12"/>
                <w:color w:val="auto"/>
                <w:w w:val="95"/>
              </w:rPr>
              <w:t>Occupied by</w:t>
            </w:r>
          </w:p>
        </w:tc>
      </w:tr>
      <w:tr>
        <w:trPr>
          <w:trHeight w:val="156"/>
        </w:trPr>
        <w:tc>
          <w:tcPr>
            <w:tcW w:w="3380" w:type="dxa"/>
            <w:vAlign w:val="bottom"/>
            <w:gridSpan w:val="4"/>
          </w:tcPr>
          <w:p>
            <w:pPr>
              <w:spacing w:after="0"/>
              <w:rPr>
                <w:sz w:val="20"/>
                <w:szCs w:val="20"/>
                <w:color w:val="auto"/>
              </w:rPr>
            </w:pPr>
            <w:r>
              <w:rPr>
                <w:rFonts w:ascii="Arial" w:cs="Arial" w:eastAsia="Arial" w:hAnsi="Arial"/>
                <w:sz w:val="12"/>
                <w:szCs w:val="12"/>
                <w:color w:val="auto"/>
              </w:rPr>
              <w:t>Location</w:t>
            </w:r>
          </w:p>
        </w:tc>
        <w:tc>
          <w:tcPr>
            <w:tcW w:w="2620" w:type="dxa"/>
            <w:vAlign w:val="bottom"/>
            <w:gridSpan w:val="2"/>
          </w:tcPr>
          <w:p>
            <w:pPr>
              <w:spacing w:after="0"/>
              <w:rPr>
                <w:sz w:val="20"/>
                <w:szCs w:val="20"/>
                <w:color w:val="auto"/>
              </w:rPr>
            </w:pPr>
            <w:r>
              <w:rPr>
                <w:rFonts w:ascii="Arial" w:cs="Arial" w:eastAsia="Arial" w:hAnsi="Arial"/>
                <w:sz w:val="12"/>
                <w:szCs w:val="12"/>
                <w:color w:val="auto"/>
              </w:rPr>
              <w:t>Business Segment</w:t>
            </w:r>
          </w:p>
        </w:tc>
        <w:tc>
          <w:tcPr>
            <w:tcW w:w="1080" w:type="dxa"/>
            <w:vAlign w:val="bottom"/>
            <w:gridSpan w:val="2"/>
          </w:tcPr>
          <w:p>
            <w:pPr>
              <w:jc w:val="center"/>
              <w:ind w:right="180"/>
              <w:spacing w:after="0"/>
              <w:rPr>
                <w:sz w:val="20"/>
                <w:szCs w:val="20"/>
                <w:color w:val="auto"/>
              </w:rPr>
            </w:pPr>
            <w:r>
              <w:rPr>
                <w:rFonts w:ascii="Arial" w:cs="Arial" w:eastAsia="Arial" w:hAnsi="Arial"/>
                <w:sz w:val="12"/>
                <w:szCs w:val="12"/>
                <w:color w:val="auto"/>
                <w:w w:val="90"/>
              </w:rPr>
              <w:t>Square Footage</w:t>
            </w:r>
          </w:p>
        </w:tc>
        <w:tc>
          <w:tcPr>
            <w:tcW w:w="780" w:type="dxa"/>
            <w:vAlign w:val="bottom"/>
          </w:tcPr>
          <w:p>
            <w:pPr>
              <w:jc w:val="center"/>
              <w:spacing w:after="0"/>
              <w:rPr>
                <w:sz w:val="20"/>
                <w:szCs w:val="20"/>
                <w:color w:val="auto"/>
              </w:rPr>
            </w:pPr>
            <w:r>
              <w:rPr>
                <w:rFonts w:ascii="Arial" w:cs="Arial" w:eastAsia="Arial" w:hAnsi="Arial"/>
                <w:sz w:val="12"/>
                <w:szCs w:val="12"/>
                <w:color w:val="auto"/>
                <w:w w:val="95"/>
              </w:rPr>
              <w:t>the Company</w:t>
            </w:r>
          </w:p>
        </w:tc>
      </w:tr>
      <w:tr>
        <w:trPr>
          <w:trHeight w:val="116"/>
        </w:trPr>
        <w:tc>
          <w:tcPr>
            <w:tcW w:w="2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29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2440" w:type="dxa"/>
            <w:vAlign w:val="bottom"/>
            <w:tcBorders>
              <w:top w:val="single" w:sz="8" w:color="auto"/>
            </w:tcBorders>
            <w:shd w:val="clear" w:color="auto" w:fill="CCEEFF"/>
          </w:tcPr>
          <w:p>
            <w:pPr>
              <w:spacing w:after="0" w:line="117" w:lineRule="exact"/>
              <w:rPr>
                <w:sz w:val="20"/>
                <w:szCs w:val="20"/>
                <w:color w:val="auto"/>
              </w:rPr>
            </w:pPr>
            <w:r>
              <w:rPr>
                <w:rFonts w:ascii="Arial" w:cs="Arial" w:eastAsia="Arial" w:hAnsi="Arial"/>
                <w:sz w:val="12"/>
                <w:szCs w:val="12"/>
                <w:color w:val="auto"/>
              </w:rPr>
              <w:t>Corporate Offices, Life Insurance and</w:t>
            </w:r>
          </w:p>
        </w:tc>
        <w:tc>
          <w:tcPr>
            <w:tcW w:w="18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r>
      <w:tr>
        <w:trPr>
          <w:trHeight w:val="156"/>
        </w:trPr>
        <w:tc>
          <w:tcPr>
            <w:tcW w:w="200" w:type="dxa"/>
            <w:vAlign w:val="bottom"/>
            <w:shd w:val="clear" w:color="auto" w:fill="CCEEFF"/>
          </w:tcPr>
          <w:p>
            <w:pPr>
              <w:spacing w:after="0"/>
              <w:rPr>
                <w:sz w:val="20"/>
                <w:szCs w:val="20"/>
                <w:color w:val="auto"/>
              </w:rPr>
            </w:pPr>
            <w:r>
              <w:rPr>
                <w:rFonts w:ascii="Arial" w:cs="Arial" w:eastAsia="Arial" w:hAnsi="Arial"/>
                <w:sz w:val="12"/>
                <w:szCs w:val="12"/>
                <w:color w:val="auto"/>
                <w:w w:val="89"/>
              </w:rPr>
              <w:t>121</w:t>
            </w:r>
          </w:p>
        </w:tc>
        <w:tc>
          <w:tcPr>
            <w:tcW w:w="31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W. Election Rd., Draper, UT</w:t>
            </w:r>
          </w:p>
        </w:tc>
        <w:tc>
          <w:tcPr>
            <w:tcW w:w="262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Cemetery/Mortuary Operations</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78,979</w:t>
            </w: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w:t>
            </w:r>
          </w:p>
        </w:tc>
      </w:tr>
      <w:tr>
        <w:trPr>
          <w:trHeight w:val="210"/>
        </w:trPr>
        <w:tc>
          <w:tcPr>
            <w:tcW w:w="280" w:type="dxa"/>
            <w:vAlign w:val="bottom"/>
            <w:gridSpan w:val="2"/>
          </w:tcPr>
          <w:p>
            <w:pPr>
              <w:spacing w:after="0"/>
              <w:rPr>
                <w:sz w:val="20"/>
                <w:szCs w:val="20"/>
                <w:color w:val="auto"/>
              </w:rPr>
            </w:pPr>
            <w:r>
              <w:rPr>
                <w:rFonts w:ascii="Arial" w:cs="Arial" w:eastAsia="Arial" w:hAnsi="Arial"/>
                <w:sz w:val="12"/>
                <w:szCs w:val="12"/>
                <w:color w:val="auto"/>
                <w:w w:val="97"/>
              </w:rPr>
              <w:t>5201</w:t>
            </w:r>
          </w:p>
        </w:tc>
        <w:tc>
          <w:tcPr>
            <w:tcW w:w="3100" w:type="dxa"/>
            <w:vAlign w:val="bottom"/>
            <w:gridSpan w:val="2"/>
          </w:tcPr>
          <w:p>
            <w:pPr>
              <w:spacing w:after="0"/>
              <w:rPr>
                <w:sz w:val="20"/>
                <w:szCs w:val="20"/>
                <w:color w:val="auto"/>
              </w:rPr>
            </w:pPr>
            <w:r>
              <w:rPr>
                <w:rFonts w:ascii="Arial" w:cs="Arial" w:eastAsia="Arial" w:hAnsi="Arial"/>
                <w:sz w:val="12"/>
                <w:szCs w:val="12"/>
                <w:color w:val="auto"/>
              </w:rPr>
              <w:t>Green Street, Salt Lake City, UT (1)</w:t>
            </w:r>
          </w:p>
        </w:tc>
        <w:tc>
          <w:tcPr>
            <w:tcW w:w="2620" w:type="dxa"/>
            <w:vAlign w:val="bottom"/>
            <w:gridSpan w:val="2"/>
          </w:tcPr>
          <w:p>
            <w:pPr>
              <w:spacing w:after="0"/>
              <w:rPr>
                <w:sz w:val="20"/>
                <w:szCs w:val="20"/>
                <w:color w:val="auto"/>
              </w:rPr>
            </w:pPr>
            <w:r>
              <w:rPr>
                <w:rFonts w:ascii="Arial" w:cs="Arial" w:eastAsia="Arial" w:hAnsi="Arial"/>
                <w:sz w:val="12"/>
                <w:szCs w:val="12"/>
                <w:color w:val="auto"/>
              </w:rPr>
              <w:t>Life Insurance and Mortgage Operations</w:t>
            </w:r>
          </w:p>
        </w:tc>
        <w:tc>
          <w:tcPr>
            <w:tcW w:w="900" w:type="dxa"/>
            <w:vAlign w:val="bottom"/>
          </w:tcPr>
          <w:p>
            <w:pPr>
              <w:jc w:val="right"/>
              <w:spacing w:after="0"/>
              <w:rPr>
                <w:sz w:val="20"/>
                <w:szCs w:val="20"/>
                <w:color w:val="auto"/>
              </w:rPr>
            </w:pPr>
            <w:r>
              <w:rPr>
                <w:rFonts w:ascii="Arial" w:cs="Arial" w:eastAsia="Arial" w:hAnsi="Arial"/>
                <w:sz w:val="12"/>
                <w:szCs w:val="12"/>
                <w:color w:val="auto"/>
              </w:rPr>
              <w:t>39,157</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73%</w:t>
            </w:r>
          </w:p>
        </w:tc>
      </w:tr>
      <w:tr>
        <w:trPr>
          <w:trHeight w:val="234"/>
        </w:trPr>
        <w:tc>
          <w:tcPr>
            <w:tcW w:w="28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97"/>
              </w:rPr>
              <w:t>1044</w:t>
            </w:r>
          </w:p>
        </w:tc>
        <w:tc>
          <w:tcPr>
            <w:tcW w:w="31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River Oaks Dr., Flowood, MS</w:t>
            </w:r>
          </w:p>
        </w:tc>
        <w:tc>
          <w:tcPr>
            <w:tcW w:w="26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Life Insurance Operations</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19,694</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w:t>
            </w:r>
          </w:p>
        </w:tc>
      </w:tr>
      <w:tr>
        <w:trPr>
          <w:trHeight w:val="234"/>
        </w:trPr>
        <w:tc>
          <w:tcPr>
            <w:tcW w:w="280" w:type="dxa"/>
            <w:vAlign w:val="bottom"/>
            <w:gridSpan w:val="2"/>
          </w:tcPr>
          <w:p>
            <w:pPr>
              <w:spacing w:after="0"/>
              <w:rPr>
                <w:sz w:val="20"/>
                <w:szCs w:val="20"/>
                <w:color w:val="auto"/>
              </w:rPr>
            </w:pPr>
            <w:r>
              <w:rPr>
                <w:rFonts w:ascii="Arial" w:cs="Arial" w:eastAsia="Arial" w:hAnsi="Arial"/>
                <w:sz w:val="12"/>
                <w:szCs w:val="12"/>
                <w:color w:val="auto"/>
                <w:w w:val="97"/>
              </w:rPr>
              <w:t>1818</w:t>
            </w:r>
          </w:p>
        </w:tc>
        <w:tc>
          <w:tcPr>
            <w:tcW w:w="3100" w:type="dxa"/>
            <w:vAlign w:val="bottom"/>
            <w:gridSpan w:val="2"/>
          </w:tcPr>
          <w:p>
            <w:pPr>
              <w:spacing w:after="0"/>
              <w:rPr>
                <w:sz w:val="20"/>
                <w:szCs w:val="20"/>
                <w:color w:val="auto"/>
              </w:rPr>
            </w:pPr>
            <w:r>
              <w:rPr>
                <w:rFonts w:ascii="Arial" w:cs="Arial" w:eastAsia="Arial" w:hAnsi="Arial"/>
                <w:sz w:val="12"/>
                <w:szCs w:val="12"/>
                <w:color w:val="auto"/>
              </w:rPr>
              <w:t>Marshall Street, Shreveport, LA (1)(2)</w:t>
            </w:r>
          </w:p>
        </w:tc>
        <w:tc>
          <w:tcPr>
            <w:tcW w:w="2620" w:type="dxa"/>
            <w:vAlign w:val="bottom"/>
            <w:gridSpan w:val="2"/>
          </w:tcPr>
          <w:p>
            <w:pPr>
              <w:spacing w:after="0"/>
              <w:rPr>
                <w:sz w:val="20"/>
                <w:szCs w:val="20"/>
                <w:color w:val="auto"/>
              </w:rPr>
            </w:pPr>
            <w:r>
              <w:rPr>
                <w:rFonts w:ascii="Arial" w:cs="Arial" w:eastAsia="Arial" w:hAnsi="Arial"/>
                <w:sz w:val="12"/>
                <w:szCs w:val="12"/>
                <w:color w:val="auto"/>
              </w:rPr>
              <w:t>Life Insurance Operations</w:t>
            </w:r>
          </w:p>
        </w:tc>
        <w:tc>
          <w:tcPr>
            <w:tcW w:w="900" w:type="dxa"/>
            <w:vAlign w:val="bottom"/>
          </w:tcPr>
          <w:p>
            <w:pPr>
              <w:jc w:val="right"/>
              <w:spacing w:after="0"/>
              <w:rPr>
                <w:sz w:val="20"/>
                <w:szCs w:val="20"/>
                <w:color w:val="auto"/>
              </w:rPr>
            </w:pPr>
            <w:r>
              <w:rPr>
                <w:rFonts w:ascii="Arial" w:cs="Arial" w:eastAsia="Arial" w:hAnsi="Arial"/>
                <w:sz w:val="12"/>
                <w:szCs w:val="12"/>
                <w:color w:val="auto"/>
              </w:rPr>
              <w:t>12,274</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100%</w:t>
            </w:r>
          </w:p>
        </w:tc>
      </w:tr>
      <w:tr>
        <w:trPr>
          <w:trHeight w:val="234"/>
        </w:trPr>
        <w:tc>
          <w:tcPr>
            <w:tcW w:w="200" w:type="dxa"/>
            <w:vAlign w:val="bottom"/>
            <w:shd w:val="clear" w:color="auto" w:fill="CCEEFF"/>
          </w:tcPr>
          <w:p>
            <w:pPr>
              <w:spacing w:after="0"/>
              <w:rPr>
                <w:sz w:val="20"/>
                <w:szCs w:val="20"/>
                <w:color w:val="auto"/>
              </w:rPr>
            </w:pPr>
            <w:r>
              <w:rPr>
                <w:rFonts w:ascii="Arial" w:cs="Arial" w:eastAsia="Arial" w:hAnsi="Arial"/>
                <w:sz w:val="12"/>
                <w:szCs w:val="12"/>
                <w:color w:val="auto"/>
                <w:w w:val="89"/>
              </w:rPr>
              <w:t>909</w:t>
            </w:r>
          </w:p>
        </w:tc>
        <w:tc>
          <w:tcPr>
            <w:tcW w:w="31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Foisy Street, Alexandria, LA (1)(2)</w:t>
            </w:r>
          </w:p>
        </w:tc>
        <w:tc>
          <w:tcPr>
            <w:tcW w:w="26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Life Insurance Sales</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8,059</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w:t>
            </w:r>
          </w:p>
        </w:tc>
      </w:tr>
      <w:tr>
        <w:trPr>
          <w:trHeight w:val="234"/>
        </w:trPr>
        <w:tc>
          <w:tcPr>
            <w:tcW w:w="200" w:type="dxa"/>
            <w:vAlign w:val="bottom"/>
          </w:tcPr>
          <w:p>
            <w:pPr>
              <w:spacing w:after="0"/>
              <w:rPr>
                <w:sz w:val="20"/>
                <w:szCs w:val="20"/>
                <w:color w:val="auto"/>
              </w:rPr>
            </w:pPr>
            <w:r>
              <w:rPr>
                <w:rFonts w:ascii="Arial" w:cs="Arial" w:eastAsia="Arial" w:hAnsi="Arial"/>
                <w:sz w:val="12"/>
                <w:szCs w:val="12"/>
                <w:color w:val="auto"/>
                <w:w w:val="89"/>
              </w:rPr>
              <w:t>812</w:t>
            </w:r>
          </w:p>
        </w:tc>
        <w:tc>
          <w:tcPr>
            <w:tcW w:w="3180" w:type="dxa"/>
            <w:vAlign w:val="bottom"/>
            <w:gridSpan w:val="3"/>
          </w:tcPr>
          <w:p>
            <w:pPr>
              <w:ind w:left="20"/>
              <w:spacing w:after="0"/>
              <w:rPr>
                <w:sz w:val="20"/>
                <w:szCs w:val="20"/>
                <w:color w:val="auto"/>
              </w:rPr>
            </w:pPr>
            <w:r>
              <w:rPr>
                <w:rFonts w:ascii="Arial" w:cs="Arial" w:eastAsia="Arial" w:hAnsi="Arial"/>
                <w:sz w:val="12"/>
                <w:szCs w:val="12"/>
                <w:color w:val="auto"/>
              </w:rPr>
              <w:t>Sheppard Street, Minden, LA (1)(2)</w:t>
            </w:r>
          </w:p>
        </w:tc>
        <w:tc>
          <w:tcPr>
            <w:tcW w:w="2620" w:type="dxa"/>
            <w:vAlign w:val="bottom"/>
            <w:gridSpan w:val="2"/>
          </w:tcPr>
          <w:p>
            <w:pPr>
              <w:spacing w:after="0"/>
              <w:rPr>
                <w:sz w:val="20"/>
                <w:szCs w:val="20"/>
                <w:color w:val="auto"/>
              </w:rPr>
            </w:pPr>
            <w:r>
              <w:rPr>
                <w:rFonts w:ascii="Arial" w:cs="Arial" w:eastAsia="Arial" w:hAnsi="Arial"/>
                <w:sz w:val="12"/>
                <w:szCs w:val="12"/>
                <w:color w:val="auto"/>
              </w:rPr>
              <w:t>Life Insurance Sales</w:t>
            </w:r>
          </w:p>
        </w:tc>
        <w:tc>
          <w:tcPr>
            <w:tcW w:w="900" w:type="dxa"/>
            <w:vAlign w:val="bottom"/>
          </w:tcPr>
          <w:p>
            <w:pPr>
              <w:jc w:val="right"/>
              <w:spacing w:after="0"/>
              <w:rPr>
                <w:sz w:val="20"/>
                <w:szCs w:val="20"/>
                <w:color w:val="auto"/>
              </w:rPr>
            </w:pPr>
            <w:r>
              <w:rPr>
                <w:rFonts w:ascii="Arial" w:cs="Arial" w:eastAsia="Arial" w:hAnsi="Arial"/>
                <w:sz w:val="12"/>
                <w:szCs w:val="12"/>
                <w:color w:val="auto"/>
              </w:rPr>
              <w:t>1,560</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100%</w:t>
            </w:r>
          </w:p>
        </w:tc>
      </w:tr>
      <w:tr>
        <w:trPr>
          <w:trHeight w:val="234"/>
        </w:trPr>
        <w:tc>
          <w:tcPr>
            <w:tcW w:w="28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97"/>
              </w:rPr>
              <w:t>1550</w:t>
            </w:r>
          </w:p>
        </w:tc>
        <w:tc>
          <w:tcPr>
            <w:tcW w:w="31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 3rd Street, Jena, LA (1)(2)</w:t>
            </w:r>
          </w:p>
        </w:tc>
        <w:tc>
          <w:tcPr>
            <w:tcW w:w="26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Life Insurance Sales</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1,737</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88900</wp:posOffset>
            </wp:positionV>
            <wp:extent cx="4989830" cy="1562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89830" cy="156210"/>
                    </a:xfrm>
                    <a:prstGeom prst="rect">
                      <a:avLst/>
                    </a:prstGeom>
                    <a:noFill/>
                  </pic:spPr>
                </pic:pic>
              </a:graphicData>
            </a:graphic>
          </wp:anchor>
        </w:drawing>
      </w:r>
    </w:p>
    <w:p>
      <w:pPr>
        <w:spacing w:after="0" w:line="210" w:lineRule="exact"/>
        <w:rPr>
          <w:sz w:val="20"/>
          <w:szCs w:val="20"/>
          <w:color w:val="auto"/>
        </w:rPr>
      </w:pPr>
    </w:p>
    <w:p>
      <w:pPr>
        <w:ind w:left="185" w:hanging="173"/>
        <w:spacing w:after="0"/>
        <w:tabs>
          <w:tab w:leader="none" w:pos="185" w:val="left"/>
        </w:tabs>
        <w:numPr>
          <w:ilvl w:val="0"/>
          <w:numId w:val="16"/>
        </w:numPr>
        <w:rPr>
          <w:rFonts w:ascii="Arial" w:cs="Arial" w:eastAsia="Arial" w:hAnsi="Arial"/>
          <w:sz w:val="12"/>
          <w:szCs w:val="12"/>
          <w:color w:val="auto"/>
        </w:rPr>
      </w:pPr>
      <w:r>
        <w:rPr>
          <w:rFonts w:ascii="Arial" w:cs="Arial" w:eastAsia="Arial" w:hAnsi="Arial"/>
          <w:sz w:val="12"/>
          <w:szCs w:val="12"/>
          <w:color w:val="auto"/>
        </w:rPr>
        <w:t>Included in property and equipment on the condensed consolidated balance sheets</w:t>
      </w:r>
    </w:p>
    <w:p>
      <w:pPr>
        <w:spacing w:after="0" w:line="247" w:lineRule="exact"/>
        <w:rPr>
          <w:rFonts w:ascii="Arial" w:cs="Arial" w:eastAsia="Arial" w:hAnsi="Arial"/>
          <w:sz w:val="12"/>
          <w:szCs w:val="12"/>
          <w:color w:val="auto"/>
        </w:rPr>
      </w:pPr>
    </w:p>
    <w:p>
      <w:pPr>
        <w:ind w:left="185" w:hanging="173"/>
        <w:spacing w:after="0"/>
        <w:tabs>
          <w:tab w:leader="none" w:pos="185" w:val="left"/>
        </w:tabs>
        <w:numPr>
          <w:ilvl w:val="0"/>
          <w:numId w:val="16"/>
        </w:numPr>
        <w:rPr>
          <w:rFonts w:ascii="Arial" w:cs="Arial" w:eastAsia="Arial" w:hAnsi="Arial"/>
          <w:sz w:val="12"/>
          <w:szCs w:val="12"/>
          <w:color w:val="auto"/>
        </w:rPr>
      </w:pPr>
      <w:r>
        <w:rPr>
          <w:rFonts w:ascii="Arial" w:cs="Arial" w:eastAsia="Arial" w:hAnsi="Arial"/>
          <w:sz w:val="12"/>
          <w:szCs w:val="12"/>
          <w:color w:val="auto"/>
        </w:rPr>
        <w:t>See Note 15 regarding the acquisition of Kilpatrick Life Insurance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4989830" cy="148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89830" cy="148590"/>
                    </a:xfrm>
                    <a:prstGeom prst="rect">
                      <a:avLst/>
                    </a:prstGeom>
                    <a:noFill/>
                  </pic:spPr>
                </pic:pic>
              </a:graphicData>
            </a:graphic>
          </wp:anchor>
        </w:drawing>
      </w:r>
    </w:p>
    <w:p>
      <w:pPr>
        <w:spacing w:after="0" w:line="176"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auto"/>
        </w:rPr>
        <w:t>Mortgage Loans Held for Investment</w:t>
      </w:r>
    </w:p>
    <w:p>
      <w:pPr>
        <w:spacing w:after="0" w:line="208" w:lineRule="exact"/>
        <w:rPr>
          <w:sz w:val="20"/>
          <w:szCs w:val="20"/>
          <w:color w:val="auto"/>
        </w:rPr>
      </w:pPr>
    </w:p>
    <w:p>
      <w:pPr>
        <w:jc w:val="both"/>
        <w:ind w:left="5" w:right="1439"/>
        <w:spacing w:after="0" w:line="246" w:lineRule="auto"/>
        <w:rPr>
          <w:sz w:val="20"/>
          <w:szCs w:val="20"/>
          <w:color w:val="auto"/>
        </w:rPr>
      </w:pPr>
      <w:r>
        <w:rPr>
          <w:rFonts w:ascii="Arial" w:cs="Arial" w:eastAsia="Arial" w:hAnsi="Arial"/>
          <w:sz w:val="17"/>
          <w:szCs w:val="17"/>
          <w:color w:val="auto"/>
        </w:rPr>
        <w:t>Mortgage loans held for investment consist of first and second mortgages. The mortgage loans bear interest at rates ranging from 2.0% to 10.5%, maturity dates range from nine months to 30 years and are secured by real estate. Concentrations of credit risk arise when a number of mortgage loan debtors have similar economic characteristics that would cause their ability to meet contractual obligations to be similarly affected by changes in economic conditions. Although the Company has a diversified mortgage loan portfolio consisting of residential mortgages, commercial loans and residential construction loans and requires collateral on all real estate exposures, a substantial portion of its debtors’ ability to honor obligations is reliant on the economic stability of the geographic region in which the debtors do business. At March 31, 2020, the Company had 49%, 16%, 9%, 6%, 5% and 3% of its mortgage loans from borrowers located in the states of Utah, Florida, Texas, Nevada, California, and Arizona, respectively. At December 31, 2019, the Company had 48%, 16%, 10%, 6%, 6% and 5% of its mortgage loans from borrowers located in the states of Utah, Florida, Texas, California, Nevada and Arizona, respectively.</w:t>
      </w:r>
    </w:p>
    <w:p>
      <w:pPr>
        <w:spacing w:after="0" w:line="203" w:lineRule="exact"/>
        <w:rPr>
          <w:sz w:val="20"/>
          <w:szCs w:val="20"/>
          <w:color w:val="auto"/>
        </w:rPr>
      </w:pPr>
    </w:p>
    <w:p>
      <w:pPr>
        <w:ind w:left="3845"/>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498983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89830" cy="29845"/>
                    </a:xfrm>
                    <a:prstGeom prst="rect">
                      <a:avLst/>
                    </a:prstGeom>
                    <a:noFill/>
                  </pic:spPr>
                </pic:pic>
              </a:graphicData>
            </a:graphic>
          </wp:anchor>
        </w:drawing>
      </w:r>
    </w:p>
    <w:p>
      <w:pPr>
        <w:sectPr>
          <w:pgSz w:w="11900" w:h="16838" w:orient="portrait"/>
          <w:cols w:equalWidth="0" w:num="1">
            <w:col w:w="9304"/>
          </w:cols>
          <w:pgMar w:left="1155" w:top="324" w:right="1440" w:bottom="1440" w:gutter="0" w:footer="0" w:header="0"/>
        </w:sectPr>
      </w:pPr>
    </w:p>
    <w:bookmarkStart w:id="19" w:name="page20"/>
    <w:bookmarkEnd w:id="19"/>
    <w:p>
      <w:pPr>
        <w:jc w:val="center"/>
        <w:ind w:left="1160" w:right="1140"/>
        <w:spacing w:after="0" w:line="257" w:lineRule="auto"/>
        <w:rPr>
          <w:sz w:val="20"/>
          <w:szCs w:val="20"/>
          <w:color w:val="auto"/>
        </w:rPr>
      </w:pPr>
      <w:r>
        <w:rPr>
          <w:rFonts w:ascii="Arial" w:cs="Arial" w:eastAsia="Arial" w:hAnsi="Arial"/>
          <w:sz w:val="17"/>
          <w:szCs w:val="17"/>
          <w:color w:val="auto"/>
        </w:rPr>
        <w:t>SECURITY NATIONAL FINANCIAL CORPORATION AND SUBSIDIARIES Notes to Condensed Consolidated Financial Statements March 31, 2020 (Unaudited)</w:t>
      </w:r>
    </w:p>
    <w:p>
      <w:pPr>
        <w:spacing w:after="0" w:line="97" w:lineRule="exact"/>
        <w:rPr>
          <w:sz w:val="20"/>
          <w:szCs w:val="20"/>
          <w:color w:val="auto"/>
        </w:rPr>
      </w:pPr>
    </w:p>
    <w:p>
      <w:pPr>
        <w:ind w:left="425" w:hanging="425"/>
        <w:spacing w:after="0"/>
        <w:tabs>
          <w:tab w:leader="none" w:pos="425"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Investments</w:t>
      </w:r>
      <w:r>
        <w:rPr>
          <w:rFonts w:ascii="Arial" w:cs="Arial" w:eastAsia="Arial" w:hAnsi="Arial"/>
          <w:sz w:val="17"/>
          <w:szCs w:val="17"/>
          <w:color w:val="auto"/>
        </w:rPr>
        <w:t xml:space="preserve"> (Continued)</w:t>
      </w:r>
    </w:p>
    <w:p>
      <w:pPr>
        <w:spacing w:after="0" w:line="225" w:lineRule="exact"/>
        <w:rPr>
          <w:sz w:val="20"/>
          <w:szCs w:val="20"/>
          <w:color w:val="auto"/>
        </w:rPr>
      </w:pPr>
    </w:p>
    <w:p>
      <w:pPr>
        <w:jc w:val="both"/>
        <w:ind w:left="5" w:right="1459"/>
        <w:spacing w:after="0" w:line="249" w:lineRule="auto"/>
        <w:rPr>
          <w:sz w:val="20"/>
          <w:szCs w:val="20"/>
          <w:color w:val="auto"/>
        </w:rPr>
      </w:pPr>
      <w:r>
        <w:rPr>
          <w:rFonts w:ascii="Arial" w:cs="Arial" w:eastAsia="Arial" w:hAnsi="Arial"/>
          <w:sz w:val="17"/>
          <w:szCs w:val="17"/>
          <w:color w:val="auto"/>
        </w:rPr>
        <w:t>Mortgage loans held for investment are carried at their unpaid principal balances adjusted for net deferred fees, charge-offs, premiums, discounts and the related allowance for loan losses. Interest income is included in net investment income on the condensed consolidated statements of earnings and is recognized when earned. The Company defers related material loan origination fees, net of related direct loan origination costs, and amortizes the net fees over the term of the loans. Origination fees are included in net investment income on the condensed consolidated statements of earnings.</w:t>
      </w:r>
    </w:p>
    <w:p>
      <w:pPr>
        <w:spacing w:after="0" w:line="175" w:lineRule="exact"/>
        <w:rPr>
          <w:sz w:val="20"/>
          <w:szCs w:val="20"/>
          <w:color w:val="auto"/>
        </w:rPr>
      </w:pPr>
    </w:p>
    <w:p>
      <w:pPr>
        <w:jc w:val="both"/>
        <w:ind w:left="5" w:right="1459"/>
        <w:spacing w:after="0" w:line="307" w:lineRule="auto"/>
        <w:rPr>
          <w:sz w:val="20"/>
          <w:szCs w:val="20"/>
          <w:color w:val="auto"/>
        </w:rPr>
      </w:pPr>
      <w:r>
        <w:rPr>
          <w:rFonts w:ascii="Arial" w:cs="Arial" w:eastAsia="Arial" w:hAnsi="Arial"/>
          <w:sz w:val="15"/>
          <w:szCs w:val="15"/>
          <w:color w:val="auto"/>
        </w:rPr>
        <w:t>Mortgage loans are secured by the underlying property and require an appraisal at the time of underwriting and funding. Generally, the Company will fund a loan not to exceed 80% of the loan’s collateral fair market value. Amounts over 80% will require additional collateral or mortgage insurance by an approved third-party insurer.</w:t>
      </w:r>
    </w:p>
    <w:p>
      <w:pPr>
        <w:spacing w:after="0" w:line="133" w:lineRule="exact"/>
        <w:rPr>
          <w:sz w:val="20"/>
          <w:szCs w:val="20"/>
          <w:color w:val="auto"/>
        </w:rPr>
      </w:pPr>
    </w:p>
    <w:p>
      <w:pPr>
        <w:jc w:val="both"/>
        <w:ind w:left="5" w:right="1439"/>
        <w:spacing w:after="0" w:line="264" w:lineRule="auto"/>
        <w:rPr>
          <w:sz w:val="20"/>
          <w:szCs w:val="20"/>
          <w:color w:val="auto"/>
        </w:rPr>
      </w:pPr>
      <w:r>
        <w:rPr>
          <w:rFonts w:ascii="Arial" w:cs="Arial" w:eastAsia="Arial" w:hAnsi="Arial"/>
          <w:sz w:val="16"/>
          <w:szCs w:val="16"/>
          <w:color w:val="auto"/>
        </w:rPr>
        <w:t>The Company provides for losses on its mortgage loans held for investment through an allowance for loan losses (a contra-asset account). The allowance is comprised of two components. The first component is an allowance for collectively evaluated impairment that is based upon the Company’s historical experience in collecting similar receivables. The second component is based upon individual evaluation of loans that are determined to be impaired. Upon determining impairment, the Company establishes an individual impairment allowance based upon an assessment of the fair value of the underlying collateral. In addition, when a mortgage loan is past due more than 90 days, the Company does not accrue any interest income. When a loan becomes delinquent, the Company proceeds to foreclose on the real estate and all expenses for foreclosure are expensed as incurred. Once foreclosed, an adjustment for the lower of cost or fair value is made, if necessary, and the amount is classified as real estate held for investment or held for sale.</w:t>
      </w:r>
    </w:p>
    <w:p>
      <w:pPr>
        <w:spacing w:after="0" w:line="163" w:lineRule="exact"/>
        <w:rPr>
          <w:sz w:val="20"/>
          <w:szCs w:val="20"/>
          <w:color w:val="auto"/>
        </w:rPr>
      </w:pPr>
    </w:p>
    <w:p>
      <w:pPr>
        <w:jc w:val="both"/>
        <w:ind w:left="5" w:right="1439"/>
        <w:spacing w:after="0" w:line="252" w:lineRule="auto"/>
        <w:rPr>
          <w:sz w:val="20"/>
          <w:szCs w:val="20"/>
          <w:color w:val="auto"/>
        </w:rPr>
      </w:pPr>
      <w:r>
        <w:rPr>
          <w:rFonts w:ascii="Arial" w:cs="Arial" w:eastAsia="Arial" w:hAnsi="Arial"/>
          <w:sz w:val="17"/>
          <w:szCs w:val="17"/>
          <w:color w:val="auto"/>
        </w:rPr>
        <w:t>The allowance for losses on mortgage loans held for investment could change based on changes in the value of the underlying collateral, the performance status of the loans, or the Company’s actual collection experience. The actual losses could change, in the near term, from the established allowance, based upon the occurrence or non-occurrence of these events.</w:t>
      </w:r>
    </w:p>
    <w:p>
      <w:pPr>
        <w:spacing w:after="0" w:line="173" w:lineRule="exact"/>
        <w:rPr>
          <w:sz w:val="20"/>
          <w:szCs w:val="20"/>
          <w:color w:val="auto"/>
        </w:rPr>
      </w:pPr>
    </w:p>
    <w:p>
      <w:pPr>
        <w:jc w:val="both"/>
        <w:ind w:left="5" w:right="1439"/>
        <w:spacing w:after="0" w:line="257" w:lineRule="auto"/>
        <w:rPr>
          <w:sz w:val="20"/>
          <w:szCs w:val="20"/>
          <w:color w:val="auto"/>
        </w:rPr>
      </w:pPr>
      <w:r>
        <w:rPr>
          <w:rFonts w:ascii="Arial" w:cs="Arial" w:eastAsia="Arial" w:hAnsi="Arial"/>
          <w:sz w:val="17"/>
          <w:szCs w:val="17"/>
          <w:color w:val="auto"/>
        </w:rPr>
        <w:t>For purposes of determining the allowance for losses, the Company has segmented its mortgage loans held for investment by loan type. The Company’s loan types are commercial, residential, and residential construction. The inherent risks within the portfolio vary depending upon the loan type as follows:</w:t>
      </w:r>
    </w:p>
    <w:p>
      <w:pPr>
        <w:spacing w:after="0" w:line="167" w:lineRule="exact"/>
        <w:rPr>
          <w:sz w:val="20"/>
          <w:szCs w:val="20"/>
          <w:color w:val="auto"/>
        </w:rPr>
      </w:pPr>
    </w:p>
    <w:p>
      <w:pPr>
        <w:jc w:val="both"/>
        <w:ind w:left="5" w:right="1459"/>
        <w:spacing w:after="0" w:line="273" w:lineRule="auto"/>
        <w:rPr>
          <w:sz w:val="20"/>
          <w:szCs w:val="20"/>
          <w:color w:val="auto"/>
        </w:rPr>
      </w:pPr>
      <w:r>
        <w:rPr>
          <w:rFonts w:ascii="Arial" w:cs="Arial" w:eastAsia="Arial" w:hAnsi="Arial"/>
          <w:sz w:val="16"/>
          <w:szCs w:val="16"/>
          <w:u w:val="single" w:color="auto"/>
          <w:color w:val="auto"/>
        </w:rPr>
        <w:t>Commercial</w:t>
      </w:r>
      <w:r>
        <w:rPr>
          <w:rFonts w:ascii="Arial" w:cs="Arial" w:eastAsia="Arial" w:hAnsi="Arial"/>
          <w:sz w:val="16"/>
          <w:szCs w:val="16"/>
          <w:color w:val="auto"/>
        </w:rPr>
        <w:t xml:space="preserve"> - Underwritten in accordance with the Company’s policies to determine the borrower’s ability to repay the obligation as agreed. Commercial loans are made primarily based on the underlying collateral supporting the loan. Accordingly, the repayment of a commercial loan depends primarily on the collateral and its ability to generate income and secondary on the borrower’s (or guarantors) ability to repay.</w:t>
      </w:r>
    </w:p>
    <w:p>
      <w:pPr>
        <w:spacing w:after="0" w:line="157" w:lineRule="exact"/>
        <w:rPr>
          <w:sz w:val="20"/>
          <w:szCs w:val="20"/>
          <w:color w:val="auto"/>
        </w:rPr>
      </w:pPr>
    </w:p>
    <w:p>
      <w:pPr>
        <w:jc w:val="both"/>
        <w:ind w:left="5" w:right="1459"/>
        <w:spacing w:after="0" w:line="302" w:lineRule="auto"/>
        <w:rPr>
          <w:sz w:val="20"/>
          <w:szCs w:val="20"/>
          <w:color w:val="auto"/>
        </w:rPr>
      </w:pPr>
      <w:r>
        <w:rPr>
          <w:rFonts w:ascii="Arial" w:cs="Arial" w:eastAsia="Arial" w:hAnsi="Arial"/>
          <w:sz w:val="16"/>
          <w:szCs w:val="16"/>
          <w:u w:val="single" w:color="auto"/>
          <w:color w:val="auto"/>
        </w:rPr>
        <w:t>Residential</w:t>
      </w:r>
      <w:r>
        <w:rPr>
          <w:rFonts w:ascii="Arial" w:cs="Arial" w:eastAsia="Arial" w:hAnsi="Arial"/>
          <w:sz w:val="16"/>
          <w:szCs w:val="16"/>
          <w:color w:val="auto"/>
        </w:rPr>
        <w:t xml:space="preserve"> – Secured by family dwelling units. These loans are secured by first mortgages on the unit, which are generally the primary residence of the borrower, generally at a loan-to-value ratio (“LTV”) of 80% or less.</w:t>
      </w:r>
    </w:p>
    <w:p>
      <w:pPr>
        <w:spacing w:after="0" w:line="133" w:lineRule="exact"/>
        <w:rPr>
          <w:sz w:val="20"/>
          <w:szCs w:val="20"/>
          <w:color w:val="auto"/>
        </w:rPr>
      </w:pPr>
    </w:p>
    <w:p>
      <w:pPr>
        <w:jc w:val="both"/>
        <w:ind w:left="5" w:right="1439"/>
        <w:spacing w:after="0" w:line="282" w:lineRule="auto"/>
        <w:rPr>
          <w:sz w:val="20"/>
          <w:szCs w:val="20"/>
          <w:color w:val="auto"/>
        </w:rPr>
      </w:pPr>
      <w:r>
        <w:rPr>
          <w:rFonts w:ascii="Arial" w:cs="Arial" w:eastAsia="Arial" w:hAnsi="Arial"/>
          <w:sz w:val="15"/>
          <w:szCs w:val="15"/>
          <w:u w:val="single" w:color="auto"/>
          <w:color w:val="auto"/>
        </w:rPr>
        <w:t>Residential construction (including land acquisition and development)</w:t>
      </w:r>
      <w:r>
        <w:rPr>
          <w:rFonts w:ascii="Arial" w:cs="Arial" w:eastAsia="Arial" w:hAnsi="Arial"/>
          <w:sz w:val="15"/>
          <w:szCs w:val="15"/>
          <w:color w:val="auto"/>
        </w:rPr>
        <w:t xml:space="preserve"> – Underwritten in accordance with the Company’s underwriting policies which include a financial analysis of the builders, borrowers (guarantors), construction cost estimates, and independent appraisal valuations. These loans will rely on the value associated with the project upon completion. These cost and valuation estimates may be inaccurate. Construction loans generally involve the disbursement of substantial funds over a short period of time with repayment substantially dependent upon the success of the completed project and the ability of the borrower to secure long-term financing. Additionally, land is underwritten according to the Company’s policies, which include independent appraisal valuations as well as the estimated value associated with the land upon completion of development into finished lots. These cost and valuation estimates may be inaccurate. These loans are considered to be of a higher risk than other mortgage loans due to their ultimate repayment being sensitive to general economic conditions, availability of long-term or construction financing, and interest rate sensitivity.</w:t>
      </w:r>
    </w:p>
    <w:p>
      <w:pPr>
        <w:spacing w:after="0" w:line="168" w:lineRule="exact"/>
        <w:rPr>
          <w:sz w:val="20"/>
          <w:szCs w:val="20"/>
          <w:color w:val="auto"/>
        </w:rPr>
      </w:pPr>
    </w:p>
    <w:p>
      <w:pPr>
        <w:ind w:left="3845"/>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498983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89830" cy="29845"/>
                    </a:xfrm>
                    <a:prstGeom prst="rect">
                      <a:avLst/>
                    </a:prstGeom>
                    <a:noFill/>
                  </pic:spPr>
                </pic:pic>
              </a:graphicData>
            </a:graphic>
          </wp:anchor>
        </w:drawing>
      </w:r>
    </w:p>
    <w:p>
      <w:pPr>
        <w:sectPr>
          <w:pgSz w:w="11900" w:h="16838" w:orient="portrait"/>
          <w:cols w:equalWidth="0" w:num="1">
            <w:col w:w="9304"/>
          </w:cols>
          <w:pgMar w:left="1155" w:top="324" w:right="1440" w:bottom="1440" w:gutter="0" w:footer="0" w:header="0"/>
        </w:sectPr>
      </w:pPr>
    </w:p>
    <w:bookmarkStart w:id="20" w:name="page21"/>
    <w:bookmarkEnd w:id="20"/>
    <w:p>
      <w:pPr>
        <w:jc w:val="center"/>
        <w:ind w:left="1160" w:right="1140"/>
        <w:spacing w:after="0" w:line="257" w:lineRule="auto"/>
        <w:rPr>
          <w:sz w:val="20"/>
          <w:szCs w:val="20"/>
          <w:color w:val="auto"/>
        </w:rPr>
      </w:pPr>
      <w:r>
        <w:rPr>
          <w:rFonts w:ascii="Arial" w:cs="Arial" w:eastAsia="Arial" w:hAnsi="Arial"/>
          <w:sz w:val="17"/>
          <w:szCs w:val="17"/>
          <w:color w:val="auto"/>
        </w:rPr>
        <w:t>SECURITY NATIONAL FINANCIAL CORPORATION AND SUBSIDIARIES Notes to Condensed Consolidated Financial Statements March 31, 2020 (Unaudited)</w:t>
      </w:r>
    </w:p>
    <w:p>
      <w:pPr>
        <w:spacing w:after="0" w:line="97" w:lineRule="exact"/>
        <w:rPr>
          <w:sz w:val="20"/>
          <w:szCs w:val="20"/>
          <w:color w:val="auto"/>
        </w:rPr>
      </w:pPr>
    </w:p>
    <w:p>
      <w:pPr>
        <w:ind w:left="425" w:hanging="425"/>
        <w:spacing w:after="0"/>
        <w:tabs>
          <w:tab w:leader="none" w:pos="425"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Investments</w:t>
      </w:r>
      <w:r>
        <w:rPr>
          <w:rFonts w:ascii="Arial" w:cs="Arial" w:eastAsia="Arial" w:hAnsi="Arial"/>
          <w:sz w:val="17"/>
          <w:szCs w:val="17"/>
          <w:color w:val="auto"/>
        </w:rPr>
        <w:t xml:space="preserve"> (Continued)</w:t>
      </w:r>
    </w:p>
    <w:p>
      <w:pPr>
        <w:spacing w:after="0" w:line="225" w:lineRule="exact"/>
        <w:rPr>
          <w:sz w:val="20"/>
          <w:szCs w:val="20"/>
          <w:color w:val="auto"/>
        </w:rPr>
      </w:pPr>
    </w:p>
    <w:p>
      <w:pPr>
        <w:ind w:left="5" w:right="1459"/>
        <w:spacing w:after="0" w:line="270" w:lineRule="auto"/>
        <w:rPr>
          <w:sz w:val="20"/>
          <w:szCs w:val="20"/>
          <w:color w:val="auto"/>
        </w:rPr>
      </w:pPr>
      <w:r>
        <w:rPr>
          <w:rFonts w:ascii="Arial" w:cs="Arial" w:eastAsia="Arial" w:hAnsi="Arial"/>
          <w:sz w:val="17"/>
          <w:szCs w:val="17"/>
          <w:color w:val="auto"/>
        </w:rPr>
        <w:t>The Company establishes a valuation allowance for credit losses in its portfolio. The following is a summary of the allowance for loan losses as a contra-asset account for the periods presented:</w:t>
      </w:r>
    </w:p>
    <w:p>
      <w:pPr>
        <w:spacing w:after="0" w:line="214" w:lineRule="exact"/>
        <w:rPr>
          <w:sz w:val="20"/>
          <w:szCs w:val="20"/>
          <w:color w:val="auto"/>
        </w:rPr>
      </w:pPr>
    </w:p>
    <w:p>
      <w:pPr>
        <w:ind w:left="2065"/>
        <w:spacing w:after="0"/>
        <w:rPr>
          <w:sz w:val="20"/>
          <w:szCs w:val="20"/>
          <w:color w:val="auto"/>
        </w:rPr>
      </w:pPr>
      <w:r>
        <w:rPr>
          <w:rFonts w:ascii="Arial" w:cs="Arial" w:eastAsia="Arial" w:hAnsi="Arial"/>
          <w:sz w:val="12"/>
          <w:szCs w:val="12"/>
          <w:color w:val="auto"/>
        </w:rPr>
        <w:t>Allowance for Credit Losses and Recorded Investment in Mortgage Loans</w:t>
      </w:r>
    </w:p>
    <w:p>
      <w:pPr>
        <w:spacing w:after="0" w:line="254" w:lineRule="exact"/>
        <w:rPr>
          <w:sz w:val="20"/>
          <w:szCs w:val="20"/>
          <w:color w:val="auto"/>
        </w:rPr>
      </w:pPr>
    </w:p>
    <w:tbl>
      <w:tblPr>
        <w:tblLayout w:type="fixed"/>
        <w:tblInd w:w="5" w:type="dxa"/>
        <w:tblCellMar>
          <w:top w:w="0" w:type="dxa"/>
          <w:left w:w="0" w:type="dxa"/>
          <w:bottom w:w="0" w:type="dxa"/>
          <w:right w:w="0" w:type="dxa"/>
        </w:tblCellMar>
      </w:tblPr>
      <w:tr>
        <w:trPr>
          <w:trHeight w:val="126"/>
        </w:trPr>
        <w:tc>
          <w:tcPr>
            <w:tcW w:w="3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gridSpan w:val="3"/>
          </w:tcPr>
          <w:p>
            <w:pPr>
              <w:ind w:left="240"/>
              <w:spacing w:after="0"/>
              <w:rPr>
                <w:sz w:val="20"/>
                <w:szCs w:val="20"/>
                <w:color w:val="auto"/>
              </w:rPr>
            </w:pPr>
            <w:r>
              <w:rPr>
                <w:rFonts w:ascii="Arial" w:cs="Arial" w:eastAsia="Arial" w:hAnsi="Arial"/>
                <w:sz w:val="11"/>
                <w:szCs w:val="11"/>
                <w:color w:val="auto"/>
              </w:rPr>
              <w:t>Residential</w:t>
            </w: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37"/>
        </w:trPr>
        <w:tc>
          <w:tcPr>
            <w:tcW w:w="3520" w:type="dxa"/>
            <w:vAlign w:val="bottom"/>
          </w:tcPr>
          <w:p>
            <w:pPr>
              <w:spacing w:after="0"/>
              <w:rPr>
                <w:sz w:val="11"/>
                <w:szCs w:val="11"/>
                <w:color w:val="auto"/>
              </w:rPr>
            </w:pPr>
          </w:p>
        </w:tc>
        <w:tc>
          <w:tcPr>
            <w:tcW w:w="1120" w:type="dxa"/>
            <w:vAlign w:val="bottom"/>
            <w:gridSpan w:val="3"/>
          </w:tcPr>
          <w:p>
            <w:pPr>
              <w:ind w:left="200"/>
              <w:spacing w:after="0"/>
              <w:rPr>
                <w:sz w:val="20"/>
                <w:szCs w:val="20"/>
                <w:color w:val="auto"/>
              </w:rPr>
            </w:pPr>
            <w:r>
              <w:rPr>
                <w:rFonts w:ascii="Arial" w:cs="Arial" w:eastAsia="Arial" w:hAnsi="Arial"/>
                <w:sz w:val="11"/>
                <w:szCs w:val="11"/>
                <w:color w:val="auto"/>
              </w:rPr>
              <w:t>Commercial</w:t>
            </w:r>
          </w:p>
        </w:tc>
        <w:tc>
          <w:tcPr>
            <w:tcW w:w="1140" w:type="dxa"/>
            <w:vAlign w:val="bottom"/>
            <w:gridSpan w:val="3"/>
          </w:tcPr>
          <w:p>
            <w:pPr>
              <w:ind w:left="240"/>
              <w:spacing w:after="0"/>
              <w:rPr>
                <w:sz w:val="20"/>
                <w:szCs w:val="20"/>
                <w:color w:val="auto"/>
              </w:rPr>
            </w:pPr>
            <w:r>
              <w:rPr>
                <w:rFonts w:ascii="Arial" w:cs="Arial" w:eastAsia="Arial" w:hAnsi="Arial"/>
                <w:sz w:val="11"/>
                <w:szCs w:val="11"/>
                <w:color w:val="auto"/>
              </w:rPr>
              <w:t>Residential</w:t>
            </w:r>
          </w:p>
        </w:tc>
        <w:tc>
          <w:tcPr>
            <w:tcW w:w="1120" w:type="dxa"/>
            <w:vAlign w:val="bottom"/>
            <w:gridSpan w:val="3"/>
          </w:tcPr>
          <w:p>
            <w:pPr>
              <w:ind w:left="200"/>
              <w:spacing w:after="0"/>
              <w:rPr>
                <w:sz w:val="20"/>
                <w:szCs w:val="20"/>
                <w:color w:val="auto"/>
              </w:rPr>
            </w:pPr>
            <w:r>
              <w:rPr>
                <w:rFonts w:ascii="Arial" w:cs="Arial" w:eastAsia="Arial" w:hAnsi="Arial"/>
                <w:sz w:val="11"/>
                <w:szCs w:val="11"/>
                <w:color w:val="auto"/>
              </w:rPr>
              <w:t>Construction</w:t>
            </w:r>
          </w:p>
        </w:tc>
        <w:tc>
          <w:tcPr>
            <w:tcW w:w="300" w:type="dxa"/>
            <w:vAlign w:val="bottom"/>
          </w:tcPr>
          <w:p>
            <w:pPr>
              <w:spacing w:after="0"/>
              <w:rPr>
                <w:sz w:val="11"/>
                <w:szCs w:val="11"/>
                <w:color w:val="auto"/>
              </w:rPr>
            </w:pPr>
          </w:p>
        </w:tc>
        <w:tc>
          <w:tcPr>
            <w:tcW w:w="660" w:type="dxa"/>
            <w:vAlign w:val="bottom"/>
          </w:tcPr>
          <w:p>
            <w:pPr>
              <w:jc w:val="right"/>
              <w:ind w:right="298"/>
              <w:spacing w:after="0"/>
              <w:rPr>
                <w:sz w:val="20"/>
                <w:szCs w:val="20"/>
                <w:color w:val="auto"/>
              </w:rPr>
            </w:pPr>
            <w:r>
              <w:rPr>
                <w:rFonts w:ascii="Arial" w:cs="Arial" w:eastAsia="Arial" w:hAnsi="Arial"/>
                <w:sz w:val="11"/>
                <w:szCs w:val="11"/>
                <w:color w:val="auto"/>
              </w:rPr>
              <w:t>Total</w:t>
            </w:r>
          </w:p>
        </w:tc>
      </w:tr>
      <w:tr>
        <w:trPr>
          <w:trHeight w:val="205"/>
        </w:trPr>
        <w:tc>
          <w:tcPr>
            <w:tcW w:w="3520" w:type="dxa"/>
            <w:vAlign w:val="bottom"/>
          </w:tcPr>
          <w:p>
            <w:pPr>
              <w:spacing w:after="0"/>
              <w:rPr>
                <w:sz w:val="20"/>
                <w:szCs w:val="20"/>
                <w:color w:val="auto"/>
              </w:rPr>
            </w:pPr>
            <w:r>
              <w:rPr>
                <w:rFonts w:ascii="Arial" w:cs="Arial" w:eastAsia="Arial" w:hAnsi="Arial"/>
                <w:sz w:val="12"/>
                <w:szCs w:val="12"/>
                <w:b w:val="1"/>
                <w:bCs w:val="1"/>
                <w:color w:val="auto"/>
              </w:rPr>
              <w:t>March 31, 2020</w:t>
            </w:r>
          </w:p>
        </w:tc>
        <w:tc>
          <w:tcPr>
            <w:tcW w:w="3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2"/>
                <w:szCs w:val="12"/>
                <w:color w:val="auto"/>
              </w:rPr>
              <w:t>Allowance for credit losses: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199"/>
        </w:trPr>
        <w:tc>
          <w:tcPr>
            <w:tcW w:w="3520" w:type="dxa"/>
            <w:vAlign w:val="bottom"/>
          </w:tcPr>
          <w:p>
            <w:pPr>
              <w:spacing w:after="0"/>
              <w:rPr>
                <w:sz w:val="20"/>
                <w:szCs w:val="20"/>
                <w:color w:val="auto"/>
              </w:rPr>
            </w:pPr>
            <w:r>
              <w:rPr>
                <w:rFonts w:ascii="Arial" w:cs="Arial" w:eastAsia="Arial" w:hAnsi="Arial"/>
                <w:sz w:val="12"/>
                <w:szCs w:val="12"/>
                <w:color w:val="auto"/>
              </w:rPr>
              <w:t>Beginning balance - January 1, 2020</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187,129</w:t>
            </w:r>
          </w:p>
        </w:tc>
        <w:tc>
          <w:tcPr>
            <w:tcW w:w="160" w:type="dxa"/>
            <w:vAlign w:val="bottom"/>
          </w:tcPr>
          <w:p>
            <w:pPr>
              <w:spacing w:after="0"/>
              <w:rPr>
                <w:sz w:val="17"/>
                <w:szCs w:val="17"/>
                <w:color w:val="auto"/>
              </w:rPr>
            </w:pPr>
          </w:p>
        </w:tc>
        <w:tc>
          <w:tcPr>
            <w:tcW w:w="320" w:type="dxa"/>
            <w:vAlign w:val="bottom"/>
          </w:tcPr>
          <w:p>
            <w:pPr>
              <w:ind w:left="240"/>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1,222,706</w:t>
            </w:r>
          </w:p>
        </w:tc>
        <w:tc>
          <w:tcPr>
            <w:tcW w:w="180" w:type="dxa"/>
            <w:vAlign w:val="bottom"/>
          </w:tcPr>
          <w:p>
            <w:pPr>
              <w:spacing w:after="0"/>
              <w:rPr>
                <w:sz w:val="17"/>
                <w:szCs w:val="17"/>
                <w:color w:val="auto"/>
              </w:rPr>
            </w:pPr>
          </w:p>
        </w:tc>
        <w:tc>
          <w:tcPr>
            <w:tcW w:w="340" w:type="dxa"/>
            <w:vAlign w:val="bottom"/>
          </w:tcPr>
          <w:p>
            <w:pPr>
              <w:ind w:left="24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43,202</w:t>
            </w:r>
          </w:p>
        </w:tc>
        <w:tc>
          <w:tcPr>
            <w:tcW w:w="1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1,453,037</w:t>
            </w:r>
          </w:p>
        </w:tc>
      </w:tr>
      <w:tr>
        <w:trPr>
          <w:trHeight w:val="199"/>
        </w:trPr>
        <w:tc>
          <w:tcPr>
            <w:tcW w:w="3520" w:type="dxa"/>
            <w:vAlign w:val="bottom"/>
            <w:shd w:val="clear" w:color="auto" w:fill="CCEEFF"/>
          </w:tcPr>
          <w:p>
            <w:pPr>
              <w:ind w:left="60"/>
              <w:spacing w:after="0"/>
              <w:rPr>
                <w:sz w:val="20"/>
                <w:szCs w:val="20"/>
                <w:color w:val="auto"/>
              </w:rPr>
            </w:pPr>
            <w:r>
              <w:rPr>
                <w:rFonts w:ascii="Arial" w:cs="Arial" w:eastAsia="Arial" w:hAnsi="Arial"/>
                <w:sz w:val="12"/>
                <w:szCs w:val="12"/>
                <w:color w:val="auto"/>
              </w:rPr>
              <w:t>Charge-offs</w:t>
            </w: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99"/>
        </w:trPr>
        <w:tc>
          <w:tcPr>
            <w:tcW w:w="3520" w:type="dxa"/>
            <w:vAlign w:val="bottom"/>
            <w:tcBorders>
              <w:bottom w:val="single" w:sz="8" w:color="CCEEFF"/>
            </w:tcBorders>
          </w:tcPr>
          <w:p>
            <w:pPr>
              <w:ind w:left="60"/>
              <w:spacing w:after="0"/>
              <w:rPr>
                <w:sz w:val="20"/>
                <w:szCs w:val="20"/>
                <w:color w:val="auto"/>
              </w:rPr>
            </w:pPr>
            <w:r>
              <w:rPr>
                <w:rFonts w:ascii="Arial" w:cs="Arial" w:eastAsia="Arial" w:hAnsi="Arial"/>
                <w:sz w:val="12"/>
                <w:szCs w:val="12"/>
                <w:color w:val="auto"/>
              </w:rPr>
              <w:t>Provision</w:t>
            </w:r>
          </w:p>
        </w:tc>
        <w:tc>
          <w:tcPr>
            <w:tcW w:w="3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636,633</w:t>
            </w:r>
          </w:p>
        </w:tc>
        <w:tc>
          <w:tcPr>
            <w:tcW w:w="1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636,633</w:t>
            </w:r>
          </w:p>
        </w:tc>
      </w:tr>
      <w:tr>
        <w:trPr>
          <w:trHeight w:val="179"/>
        </w:trPr>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Ending balance - March 31, 2020</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187,129</w:t>
            </w:r>
          </w:p>
        </w:tc>
        <w:tc>
          <w:tcPr>
            <w:tcW w:w="1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1,859,339</w:t>
            </w:r>
          </w:p>
        </w:tc>
        <w:tc>
          <w:tcPr>
            <w:tcW w:w="1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43,202</w:t>
            </w:r>
          </w:p>
        </w:tc>
        <w:tc>
          <w:tcPr>
            <w:tcW w:w="1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2,089,670</w:t>
            </w:r>
          </w:p>
        </w:tc>
      </w:tr>
      <w:tr>
        <w:trPr>
          <w:trHeight w:val="20"/>
        </w:trPr>
        <w:tc>
          <w:tcPr>
            <w:tcW w:w="3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86"/>
        </w:trPr>
        <w:tc>
          <w:tcPr>
            <w:tcW w:w="3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9"/>
        </w:trPr>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Ending balance: individually evaluated for impairment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345,913</w:t>
            </w:r>
          </w:p>
        </w:tc>
        <w:tc>
          <w:tcPr>
            <w:tcW w:w="1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345,913</w:t>
            </w:r>
          </w:p>
        </w:tc>
      </w:tr>
      <w:tr>
        <w:trPr>
          <w:trHeight w:val="20"/>
        </w:trPr>
        <w:tc>
          <w:tcPr>
            <w:tcW w:w="3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86"/>
        </w:trPr>
        <w:tc>
          <w:tcPr>
            <w:tcW w:w="3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9"/>
        </w:trPr>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Ending balance: collectively evaluated for impairment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187,129</w:t>
            </w:r>
          </w:p>
        </w:tc>
        <w:tc>
          <w:tcPr>
            <w:tcW w:w="1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1,513,426</w:t>
            </w:r>
          </w:p>
        </w:tc>
        <w:tc>
          <w:tcPr>
            <w:tcW w:w="1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43,202</w:t>
            </w:r>
          </w:p>
        </w:tc>
        <w:tc>
          <w:tcPr>
            <w:tcW w:w="1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1,743,757</w:t>
            </w:r>
          </w:p>
        </w:tc>
      </w:tr>
      <w:tr>
        <w:trPr>
          <w:trHeight w:val="20"/>
        </w:trPr>
        <w:tc>
          <w:tcPr>
            <w:tcW w:w="3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86"/>
        </w:trPr>
        <w:tc>
          <w:tcPr>
            <w:tcW w:w="3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2"/>
                <w:szCs w:val="12"/>
                <w:color w:val="auto"/>
              </w:rPr>
              <w:t>Mortgage loans: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39"/>
        </w:trPr>
        <w:tc>
          <w:tcPr>
            <w:tcW w:w="35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Ending balance</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6"/>
              </w:rPr>
              <w:t>44,604,661</w:t>
            </w:r>
          </w:p>
        </w:tc>
        <w:tc>
          <w:tcPr>
            <w:tcW w:w="1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2"/>
              </w:rPr>
              <w:t>117,696,147</w:t>
            </w:r>
          </w:p>
        </w:tc>
        <w:tc>
          <w:tcPr>
            <w:tcW w:w="1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93,590,770</w:t>
            </w:r>
          </w:p>
        </w:tc>
        <w:tc>
          <w:tcPr>
            <w:tcW w:w="1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2"/>
              </w:rPr>
              <w:t>255,891,578</w:t>
            </w:r>
          </w:p>
        </w:tc>
      </w:tr>
      <w:tr>
        <w:trPr>
          <w:trHeight w:val="186"/>
        </w:trPr>
        <w:tc>
          <w:tcPr>
            <w:tcW w:w="35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239"/>
        </w:trPr>
        <w:tc>
          <w:tcPr>
            <w:tcW w:w="35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Ending balance: individually evaluated for impairment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864,719</w:t>
            </w:r>
          </w:p>
        </w:tc>
        <w:tc>
          <w:tcPr>
            <w:tcW w:w="1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4,536,840</w:t>
            </w:r>
          </w:p>
        </w:tc>
        <w:tc>
          <w:tcPr>
            <w:tcW w:w="1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ind w:left="220"/>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5,401,559</w:t>
            </w:r>
          </w:p>
        </w:tc>
      </w:tr>
      <w:tr>
        <w:trPr>
          <w:trHeight w:val="186"/>
        </w:trPr>
        <w:tc>
          <w:tcPr>
            <w:tcW w:w="35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239"/>
        </w:trPr>
        <w:tc>
          <w:tcPr>
            <w:tcW w:w="35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Ending balance: collectively evaluated for impairment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6"/>
              </w:rPr>
              <w:t>43,739,942</w:t>
            </w:r>
          </w:p>
        </w:tc>
        <w:tc>
          <w:tcPr>
            <w:tcW w:w="1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2"/>
              </w:rPr>
              <w:t>113,159,307</w:t>
            </w:r>
          </w:p>
        </w:tc>
        <w:tc>
          <w:tcPr>
            <w:tcW w:w="1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93,590,770</w:t>
            </w:r>
          </w:p>
        </w:tc>
        <w:tc>
          <w:tcPr>
            <w:tcW w:w="1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2"/>
              </w:rPr>
              <w:t>250,490,019</w:t>
            </w:r>
          </w:p>
        </w:tc>
      </w:tr>
      <w:tr>
        <w:trPr>
          <w:trHeight w:val="186"/>
        </w:trPr>
        <w:tc>
          <w:tcPr>
            <w:tcW w:w="35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210"/>
        </w:trPr>
        <w:tc>
          <w:tcPr>
            <w:tcW w:w="3520" w:type="dxa"/>
            <w:vAlign w:val="bottom"/>
          </w:tcPr>
          <w:p>
            <w:pPr>
              <w:spacing w:after="0"/>
              <w:rPr>
                <w:sz w:val="20"/>
                <w:szCs w:val="20"/>
                <w:color w:val="auto"/>
              </w:rPr>
            </w:pPr>
            <w:r>
              <w:rPr>
                <w:rFonts w:ascii="Arial" w:cs="Arial" w:eastAsia="Arial" w:hAnsi="Arial"/>
                <w:sz w:val="12"/>
                <w:szCs w:val="12"/>
                <w:b w:val="1"/>
                <w:bCs w:val="1"/>
                <w:color w:val="auto"/>
              </w:rPr>
              <w:t>December 31, 2019</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2"/>
                <w:szCs w:val="12"/>
                <w:color w:val="auto"/>
              </w:rPr>
              <w:t>Allowance for credit losses: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199"/>
        </w:trPr>
        <w:tc>
          <w:tcPr>
            <w:tcW w:w="3520" w:type="dxa"/>
            <w:vAlign w:val="bottom"/>
          </w:tcPr>
          <w:p>
            <w:pPr>
              <w:spacing w:after="0"/>
              <w:rPr>
                <w:sz w:val="20"/>
                <w:szCs w:val="20"/>
                <w:color w:val="auto"/>
              </w:rPr>
            </w:pPr>
            <w:r>
              <w:rPr>
                <w:rFonts w:ascii="Arial" w:cs="Arial" w:eastAsia="Arial" w:hAnsi="Arial"/>
                <w:sz w:val="12"/>
                <w:szCs w:val="12"/>
                <w:color w:val="auto"/>
              </w:rPr>
              <w:t>Beginning balance - January 1, 2019</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187,129</w:t>
            </w:r>
          </w:p>
        </w:tc>
        <w:tc>
          <w:tcPr>
            <w:tcW w:w="160" w:type="dxa"/>
            <w:vAlign w:val="bottom"/>
          </w:tcPr>
          <w:p>
            <w:pPr>
              <w:spacing w:after="0"/>
              <w:rPr>
                <w:sz w:val="17"/>
                <w:szCs w:val="17"/>
                <w:color w:val="auto"/>
              </w:rPr>
            </w:pPr>
          </w:p>
        </w:tc>
        <w:tc>
          <w:tcPr>
            <w:tcW w:w="320" w:type="dxa"/>
            <w:vAlign w:val="bottom"/>
          </w:tcPr>
          <w:p>
            <w:pPr>
              <w:ind w:left="240"/>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1,125,623</w:t>
            </w:r>
          </w:p>
        </w:tc>
        <w:tc>
          <w:tcPr>
            <w:tcW w:w="180" w:type="dxa"/>
            <w:vAlign w:val="bottom"/>
          </w:tcPr>
          <w:p>
            <w:pPr>
              <w:spacing w:after="0"/>
              <w:rPr>
                <w:sz w:val="17"/>
                <w:szCs w:val="17"/>
                <w:color w:val="auto"/>
              </w:rPr>
            </w:pPr>
          </w:p>
        </w:tc>
        <w:tc>
          <w:tcPr>
            <w:tcW w:w="340" w:type="dxa"/>
            <w:vAlign w:val="bottom"/>
          </w:tcPr>
          <w:p>
            <w:pPr>
              <w:ind w:left="24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35,220</w:t>
            </w:r>
          </w:p>
        </w:tc>
        <w:tc>
          <w:tcPr>
            <w:tcW w:w="1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1,347,972</w:t>
            </w:r>
          </w:p>
        </w:tc>
      </w:tr>
      <w:tr>
        <w:trPr>
          <w:trHeight w:val="199"/>
        </w:trPr>
        <w:tc>
          <w:tcPr>
            <w:tcW w:w="3520" w:type="dxa"/>
            <w:vAlign w:val="bottom"/>
            <w:shd w:val="clear" w:color="auto" w:fill="CCEEFF"/>
          </w:tcPr>
          <w:p>
            <w:pPr>
              <w:ind w:left="60"/>
              <w:spacing w:after="0"/>
              <w:rPr>
                <w:sz w:val="20"/>
                <w:szCs w:val="20"/>
                <w:color w:val="auto"/>
              </w:rPr>
            </w:pPr>
            <w:r>
              <w:rPr>
                <w:rFonts w:ascii="Arial" w:cs="Arial" w:eastAsia="Arial" w:hAnsi="Arial"/>
                <w:sz w:val="12"/>
                <w:szCs w:val="12"/>
                <w:color w:val="auto"/>
              </w:rPr>
              <w:t>Charge-offs</w:t>
            </w: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(32,692)</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(32,692)</w:t>
            </w:r>
          </w:p>
        </w:tc>
      </w:tr>
      <w:tr>
        <w:trPr>
          <w:trHeight w:val="199"/>
        </w:trPr>
        <w:tc>
          <w:tcPr>
            <w:tcW w:w="3520" w:type="dxa"/>
            <w:vAlign w:val="bottom"/>
            <w:tcBorders>
              <w:bottom w:val="single" w:sz="8" w:color="CCEEFF"/>
            </w:tcBorders>
          </w:tcPr>
          <w:p>
            <w:pPr>
              <w:ind w:left="60"/>
              <w:spacing w:after="0"/>
              <w:rPr>
                <w:sz w:val="20"/>
                <w:szCs w:val="20"/>
                <w:color w:val="auto"/>
              </w:rPr>
            </w:pPr>
            <w:r>
              <w:rPr>
                <w:rFonts w:ascii="Arial" w:cs="Arial" w:eastAsia="Arial" w:hAnsi="Arial"/>
                <w:sz w:val="12"/>
                <w:szCs w:val="12"/>
                <w:color w:val="auto"/>
              </w:rPr>
              <w:t>Provision</w:t>
            </w:r>
          </w:p>
        </w:tc>
        <w:tc>
          <w:tcPr>
            <w:tcW w:w="3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129,775</w:t>
            </w:r>
          </w:p>
        </w:tc>
        <w:tc>
          <w:tcPr>
            <w:tcW w:w="1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7,982</w:t>
            </w:r>
          </w:p>
        </w:tc>
        <w:tc>
          <w:tcPr>
            <w:tcW w:w="1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137,757</w:t>
            </w:r>
          </w:p>
        </w:tc>
      </w:tr>
      <w:tr>
        <w:trPr>
          <w:trHeight w:val="179"/>
        </w:trPr>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Ending balance - December 31, 2019</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187,129</w:t>
            </w:r>
          </w:p>
        </w:tc>
        <w:tc>
          <w:tcPr>
            <w:tcW w:w="1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1,222,706</w:t>
            </w:r>
          </w:p>
        </w:tc>
        <w:tc>
          <w:tcPr>
            <w:tcW w:w="1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43,202</w:t>
            </w:r>
          </w:p>
        </w:tc>
        <w:tc>
          <w:tcPr>
            <w:tcW w:w="1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1,453,037</w:t>
            </w:r>
          </w:p>
        </w:tc>
      </w:tr>
      <w:tr>
        <w:trPr>
          <w:trHeight w:val="20"/>
        </w:trPr>
        <w:tc>
          <w:tcPr>
            <w:tcW w:w="3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86"/>
        </w:trPr>
        <w:tc>
          <w:tcPr>
            <w:tcW w:w="3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9"/>
        </w:trPr>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Ending balance: individually evaluated for impairment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195,993</w:t>
            </w:r>
          </w:p>
        </w:tc>
        <w:tc>
          <w:tcPr>
            <w:tcW w:w="1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195,993</w:t>
            </w:r>
          </w:p>
        </w:tc>
      </w:tr>
      <w:tr>
        <w:trPr>
          <w:trHeight w:val="20"/>
        </w:trPr>
        <w:tc>
          <w:tcPr>
            <w:tcW w:w="3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86"/>
        </w:trPr>
        <w:tc>
          <w:tcPr>
            <w:tcW w:w="3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9"/>
        </w:trPr>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Ending balance: collectively evaluated for impairment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187,129</w:t>
            </w:r>
          </w:p>
        </w:tc>
        <w:tc>
          <w:tcPr>
            <w:tcW w:w="1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1,026,713</w:t>
            </w:r>
          </w:p>
        </w:tc>
        <w:tc>
          <w:tcPr>
            <w:tcW w:w="1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43,202</w:t>
            </w:r>
          </w:p>
        </w:tc>
        <w:tc>
          <w:tcPr>
            <w:tcW w:w="1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1,257,044</w:t>
            </w:r>
          </w:p>
        </w:tc>
      </w:tr>
      <w:tr>
        <w:trPr>
          <w:trHeight w:val="20"/>
        </w:trPr>
        <w:tc>
          <w:tcPr>
            <w:tcW w:w="3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86"/>
        </w:trPr>
        <w:tc>
          <w:tcPr>
            <w:tcW w:w="3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2"/>
                <w:szCs w:val="12"/>
                <w:color w:val="auto"/>
              </w:rPr>
              <w:t>Mortgage loans: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39"/>
        </w:trPr>
        <w:tc>
          <w:tcPr>
            <w:tcW w:w="35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Ending balance</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6"/>
              </w:rPr>
              <w:t>38,718,220</w:t>
            </w:r>
          </w:p>
        </w:tc>
        <w:tc>
          <w:tcPr>
            <w:tcW w:w="1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2"/>
              </w:rPr>
              <w:t>113,043,965</w:t>
            </w:r>
          </w:p>
        </w:tc>
        <w:tc>
          <w:tcPr>
            <w:tcW w:w="1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89,430,237</w:t>
            </w:r>
          </w:p>
        </w:tc>
        <w:tc>
          <w:tcPr>
            <w:tcW w:w="1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2"/>
              </w:rPr>
              <w:t>241,192,422</w:t>
            </w:r>
          </w:p>
        </w:tc>
      </w:tr>
      <w:tr>
        <w:trPr>
          <w:trHeight w:val="186"/>
        </w:trPr>
        <w:tc>
          <w:tcPr>
            <w:tcW w:w="35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239"/>
        </w:trPr>
        <w:tc>
          <w:tcPr>
            <w:tcW w:w="35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Ending balance: individually evaluated for impairment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4,488,719</w:t>
            </w:r>
          </w:p>
        </w:tc>
        <w:tc>
          <w:tcPr>
            <w:tcW w:w="1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3,752,207</w:t>
            </w:r>
          </w:p>
        </w:tc>
        <w:tc>
          <w:tcPr>
            <w:tcW w:w="1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655,000</w:t>
            </w:r>
          </w:p>
        </w:tc>
        <w:tc>
          <w:tcPr>
            <w:tcW w:w="1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8,895,926</w:t>
            </w:r>
          </w:p>
        </w:tc>
      </w:tr>
      <w:tr>
        <w:trPr>
          <w:trHeight w:val="186"/>
        </w:trPr>
        <w:tc>
          <w:tcPr>
            <w:tcW w:w="35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199"/>
        </w:trPr>
        <w:tc>
          <w:tcPr>
            <w:tcW w:w="3520" w:type="dxa"/>
            <w:vAlign w:val="bottom"/>
          </w:tcPr>
          <w:p>
            <w:pPr>
              <w:spacing w:after="0"/>
              <w:rPr>
                <w:sz w:val="20"/>
                <w:szCs w:val="20"/>
                <w:color w:val="auto"/>
              </w:rPr>
            </w:pPr>
            <w:r>
              <w:rPr>
                <w:rFonts w:ascii="Arial" w:cs="Arial" w:eastAsia="Arial" w:hAnsi="Arial"/>
                <w:sz w:val="12"/>
                <w:szCs w:val="12"/>
                <w:color w:val="auto"/>
              </w:rPr>
              <w:t>Ending balance: collectively evaluated for impairment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6"/>
              </w:rPr>
              <w:t>34,229,501</w:t>
            </w:r>
          </w:p>
        </w:tc>
        <w:tc>
          <w:tcPr>
            <w:tcW w:w="160" w:type="dxa"/>
            <w:vAlign w:val="bottom"/>
          </w:tcPr>
          <w:p>
            <w:pPr>
              <w:spacing w:after="0"/>
              <w:rPr>
                <w:sz w:val="17"/>
                <w:szCs w:val="17"/>
                <w:color w:val="auto"/>
              </w:rPr>
            </w:pPr>
          </w:p>
        </w:tc>
        <w:tc>
          <w:tcPr>
            <w:tcW w:w="32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2"/>
              </w:rPr>
              <w:t>109,291,758</w:t>
            </w:r>
          </w:p>
        </w:tc>
        <w:tc>
          <w:tcPr>
            <w:tcW w:w="180" w:type="dxa"/>
            <w:vAlign w:val="bottom"/>
          </w:tcPr>
          <w:p>
            <w:pPr>
              <w:spacing w:after="0"/>
              <w:rPr>
                <w:sz w:val="17"/>
                <w:szCs w:val="17"/>
                <w:color w:val="auto"/>
              </w:rPr>
            </w:pPr>
          </w:p>
        </w:tc>
        <w:tc>
          <w:tcPr>
            <w:tcW w:w="34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88,775,237</w:t>
            </w:r>
          </w:p>
        </w:tc>
        <w:tc>
          <w:tcPr>
            <w:tcW w:w="160" w:type="dxa"/>
            <w:vAlign w:val="bottom"/>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2"/>
              </w:rPr>
              <w:t>232,296,496</w:t>
            </w:r>
          </w:p>
        </w:tc>
      </w:tr>
      <w:tr>
        <w:trPr>
          <w:trHeight w:val="20"/>
        </w:trPr>
        <w:tc>
          <w:tcPr>
            <w:tcW w:w="3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3845"/>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498983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89830" cy="29845"/>
                    </a:xfrm>
                    <a:prstGeom prst="rect">
                      <a:avLst/>
                    </a:prstGeom>
                    <a:noFill/>
                  </pic:spPr>
                </pic:pic>
              </a:graphicData>
            </a:graphic>
          </wp:anchor>
        </w:drawing>
      </w:r>
    </w:p>
    <w:p>
      <w:pPr>
        <w:sectPr>
          <w:pgSz w:w="11900" w:h="16838" w:orient="portrait"/>
          <w:cols w:equalWidth="0" w:num="1">
            <w:col w:w="9304"/>
          </w:cols>
          <w:pgMar w:left="1155" w:top="324" w:right="1440" w:bottom="1440" w:gutter="0" w:footer="0" w:header="0"/>
        </w:sectPr>
      </w:pPr>
    </w:p>
    <w:bookmarkStart w:id="21" w:name="page22"/>
    <w:bookmarkEnd w:id="21"/>
    <w:p>
      <w:pPr>
        <w:jc w:val="center"/>
        <w:ind w:right="2635"/>
        <w:spacing w:after="0" w:line="257" w:lineRule="auto"/>
        <w:rPr>
          <w:sz w:val="20"/>
          <w:szCs w:val="20"/>
          <w:color w:val="auto"/>
        </w:rPr>
      </w:pPr>
      <w:r>
        <w:rPr>
          <w:rFonts w:ascii="Arial" w:cs="Arial" w:eastAsia="Arial" w:hAnsi="Arial"/>
          <w:sz w:val="17"/>
          <w:szCs w:val="17"/>
          <w:color w:val="auto"/>
        </w:rPr>
        <w:t>SECURITY NATIONAL FINANCIAL CORPORATION AND SUBSIDIARIES Notes to Condensed Consolidated Financial Statements March 31, 2020 (Unaudited)</w:t>
      </w:r>
    </w:p>
    <w:p>
      <w:pPr>
        <w:spacing w:after="0" w:line="97" w:lineRule="exact"/>
        <w:rPr>
          <w:sz w:val="20"/>
          <w:szCs w:val="20"/>
          <w:color w:val="auto"/>
        </w:rPr>
      </w:pPr>
    </w:p>
    <w:p>
      <w:pPr>
        <w:ind w:left="425" w:hanging="425"/>
        <w:spacing w:after="0"/>
        <w:tabs>
          <w:tab w:leader="none" w:pos="425"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Investments</w:t>
      </w:r>
      <w:r>
        <w:rPr>
          <w:rFonts w:ascii="Arial" w:cs="Arial" w:eastAsia="Arial" w:hAnsi="Arial"/>
          <w:sz w:val="17"/>
          <w:szCs w:val="17"/>
          <w:color w:val="auto"/>
        </w:rPr>
        <w:t xml:space="preserve"> (Continued)</w:t>
      </w:r>
    </w:p>
    <w:p>
      <w:pPr>
        <w:spacing w:after="0" w:line="225" w:lineRule="exact"/>
        <w:rPr>
          <w:sz w:val="20"/>
          <w:szCs w:val="20"/>
          <w:color w:val="auto"/>
        </w:rPr>
      </w:pPr>
    </w:p>
    <w:p>
      <w:pPr>
        <w:ind w:left="5"/>
        <w:spacing w:after="0"/>
        <w:rPr>
          <w:sz w:val="20"/>
          <w:szCs w:val="20"/>
          <w:color w:val="auto"/>
        </w:rPr>
      </w:pPr>
      <w:r>
        <w:rPr>
          <w:rFonts w:ascii="Arial" w:cs="Arial" w:eastAsia="Arial" w:hAnsi="Arial"/>
          <w:sz w:val="17"/>
          <w:szCs w:val="17"/>
          <w:color w:val="auto"/>
        </w:rPr>
        <w:t>The following is a summary of the aging of mortgage loans held for investment for the periods presented:</w:t>
      </w:r>
    </w:p>
    <w:p>
      <w:pPr>
        <w:spacing w:after="0" w:line="259" w:lineRule="exact"/>
        <w:rPr>
          <w:sz w:val="20"/>
          <w:szCs w:val="20"/>
          <w:color w:val="auto"/>
        </w:rPr>
      </w:pPr>
    </w:p>
    <w:tbl>
      <w:tblPr>
        <w:tblLayout w:type="fixed"/>
        <w:tblInd w:w="5" w:type="dxa"/>
        <w:tblCellMar>
          <w:top w:w="0" w:type="dxa"/>
          <w:left w:w="0" w:type="dxa"/>
          <w:bottom w:w="0" w:type="dxa"/>
          <w:right w:w="0" w:type="dxa"/>
        </w:tblCellMar>
      </w:tblPr>
      <w:tr>
        <w:trPr>
          <w:trHeight w:val="157"/>
        </w:trPr>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0" w:type="dxa"/>
            <w:vAlign w:val="bottom"/>
            <w:gridSpan w:val="7"/>
          </w:tcPr>
          <w:p>
            <w:pPr>
              <w:jc w:val="center"/>
              <w:ind w:right="78"/>
              <w:spacing w:after="0"/>
              <w:rPr>
                <w:sz w:val="20"/>
                <w:szCs w:val="20"/>
                <w:color w:val="auto"/>
              </w:rPr>
            </w:pPr>
            <w:r>
              <w:rPr>
                <w:rFonts w:ascii="Arial" w:cs="Arial" w:eastAsia="Arial" w:hAnsi="Arial"/>
                <w:sz w:val="12"/>
                <w:szCs w:val="12"/>
                <w:color w:val="auto"/>
                <w:w w:val="96"/>
              </w:rPr>
              <w:t>Age Analysis of Mortgage Loans Held for Investment</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1"/>
        </w:trPr>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r>
      <w:tr>
        <w:trPr>
          <w:trHeight w:val="128"/>
        </w:trPr>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jc w:val="center"/>
              <w:spacing w:after="0" w:line="128" w:lineRule="exact"/>
              <w:rPr>
                <w:sz w:val="20"/>
                <w:szCs w:val="20"/>
                <w:color w:val="auto"/>
              </w:rPr>
            </w:pPr>
            <w:r>
              <w:rPr>
                <w:rFonts w:ascii="Arial" w:cs="Arial" w:eastAsia="Arial" w:hAnsi="Arial"/>
                <w:sz w:val="12"/>
                <w:szCs w:val="12"/>
                <w:color w:val="auto"/>
                <w:w w:val="94"/>
              </w:rPr>
              <w:t>Unamortized</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29"/>
        </w:trPr>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2"/>
          </w:tcPr>
          <w:p>
            <w:pPr>
              <w:ind w:left="120"/>
              <w:spacing w:after="0" w:line="129" w:lineRule="exact"/>
              <w:rPr>
                <w:sz w:val="20"/>
                <w:szCs w:val="20"/>
                <w:color w:val="auto"/>
              </w:rPr>
            </w:pPr>
            <w:r>
              <w:rPr>
                <w:rFonts w:ascii="Arial" w:cs="Arial" w:eastAsia="Arial" w:hAnsi="Arial"/>
                <w:sz w:val="12"/>
                <w:szCs w:val="12"/>
                <w:color w:val="auto"/>
              </w:rPr>
              <w:t>30-59 Days</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color w:val="auto"/>
              </w:rPr>
              <w:t>60-89 Days</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color w:val="auto"/>
              </w:rPr>
              <w:t>Greater Than</w:t>
            </w:r>
          </w:p>
        </w:tc>
        <w:tc>
          <w:tcPr>
            <w:tcW w:w="1020" w:type="dxa"/>
            <w:vAlign w:val="bottom"/>
            <w:gridSpan w:val="2"/>
          </w:tcPr>
          <w:p>
            <w:pPr>
              <w:jc w:val="right"/>
              <w:ind w:right="138"/>
              <w:spacing w:after="0" w:line="129" w:lineRule="exact"/>
              <w:rPr>
                <w:sz w:val="20"/>
                <w:szCs w:val="20"/>
                <w:color w:val="auto"/>
              </w:rPr>
            </w:pPr>
            <w:r>
              <w:rPr>
                <w:rFonts w:ascii="Arial" w:cs="Arial" w:eastAsia="Arial" w:hAnsi="Arial"/>
                <w:sz w:val="12"/>
                <w:szCs w:val="12"/>
                <w:color w:val="auto"/>
              </w:rPr>
              <w:t>In Process of</w:t>
            </w:r>
          </w:p>
        </w:tc>
        <w:tc>
          <w:tcPr>
            <w:tcW w:w="120" w:type="dxa"/>
            <w:vAlign w:val="bottom"/>
          </w:tcPr>
          <w:p>
            <w:pPr>
              <w:spacing w:after="0"/>
              <w:rPr>
                <w:sz w:val="11"/>
                <w:szCs w:val="11"/>
                <w:color w:val="auto"/>
              </w:rPr>
            </w:pPr>
          </w:p>
        </w:tc>
        <w:tc>
          <w:tcPr>
            <w:tcW w:w="640" w:type="dxa"/>
            <w:vAlign w:val="bottom"/>
          </w:tcPr>
          <w:p>
            <w:pPr>
              <w:jc w:val="right"/>
              <w:ind w:right="238"/>
              <w:spacing w:after="0" w:line="129" w:lineRule="exact"/>
              <w:rPr>
                <w:sz w:val="20"/>
                <w:szCs w:val="20"/>
                <w:color w:val="auto"/>
              </w:rPr>
            </w:pPr>
            <w:r>
              <w:rPr>
                <w:rFonts w:ascii="Arial" w:cs="Arial" w:eastAsia="Arial" w:hAnsi="Arial"/>
                <w:sz w:val="12"/>
                <w:szCs w:val="12"/>
                <w:color w:val="auto"/>
              </w:rPr>
              <w:t>Total</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ind w:right="298"/>
              <w:spacing w:after="0" w:line="129" w:lineRule="exact"/>
              <w:rPr>
                <w:sz w:val="20"/>
                <w:szCs w:val="20"/>
                <w:color w:val="auto"/>
              </w:rPr>
            </w:pPr>
            <w:r>
              <w:rPr>
                <w:rFonts w:ascii="Arial" w:cs="Arial" w:eastAsia="Arial" w:hAnsi="Arial"/>
                <w:sz w:val="12"/>
                <w:szCs w:val="12"/>
                <w:color w:val="auto"/>
              </w:rPr>
              <w:t>Total</w:t>
            </w:r>
          </w:p>
        </w:tc>
        <w:tc>
          <w:tcPr>
            <w:tcW w:w="840" w:type="dxa"/>
            <w:vAlign w:val="bottom"/>
            <w:gridSpan w:val="2"/>
          </w:tcPr>
          <w:p>
            <w:pPr>
              <w:jc w:val="right"/>
              <w:ind w:right="38"/>
              <w:spacing w:after="0" w:line="129" w:lineRule="exact"/>
              <w:rPr>
                <w:sz w:val="20"/>
                <w:szCs w:val="20"/>
                <w:color w:val="auto"/>
              </w:rPr>
            </w:pPr>
            <w:r>
              <w:rPr>
                <w:rFonts w:ascii="Arial" w:cs="Arial" w:eastAsia="Arial" w:hAnsi="Arial"/>
                <w:sz w:val="12"/>
                <w:szCs w:val="12"/>
                <w:color w:val="auto"/>
                <w:w w:val="99"/>
              </w:rPr>
              <w:t>Allowance for</w:t>
            </w:r>
          </w:p>
        </w:tc>
        <w:tc>
          <w:tcPr>
            <w:tcW w:w="940" w:type="dxa"/>
            <w:vAlign w:val="bottom"/>
            <w:gridSpan w:val="2"/>
          </w:tcPr>
          <w:p>
            <w:pPr>
              <w:jc w:val="center"/>
              <w:ind w:right="18"/>
              <w:spacing w:after="0" w:line="129" w:lineRule="exact"/>
              <w:rPr>
                <w:sz w:val="20"/>
                <w:szCs w:val="20"/>
                <w:color w:val="auto"/>
              </w:rPr>
            </w:pPr>
            <w:r>
              <w:rPr>
                <w:rFonts w:ascii="Arial" w:cs="Arial" w:eastAsia="Arial" w:hAnsi="Arial"/>
                <w:sz w:val="12"/>
                <w:szCs w:val="12"/>
                <w:color w:val="auto"/>
                <w:w w:val="93"/>
              </w:rPr>
              <w:t>deferred loan</w:t>
            </w:r>
          </w:p>
        </w:tc>
        <w:tc>
          <w:tcPr>
            <w:tcW w:w="940" w:type="dxa"/>
            <w:vAlign w:val="bottom"/>
            <w:gridSpan w:val="2"/>
          </w:tcPr>
          <w:p>
            <w:pPr>
              <w:jc w:val="right"/>
              <w:ind w:right="118"/>
              <w:spacing w:after="0" w:line="129" w:lineRule="exact"/>
              <w:rPr>
                <w:sz w:val="20"/>
                <w:szCs w:val="20"/>
                <w:color w:val="auto"/>
              </w:rPr>
            </w:pPr>
            <w:r>
              <w:rPr>
                <w:rFonts w:ascii="Arial" w:cs="Arial" w:eastAsia="Arial" w:hAnsi="Arial"/>
                <w:sz w:val="12"/>
                <w:szCs w:val="12"/>
                <w:color w:val="auto"/>
              </w:rPr>
              <w:t>Unamortized</w:t>
            </w:r>
          </w:p>
        </w:tc>
        <w:tc>
          <w:tcPr>
            <w:tcW w:w="860" w:type="dxa"/>
            <w:vAlign w:val="bottom"/>
            <w:gridSpan w:val="2"/>
          </w:tcPr>
          <w:p>
            <w:pPr>
              <w:jc w:val="right"/>
              <w:ind w:right="38"/>
              <w:spacing w:after="0" w:line="129" w:lineRule="exact"/>
              <w:rPr>
                <w:sz w:val="20"/>
                <w:szCs w:val="20"/>
                <w:color w:val="auto"/>
              </w:rPr>
            </w:pPr>
            <w:r>
              <w:rPr>
                <w:rFonts w:ascii="Arial" w:cs="Arial" w:eastAsia="Arial" w:hAnsi="Arial"/>
                <w:sz w:val="12"/>
                <w:szCs w:val="12"/>
                <w:color w:val="auto"/>
              </w:rPr>
              <w:t>Net Mortgage</w:t>
            </w:r>
          </w:p>
        </w:tc>
      </w:tr>
      <w:tr>
        <w:trPr>
          <w:trHeight w:val="156"/>
        </w:trPr>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w w:val="84"/>
              </w:rPr>
              <w:t>Past Due</w:t>
            </w:r>
          </w:p>
        </w:tc>
        <w:tc>
          <w:tcPr>
            <w:tcW w:w="800" w:type="dxa"/>
            <w:vAlign w:val="bottom"/>
            <w:tcBorders>
              <w:bottom w:val="single" w:sz="8" w:color="auto"/>
            </w:tcBorders>
            <w:gridSpan w:val="2"/>
          </w:tcPr>
          <w:p>
            <w:pPr>
              <w:jc w:val="right"/>
              <w:ind w:right="138"/>
              <w:spacing w:after="0"/>
              <w:rPr>
                <w:sz w:val="20"/>
                <w:szCs w:val="20"/>
                <w:color w:val="auto"/>
              </w:rPr>
            </w:pPr>
            <w:r>
              <w:rPr>
                <w:rFonts w:ascii="Arial" w:cs="Arial" w:eastAsia="Arial" w:hAnsi="Arial"/>
                <w:sz w:val="12"/>
                <w:szCs w:val="12"/>
                <w:color w:val="auto"/>
              </w:rPr>
              <w:t>Past Due</w:t>
            </w: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2"/>
                <w:szCs w:val="12"/>
                <w:color w:val="auto"/>
              </w:rPr>
              <w:t>90 Days (1)</w:t>
            </w:r>
          </w:p>
        </w:tc>
        <w:tc>
          <w:tcPr>
            <w:tcW w:w="1020" w:type="dxa"/>
            <w:vAlign w:val="bottom"/>
            <w:tcBorders>
              <w:bottom w:val="single" w:sz="8" w:color="auto"/>
            </w:tcBorders>
            <w:gridSpan w:val="2"/>
          </w:tcPr>
          <w:p>
            <w:pPr>
              <w:ind w:left="100"/>
              <w:spacing w:after="0"/>
              <w:rPr>
                <w:sz w:val="20"/>
                <w:szCs w:val="20"/>
                <w:color w:val="auto"/>
              </w:rPr>
            </w:pPr>
            <w:r>
              <w:rPr>
                <w:rFonts w:ascii="Arial" w:cs="Arial" w:eastAsia="Arial" w:hAnsi="Arial"/>
                <w:sz w:val="12"/>
                <w:szCs w:val="12"/>
                <w:color w:val="auto"/>
              </w:rPr>
              <w:t>Foreclosure (1)</w:t>
            </w: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w w:val="89"/>
              </w:rPr>
              <w:t>Past Due</w:t>
            </w: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Current</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w w:val="94"/>
              </w:rPr>
              <w:t>Mortgage Loans</w:t>
            </w:r>
          </w:p>
        </w:tc>
        <w:tc>
          <w:tcPr>
            <w:tcW w:w="840" w:type="dxa"/>
            <w:vAlign w:val="bottom"/>
            <w:tcBorders>
              <w:bottom w:val="single" w:sz="8" w:color="auto"/>
            </w:tcBorders>
            <w:gridSpan w:val="2"/>
          </w:tcPr>
          <w:p>
            <w:pPr>
              <w:jc w:val="right"/>
              <w:ind w:right="58"/>
              <w:spacing w:after="0"/>
              <w:rPr>
                <w:sz w:val="20"/>
                <w:szCs w:val="20"/>
                <w:color w:val="auto"/>
              </w:rPr>
            </w:pPr>
            <w:r>
              <w:rPr>
                <w:rFonts w:ascii="Arial" w:cs="Arial" w:eastAsia="Arial" w:hAnsi="Arial"/>
                <w:sz w:val="12"/>
                <w:szCs w:val="12"/>
                <w:color w:val="auto"/>
              </w:rPr>
              <w:t>Loan Losses</w:t>
            </w: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178"/>
              <w:spacing w:after="0"/>
              <w:rPr>
                <w:sz w:val="20"/>
                <w:szCs w:val="20"/>
                <w:color w:val="auto"/>
              </w:rPr>
            </w:pPr>
            <w:r>
              <w:rPr>
                <w:rFonts w:ascii="Arial" w:cs="Arial" w:eastAsia="Arial" w:hAnsi="Arial"/>
                <w:sz w:val="12"/>
                <w:szCs w:val="12"/>
                <w:color w:val="auto"/>
                <w:w w:val="86"/>
              </w:rPr>
              <w:t>fees, net</w:t>
            </w:r>
          </w:p>
        </w:tc>
        <w:tc>
          <w:tcPr>
            <w:tcW w:w="940" w:type="dxa"/>
            <w:vAlign w:val="bottom"/>
            <w:tcBorders>
              <w:bottom w:val="single" w:sz="8" w:color="auto"/>
            </w:tcBorders>
            <w:gridSpan w:val="2"/>
          </w:tcPr>
          <w:p>
            <w:pPr>
              <w:jc w:val="right"/>
              <w:ind w:right="98"/>
              <w:spacing w:after="0"/>
              <w:rPr>
                <w:sz w:val="20"/>
                <w:szCs w:val="20"/>
                <w:color w:val="auto"/>
              </w:rPr>
            </w:pPr>
            <w:r>
              <w:rPr>
                <w:rFonts w:ascii="Arial" w:cs="Arial" w:eastAsia="Arial" w:hAnsi="Arial"/>
                <w:sz w:val="12"/>
                <w:szCs w:val="12"/>
                <w:color w:val="auto"/>
              </w:rPr>
              <w:t>discounts, net</w:t>
            </w: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Loans</w:t>
            </w:r>
          </w:p>
        </w:tc>
      </w:tr>
      <w:tr>
        <w:trPr>
          <w:trHeight w:val="179"/>
        </w:trPr>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March 31, 2020</w:t>
            </w: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99"/>
        </w:trPr>
        <w:tc>
          <w:tcPr>
            <w:tcW w:w="9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Commercial</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1,713,947</w:t>
            </w:r>
          </w:p>
        </w:tc>
        <w:tc>
          <w:tcPr>
            <w:tcW w:w="240" w:type="dxa"/>
            <w:vAlign w:val="bottom"/>
            <w:shd w:val="clear" w:color="auto" w:fill="CCEEFF"/>
          </w:tcPr>
          <w:p>
            <w:pPr>
              <w:ind w:left="8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1,421,979</w:t>
            </w:r>
          </w:p>
        </w:tc>
        <w:tc>
          <w:tcPr>
            <w:tcW w:w="260" w:type="dxa"/>
            <w:vAlign w:val="bottom"/>
            <w:shd w:val="clear" w:color="auto" w:fill="CCEEFF"/>
          </w:tcPr>
          <w:p>
            <w:pPr>
              <w:ind w:left="6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864,719</w:t>
            </w:r>
          </w:p>
        </w:tc>
        <w:tc>
          <w:tcPr>
            <w:tcW w:w="320" w:type="dxa"/>
            <w:vAlign w:val="bottom"/>
            <w:shd w:val="clear" w:color="auto" w:fill="CCEEFF"/>
          </w:tcPr>
          <w:p>
            <w:pPr>
              <w:jc w:val="right"/>
              <w:ind w:right="158"/>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4,000,645</w:t>
            </w:r>
          </w:p>
        </w:tc>
        <w:tc>
          <w:tcPr>
            <w:tcW w:w="1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40,604,016</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44,604,661</w:t>
            </w:r>
          </w:p>
        </w:tc>
        <w:tc>
          <w:tcPr>
            <w:tcW w:w="180" w:type="dxa"/>
            <w:vAlign w:val="bottom"/>
            <w:shd w:val="clear" w:color="auto" w:fill="CCEEFF"/>
          </w:tcPr>
          <w:p>
            <w:pPr>
              <w:jc w:val="right"/>
              <w:ind w:right="61"/>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(187,129)</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(74,850)</w:t>
            </w:r>
          </w:p>
        </w:tc>
        <w:tc>
          <w:tcPr>
            <w:tcW w:w="22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(824,461)</w:t>
            </w: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43,518,221</w:t>
            </w:r>
          </w:p>
        </w:tc>
      </w:tr>
      <w:tr>
        <w:trPr>
          <w:trHeight w:val="199"/>
        </w:trPr>
        <w:tc>
          <w:tcPr>
            <w:tcW w:w="900" w:type="dxa"/>
            <w:vAlign w:val="bottom"/>
            <w:gridSpan w:val="2"/>
          </w:tcPr>
          <w:p>
            <w:pPr>
              <w:spacing w:after="0"/>
              <w:rPr>
                <w:sz w:val="20"/>
                <w:szCs w:val="20"/>
                <w:color w:val="auto"/>
              </w:rPr>
            </w:pPr>
            <w:r>
              <w:rPr>
                <w:rFonts w:ascii="Arial" w:cs="Arial" w:eastAsia="Arial" w:hAnsi="Arial"/>
                <w:sz w:val="12"/>
                <w:szCs w:val="12"/>
                <w:color w:val="auto"/>
              </w:rPr>
              <w:t>Residential</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12,130,781</w:t>
            </w:r>
          </w:p>
        </w:tc>
        <w:tc>
          <w:tcPr>
            <w:tcW w:w="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3"/>
              </w:rPr>
              <w:t>3,423,153</w:t>
            </w: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2,730,747</w:t>
            </w: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1,806,094</w:t>
            </w: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20,090,775</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97,605,372</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w w:val="98"/>
              </w:rPr>
              <w:t>117,696,147</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w w:val="97"/>
              </w:rPr>
              <w:t>(1,859,339)</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(1,440,781)</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(403,308)</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w w:val="95"/>
              </w:rPr>
              <w:t>113,992,719</w:t>
            </w:r>
          </w:p>
        </w:tc>
      </w:tr>
      <w:tr>
        <w:trPr>
          <w:trHeight w:val="136"/>
        </w:trPr>
        <w:tc>
          <w:tcPr>
            <w:tcW w:w="9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Residential</w:t>
            </w: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56"/>
        </w:trPr>
        <w:tc>
          <w:tcPr>
            <w:tcW w:w="90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Construction</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2,002,484</w:t>
            </w: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2,002,484</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91,588,286</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93,590,770</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(43,202)</w:t>
            </w: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(653,989)</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92,893,579</w:t>
            </w:r>
          </w:p>
        </w:tc>
      </w:tr>
      <w:tr>
        <w:trPr>
          <w:trHeight w:val="152"/>
        </w:trPr>
        <w:tc>
          <w:tcPr>
            <w:tcW w:w="8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r>
      <w:tr>
        <w:trPr>
          <w:trHeight w:val="179"/>
        </w:trPr>
        <w:tc>
          <w:tcPr>
            <w:tcW w:w="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15,847,212</w:t>
            </w:r>
          </w:p>
        </w:tc>
        <w:tc>
          <w:tcPr>
            <w:tcW w:w="2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4,845,132</w:t>
            </w:r>
          </w:p>
        </w:tc>
        <w:tc>
          <w:tcPr>
            <w:tcW w:w="2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3,595,466</w:t>
            </w:r>
          </w:p>
        </w:tc>
        <w:tc>
          <w:tcPr>
            <w:tcW w:w="3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1,806,094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9"/>
              </w:rPr>
              <w:t>26,093,904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5"/>
              </w:rPr>
              <w:t>229,797,674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8"/>
              </w:rPr>
              <w:t>255,891,578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(2,089,670)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(2,169,620)</w:t>
            </w:r>
          </w:p>
        </w:tc>
        <w:tc>
          <w:tcPr>
            <w:tcW w:w="2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(1,227,769)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5"/>
              </w:rPr>
              <w:t>250,404,519</w:t>
            </w:r>
          </w:p>
        </w:tc>
      </w:tr>
      <w:tr>
        <w:trPr>
          <w:trHeight w:val="20"/>
        </w:trPr>
        <w:tc>
          <w:tcPr>
            <w:tcW w:w="8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27"/>
        </w:trPr>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r>
      <w:tr>
        <w:trPr>
          <w:trHeight w:val="199"/>
        </w:trPr>
        <w:tc>
          <w:tcPr>
            <w:tcW w:w="1100" w:type="dxa"/>
            <w:vAlign w:val="bottom"/>
            <w:gridSpan w:val="3"/>
            <w:shd w:val="clear" w:color="auto" w:fill="CCEEFF"/>
          </w:tcPr>
          <w:p>
            <w:pPr>
              <w:spacing w:after="0"/>
              <w:rPr>
                <w:sz w:val="20"/>
                <w:szCs w:val="20"/>
                <w:color w:val="auto"/>
              </w:rPr>
            </w:pPr>
            <w:r>
              <w:rPr>
                <w:rFonts w:ascii="Arial" w:cs="Arial" w:eastAsia="Arial" w:hAnsi="Arial"/>
                <w:sz w:val="12"/>
                <w:szCs w:val="12"/>
                <w:b w:val="1"/>
                <w:bCs w:val="1"/>
                <w:color w:val="auto"/>
                <w:w w:val="99"/>
              </w:rPr>
              <w:t>December 31, 2019</w:t>
            </w: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199"/>
        </w:trPr>
        <w:tc>
          <w:tcPr>
            <w:tcW w:w="900" w:type="dxa"/>
            <w:vAlign w:val="bottom"/>
            <w:gridSpan w:val="2"/>
          </w:tcPr>
          <w:p>
            <w:pPr>
              <w:spacing w:after="0"/>
              <w:rPr>
                <w:sz w:val="20"/>
                <w:szCs w:val="20"/>
                <w:color w:val="auto"/>
              </w:rPr>
            </w:pPr>
            <w:r>
              <w:rPr>
                <w:rFonts w:ascii="Arial" w:cs="Arial" w:eastAsia="Arial" w:hAnsi="Arial"/>
                <w:sz w:val="12"/>
                <w:szCs w:val="12"/>
                <w:color w:val="auto"/>
              </w:rPr>
              <w:t>Commercial</w:t>
            </w:r>
          </w:p>
        </w:tc>
        <w:tc>
          <w:tcPr>
            <w:tcW w:w="200" w:type="dxa"/>
            <w:vAlign w:val="bottom"/>
          </w:tcPr>
          <w:p>
            <w:pPr>
              <w:ind w:left="120"/>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1,872,000</w:t>
            </w:r>
          </w:p>
        </w:tc>
        <w:tc>
          <w:tcPr>
            <w:tcW w:w="24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ind w:left="100"/>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4,488,719</w:t>
            </w:r>
          </w:p>
        </w:tc>
        <w:tc>
          <w:tcPr>
            <w:tcW w:w="320" w:type="dxa"/>
            <w:vAlign w:val="bottom"/>
          </w:tcPr>
          <w:p>
            <w:pPr>
              <w:jc w:val="right"/>
              <w:ind w:right="158"/>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 $</w:t>
            </w:r>
          </w:p>
        </w:tc>
        <w:tc>
          <w:tcPr>
            <w:tcW w:w="640" w:type="dxa"/>
            <w:vAlign w:val="bottom"/>
          </w:tcPr>
          <w:p>
            <w:pPr>
              <w:jc w:val="right"/>
              <w:spacing w:after="0"/>
              <w:rPr>
                <w:sz w:val="20"/>
                <w:szCs w:val="20"/>
                <w:color w:val="auto"/>
              </w:rPr>
            </w:pPr>
            <w:r>
              <w:rPr>
                <w:rFonts w:ascii="Arial" w:cs="Arial" w:eastAsia="Arial" w:hAnsi="Arial"/>
                <w:sz w:val="12"/>
                <w:szCs w:val="12"/>
                <w:color w:val="auto"/>
              </w:rPr>
              <w:t>6,360,719</w:t>
            </w:r>
          </w:p>
        </w:tc>
        <w:tc>
          <w:tcPr>
            <w:tcW w:w="160" w:type="dxa"/>
            <w:vAlign w:val="bottom"/>
          </w:tcPr>
          <w:p>
            <w:pPr>
              <w:jc w:val="center"/>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32,357,501</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38,718,220</w:t>
            </w:r>
          </w:p>
        </w:tc>
        <w:tc>
          <w:tcPr>
            <w:tcW w:w="180" w:type="dxa"/>
            <w:vAlign w:val="bottom"/>
          </w:tcPr>
          <w:p>
            <w:pPr>
              <w:jc w:val="right"/>
              <w:ind w:right="61"/>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(187,129)</w:t>
            </w:r>
          </w:p>
        </w:tc>
        <w:tc>
          <w:tcPr>
            <w:tcW w:w="180" w:type="dxa"/>
            <w:vAlign w:val="bottom"/>
          </w:tcPr>
          <w:p>
            <w:pPr>
              <w:jc w:val="right"/>
              <w:ind w:right="38"/>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(88,918)</w:t>
            </w:r>
          </w:p>
        </w:tc>
        <w:tc>
          <w:tcPr>
            <w:tcW w:w="22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(653,272)</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37,788,901</w:t>
            </w:r>
          </w:p>
        </w:tc>
      </w:tr>
      <w:tr>
        <w:trPr>
          <w:trHeight w:val="199"/>
        </w:trPr>
        <w:tc>
          <w:tcPr>
            <w:tcW w:w="9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Residential</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10,609,296</w:t>
            </w: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4,085,767</w:t>
            </w: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2,100,742</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1,651,465</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18,447,270</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94,596,695</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113,043,965</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(1,222,706)</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(1,567,581)</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5"/>
              </w:rPr>
              <w:t>110,253,678</w:t>
            </w:r>
          </w:p>
        </w:tc>
      </w:tr>
      <w:tr>
        <w:trPr>
          <w:trHeight w:val="136"/>
        </w:trPr>
        <w:tc>
          <w:tcPr>
            <w:tcW w:w="900" w:type="dxa"/>
            <w:vAlign w:val="bottom"/>
            <w:gridSpan w:val="2"/>
          </w:tcPr>
          <w:p>
            <w:pPr>
              <w:spacing w:after="0" w:line="136" w:lineRule="exact"/>
              <w:rPr>
                <w:sz w:val="20"/>
                <w:szCs w:val="20"/>
                <w:color w:val="auto"/>
              </w:rPr>
            </w:pPr>
            <w:r>
              <w:rPr>
                <w:rFonts w:ascii="Arial" w:cs="Arial" w:eastAsia="Arial" w:hAnsi="Arial"/>
                <w:sz w:val="12"/>
                <w:szCs w:val="12"/>
                <w:color w:val="auto"/>
              </w:rPr>
              <w:t>Residential</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56"/>
        </w:trPr>
        <w:tc>
          <w:tcPr>
            <w:tcW w:w="900" w:type="dxa"/>
            <w:vAlign w:val="bottom"/>
            <w:gridSpan w:val="2"/>
          </w:tcPr>
          <w:p>
            <w:pPr>
              <w:ind w:left="40"/>
              <w:spacing w:after="0"/>
              <w:rPr>
                <w:sz w:val="20"/>
                <w:szCs w:val="20"/>
                <w:color w:val="auto"/>
              </w:rPr>
            </w:pPr>
            <w:r>
              <w:rPr>
                <w:rFonts w:ascii="Arial" w:cs="Arial" w:eastAsia="Arial" w:hAnsi="Arial"/>
                <w:sz w:val="12"/>
                <w:szCs w:val="12"/>
                <w:color w:val="auto"/>
              </w:rPr>
              <w:t>Construction</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655,000</w:t>
            </w:r>
          </w:p>
        </w:tc>
        <w:tc>
          <w:tcPr>
            <w:tcW w:w="3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655,000</w:t>
            </w: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88,775,237</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89,430,237</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(43,202)</w:t>
            </w: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(735,068)</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88,651,967</w:t>
            </w:r>
          </w:p>
        </w:tc>
      </w:tr>
      <w:tr>
        <w:trPr>
          <w:trHeight w:val="152"/>
        </w:trPr>
        <w:tc>
          <w:tcPr>
            <w:tcW w:w="8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r>
      <w:tr>
        <w:trPr>
          <w:trHeight w:val="219"/>
        </w:trPr>
        <w:tc>
          <w:tcPr>
            <w:tcW w:w="90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12,481,296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4,085,767</w:t>
            </w: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7,244,461</w:t>
            </w:r>
          </w:p>
        </w:tc>
        <w:tc>
          <w:tcPr>
            <w:tcW w:w="32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1,651,465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25,462,989</w:t>
            </w:r>
          </w:p>
        </w:tc>
        <w:tc>
          <w:tcPr>
            <w:tcW w:w="1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215,729,433</w:t>
            </w:r>
          </w:p>
        </w:tc>
        <w:tc>
          <w:tcPr>
            <w:tcW w:w="2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8"/>
              </w:rPr>
              <w:t>241,192,422</w:t>
            </w:r>
          </w:p>
        </w:tc>
        <w:tc>
          <w:tcPr>
            <w:tcW w:w="18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7"/>
              </w:rPr>
              <w:t>(1,453,037)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(2,391,567)</w:t>
            </w:r>
          </w:p>
        </w:tc>
        <w:tc>
          <w:tcPr>
            <w:tcW w:w="2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(653,272)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236,694,546</w:t>
            </w:r>
          </w:p>
        </w:tc>
      </w:tr>
      <w:tr>
        <w:trPr>
          <w:trHeight w:val="115"/>
        </w:trPr>
        <w:tc>
          <w:tcPr>
            <w:tcW w:w="880" w:type="dxa"/>
            <w:vAlign w:val="bottom"/>
            <w:tcBorders>
              <w:bottom w:val="single" w:sz="8" w:color="auto"/>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76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shd w:val="clear" w:color="auto" w:fill="CCEEFF"/>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6670675" cy="1263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70675" cy="126365"/>
                    </a:xfrm>
                    <a:prstGeom prst="rect">
                      <a:avLst/>
                    </a:prstGeom>
                    <a:noFill/>
                  </pic:spPr>
                </pic:pic>
              </a:graphicData>
            </a:graphic>
          </wp:anchor>
        </w:drawing>
      </w:r>
    </w:p>
    <w:p>
      <w:pPr>
        <w:spacing w:after="0" w:line="175" w:lineRule="exact"/>
        <w:rPr>
          <w:sz w:val="20"/>
          <w:szCs w:val="20"/>
          <w:color w:val="auto"/>
        </w:rPr>
      </w:pPr>
    </w:p>
    <w:p>
      <w:pPr>
        <w:ind w:left="5"/>
        <w:spacing w:after="0"/>
        <w:rPr>
          <w:sz w:val="20"/>
          <w:szCs w:val="20"/>
          <w:color w:val="auto"/>
        </w:rPr>
      </w:pPr>
      <w:r>
        <w:rPr>
          <w:rFonts w:ascii="Arial" w:cs="Arial" w:eastAsia="Arial" w:hAnsi="Arial"/>
          <w:sz w:val="12"/>
          <w:szCs w:val="12"/>
          <w:color w:val="auto"/>
        </w:rPr>
        <w:t>(1) Interest income is not recognized on loans past due greater than 90 days or in foreclosure.</w:t>
      </w:r>
    </w:p>
    <w:p>
      <w:pPr>
        <w:spacing w:after="0" w:line="214" w:lineRule="exact"/>
        <w:rPr>
          <w:sz w:val="20"/>
          <w:szCs w:val="20"/>
          <w:color w:val="auto"/>
        </w:rPr>
      </w:pPr>
    </w:p>
    <w:p>
      <w:pPr>
        <w:ind w:left="3845"/>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498983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89830" cy="29845"/>
                    </a:xfrm>
                    <a:prstGeom prst="rect">
                      <a:avLst/>
                    </a:prstGeom>
                    <a:noFill/>
                  </pic:spPr>
                </pic:pic>
              </a:graphicData>
            </a:graphic>
          </wp:anchor>
        </w:drawing>
      </w:r>
    </w:p>
    <w:p>
      <w:pPr>
        <w:sectPr>
          <w:pgSz w:w="11900" w:h="16838" w:orient="portrait"/>
          <w:cols w:equalWidth="0" w:num="1">
            <w:col w:w="10505"/>
          </w:cols>
          <w:pgMar w:left="1155" w:top="324" w:right="239" w:bottom="1440" w:gutter="0" w:footer="0" w:header="0"/>
        </w:sectPr>
      </w:pPr>
    </w:p>
    <w:bookmarkStart w:id="22" w:name="page23"/>
    <w:bookmarkEnd w:id="22"/>
    <w:p>
      <w:pPr>
        <w:jc w:val="center"/>
        <w:ind w:left="1160" w:right="1140"/>
        <w:spacing w:after="0" w:line="257" w:lineRule="auto"/>
        <w:rPr>
          <w:sz w:val="20"/>
          <w:szCs w:val="20"/>
          <w:color w:val="auto"/>
        </w:rPr>
      </w:pPr>
      <w:r>
        <w:rPr>
          <w:rFonts w:ascii="Arial" w:cs="Arial" w:eastAsia="Arial" w:hAnsi="Arial"/>
          <w:sz w:val="17"/>
          <w:szCs w:val="17"/>
          <w:color w:val="auto"/>
        </w:rPr>
        <w:t>SECURITY NATIONAL FINANCIAL CORPORATION AND SUBSIDIARIES Notes to Condensed Consolidated Financial Statements March 31, 2020 (Unaudited)</w:t>
      </w:r>
    </w:p>
    <w:p>
      <w:pPr>
        <w:spacing w:after="0" w:line="97" w:lineRule="exact"/>
        <w:rPr>
          <w:sz w:val="20"/>
          <w:szCs w:val="20"/>
          <w:color w:val="auto"/>
        </w:rPr>
      </w:pPr>
    </w:p>
    <w:p>
      <w:pPr>
        <w:ind w:left="425" w:hanging="425"/>
        <w:spacing w:after="0"/>
        <w:tabs>
          <w:tab w:leader="none" w:pos="425"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Investments</w:t>
      </w:r>
      <w:r>
        <w:rPr>
          <w:rFonts w:ascii="Arial" w:cs="Arial" w:eastAsia="Arial" w:hAnsi="Arial"/>
          <w:sz w:val="17"/>
          <w:szCs w:val="17"/>
          <w:color w:val="auto"/>
        </w:rPr>
        <w:t xml:space="preserve"> (Continued)</w:t>
      </w:r>
    </w:p>
    <w:p>
      <w:pPr>
        <w:spacing w:after="0" w:line="225" w:lineRule="exact"/>
        <w:rPr>
          <w:sz w:val="20"/>
          <w:szCs w:val="20"/>
          <w:color w:val="auto"/>
        </w:rPr>
      </w:pPr>
    </w:p>
    <w:p>
      <w:pPr>
        <w:ind w:left="5"/>
        <w:spacing w:after="0"/>
        <w:rPr>
          <w:sz w:val="20"/>
          <w:szCs w:val="20"/>
          <w:color w:val="auto"/>
        </w:rPr>
      </w:pPr>
      <w:r>
        <w:rPr>
          <w:rFonts w:ascii="Arial" w:cs="Arial" w:eastAsia="Arial" w:hAnsi="Arial"/>
          <w:sz w:val="17"/>
          <w:szCs w:val="17"/>
          <w:u w:val="single" w:color="auto"/>
          <w:color w:val="auto"/>
        </w:rPr>
        <w:t>Impaired Mortgage Loans Held for Investment</w:t>
      </w:r>
    </w:p>
    <w:p>
      <w:pPr>
        <w:spacing w:after="0" w:line="202" w:lineRule="exact"/>
        <w:rPr>
          <w:sz w:val="20"/>
          <w:szCs w:val="20"/>
          <w:color w:val="auto"/>
        </w:rPr>
      </w:pPr>
    </w:p>
    <w:p>
      <w:pPr>
        <w:jc w:val="both"/>
        <w:ind w:left="5" w:right="1439"/>
        <w:spacing w:after="0" w:line="292" w:lineRule="auto"/>
        <w:rPr>
          <w:sz w:val="20"/>
          <w:szCs w:val="20"/>
          <w:color w:val="auto"/>
        </w:rPr>
      </w:pPr>
      <w:r>
        <w:rPr>
          <w:rFonts w:ascii="Arial" w:cs="Arial" w:eastAsia="Arial" w:hAnsi="Arial"/>
          <w:sz w:val="15"/>
          <w:szCs w:val="15"/>
          <w:color w:val="auto"/>
        </w:rPr>
        <w:t>Impaired mortgage loans held for investment include loans with a related specific valuation allowance or loans whose carrying amount has been reduced to the expected collectible amount because the impairment has been considered other than temporary. The recorded investment in and unpaid principal balance of impaired loans along with the related loan specific allowance for losses, if any, for each reporting period and the average recorded investment and interest income recognized during the time the loans were impaired were as follows:</w:t>
      </w:r>
    </w:p>
    <w:p>
      <w:pPr>
        <w:spacing w:after="0" w:line="161" w:lineRule="exact"/>
        <w:rPr>
          <w:sz w:val="20"/>
          <w:szCs w:val="20"/>
          <w:color w:val="auto"/>
        </w:rPr>
      </w:pPr>
    </w:p>
    <w:p>
      <w:pPr>
        <w:ind w:left="3485"/>
        <w:spacing w:after="0"/>
        <w:rPr>
          <w:sz w:val="20"/>
          <w:szCs w:val="20"/>
          <w:color w:val="auto"/>
        </w:rPr>
      </w:pPr>
      <w:r>
        <w:rPr>
          <w:rFonts w:ascii="Arial" w:cs="Arial" w:eastAsia="Arial" w:hAnsi="Arial"/>
          <w:sz w:val="14"/>
          <w:szCs w:val="14"/>
          <w:color w:val="auto"/>
        </w:rPr>
        <w:t>Impaired Loans</w:t>
      </w:r>
    </w:p>
    <w:p>
      <w:pPr>
        <w:spacing w:after="0" w:line="200" w:lineRule="exact"/>
        <w:rPr>
          <w:sz w:val="20"/>
          <w:szCs w:val="20"/>
          <w:color w:val="auto"/>
        </w:rPr>
      </w:pPr>
    </w:p>
    <w:p>
      <w:pPr>
        <w:spacing w:after="0" w:line="277" w:lineRule="exact"/>
        <w:rPr>
          <w:sz w:val="20"/>
          <w:szCs w:val="20"/>
          <w:color w:val="auto"/>
        </w:rPr>
      </w:pPr>
    </w:p>
    <w:tbl>
      <w:tblPr>
        <w:tblLayout w:type="fixed"/>
        <w:tblInd w:w="5" w:type="dxa"/>
        <w:tblCellMar>
          <w:top w:w="0" w:type="dxa"/>
          <w:left w:w="0" w:type="dxa"/>
          <w:bottom w:w="0" w:type="dxa"/>
          <w:right w:w="0" w:type="dxa"/>
        </w:tblCellMar>
      </w:tblPr>
      <w:tr>
        <w:trPr>
          <w:trHeight w:val="138"/>
        </w:trPr>
        <w:tc>
          <w:tcPr>
            <w:tcW w:w="2260" w:type="dxa"/>
            <w:vAlign w:val="bottom"/>
          </w:tcPr>
          <w:p>
            <w:pPr>
              <w:spacing w:after="0"/>
              <w:rPr>
                <w:sz w:val="12"/>
                <w:szCs w:val="12"/>
                <w:color w:val="auto"/>
              </w:rPr>
            </w:pPr>
          </w:p>
        </w:tc>
        <w:tc>
          <w:tcPr>
            <w:tcW w:w="1160" w:type="dxa"/>
            <w:vAlign w:val="bottom"/>
            <w:gridSpan w:val="3"/>
          </w:tcPr>
          <w:p>
            <w:pPr>
              <w:jc w:val="center"/>
              <w:ind w:right="200"/>
              <w:spacing w:after="0"/>
              <w:rPr>
                <w:sz w:val="20"/>
                <w:szCs w:val="20"/>
                <w:color w:val="auto"/>
              </w:rPr>
            </w:pPr>
            <w:r>
              <w:rPr>
                <w:rFonts w:ascii="Arial" w:cs="Arial" w:eastAsia="Arial" w:hAnsi="Arial"/>
                <w:sz w:val="12"/>
                <w:szCs w:val="12"/>
                <w:color w:val="auto"/>
                <w:w w:val="92"/>
              </w:rPr>
              <w:t>Recorded</w:t>
            </w:r>
          </w:p>
        </w:tc>
        <w:tc>
          <w:tcPr>
            <w:tcW w:w="1140" w:type="dxa"/>
            <w:vAlign w:val="bottom"/>
            <w:gridSpan w:val="3"/>
          </w:tcPr>
          <w:p>
            <w:pPr>
              <w:jc w:val="center"/>
              <w:ind w:right="160"/>
              <w:spacing w:after="0"/>
              <w:rPr>
                <w:sz w:val="20"/>
                <w:szCs w:val="20"/>
                <w:color w:val="auto"/>
              </w:rPr>
            </w:pPr>
            <w:r>
              <w:rPr>
                <w:rFonts w:ascii="Arial" w:cs="Arial" w:eastAsia="Arial" w:hAnsi="Arial"/>
                <w:sz w:val="12"/>
                <w:szCs w:val="12"/>
                <w:color w:val="auto"/>
                <w:w w:val="98"/>
              </w:rPr>
              <w:t>Unpaid Principal</w:t>
            </w:r>
          </w:p>
        </w:tc>
        <w:tc>
          <w:tcPr>
            <w:tcW w:w="280" w:type="dxa"/>
            <w:vAlign w:val="bottom"/>
          </w:tcPr>
          <w:p>
            <w:pPr>
              <w:spacing w:after="0"/>
              <w:rPr>
                <w:sz w:val="12"/>
                <w:szCs w:val="12"/>
                <w:color w:val="auto"/>
              </w:rPr>
            </w:pPr>
          </w:p>
        </w:tc>
        <w:tc>
          <w:tcPr>
            <w:tcW w:w="860" w:type="dxa"/>
            <w:vAlign w:val="bottom"/>
            <w:gridSpan w:val="2"/>
          </w:tcPr>
          <w:p>
            <w:pPr>
              <w:ind w:left="20"/>
              <w:spacing w:after="0"/>
              <w:rPr>
                <w:sz w:val="20"/>
                <w:szCs w:val="20"/>
                <w:color w:val="auto"/>
              </w:rPr>
            </w:pPr>
            <w:r>
              <w:rPr>
                <w:rFonts w:ascii="Arial" w:cs="Arial" w:eastAsia="Arial" w:hAnsi="Arial"/>
                <w:sz w:val="12"/>
                <w:szCs w:val="12"/>
                <w:color w:val="auto"/>
              </w:rPr>
              <w:t>Related</w:t>
            </w:r>
          </w:p>
        </w:tc>
        <w:tc>
          <w:tcPr>
            <w:tcW w:w="1180" w:type="dxa"/>
            <w:vAlign w:val="bottom"/>
            <w:gridSpan w:val="3"/>
          </w:tcPr>
          <w:p>
            <w:pPr>
              <w:spacing w:after="0"/>
              <w:rPr>
                <w:sz w:val="20"/>
                <w:szCs w:val="20"/>
                <w:color w:val="auto"/>
              </w:rPr>
            </w:pPr>
            <w:r>
              <w:rPr>
                <w:rFonts w:ascii="Arial" w:cs="Arial" w:eastAsia="Arial" w:hAnsi="Arial"/>
                <w:sz w:val="12"/>
                <w:szCs w:val="12"/>
                <w:color w:val="auto"/>
              </w:rPr>
              <w:t>Average Recorded</w:t>
            </w:r>
          </w:p>
        </w:tc>
        <w:tc>
          <w:tcPr>
            <w:tcW w:w="900" w:type="dxa"/>
            <w:vAlign w:val="bottom"/>
          </w:tcPr>
          <w:p>
            <w:pPr>
              <w:ind w:left="100"/>
              <w:spacing w:after="0"/>
              <w:rPr>
                <w:sz w:val="20"/>
                <w:szCs w:val="20"/>
                <w:color w:val="auto"/>
              </w:rPr>
            </w:pPr>
            <w:r>
              <w:rPr>
                <w:rFonts w:ascii="Arial" w:cs="Arial" w:eastAsia="Arial" w:hAnsi="Arial"/>
                <w:sz w:val="12"/>
                <w:szCs w:val="12"/>
                <w:color w:val="auto"/>
                <w:w w:val="94"/>
              </w:rPr>
              <w:t>Interest Income</w:t>
            </w:r>
          </w:p>
        </w:tc>
        <w:tc>
          <w:tcPr>
            <w:tcW w:w="80" w:type="dxa"/>
            <w:vAlign w:val="bottom"/>
          </w:tcPr>
          <w:p>
            <w:pPr>
              <w:spacing w:after="0"/>
              <w:rPr>
                <w:sz w:val="12"/>
                <w:szCs w:val="12"/>
                <w:color w:val="auto"/>
              </w:rPr>
            </w:pPr>
          </w:p>
        </w:tc>
      </w:tr>
      <w:tr>
        <w:trPr>
          <w:trHeight w:val="156"/>
        </w:trPr>
        <w:tc>
          <w:tcPr>
            <w:tcW w:w="2260" w:type="dxa"/>
            <w:vAlign w:val="bottom"/>
          </w:tcPr>
          <w:p>
            <w:pPr>
              <w:spacing w:after="0"/>
              <w:rPr>
                <w:sz w:val="13"/>
                <w:szCs w:val="13"/>
                <w:color w:val="auto"/>
              </w:rPr>
            </w:pPr>
          </w:p>
        </w:tc>
        <w:tc>
          <w:tcPr>
            <w:tcW w:w="1160" w:type="dxa"/>
            <w:vAlign w:val="bottom"/>
            <w:gridSpan w:val="3"/>
          </w:tcPr>
          <w:p>
            <w:pPr>
              <w:jc w:val="center"/>
              <w:ind w:right="200"/>
              <w:spacing w:after="0"/>
              <w:rPr>
                <w:sz w:val="20"/>
                <w:szCs w:val="20"/>
                <w:color w:val="auto"/>
              </w:rPr>
            </w:pPr>
            <w:r>
              <w:rPr>
                <w:rFonts w:ascii="Arial" w:cs="Arial" w:eastAsia="Arial" w:hAnsi="Arial"/>
                <w:sz w:val="12"/>
                <w:szCs w:val="12"/>
                <w:color w:val="auto"/>
                <w:w w:val="95"/>
              </w:rPr>
              <w:t>Investment</w:t>
            </w:r>
          </w:p>
        </w:tc>
        <w:tc>
          <w:tcPr>
            <w:tcW w:w="280" w:type="dxa"/>
            <w:vAlign w:val="bottom"/>
          </w:tcPr>
          <w:p>
            <w:pPr>
              <w:spacing w:after="0"/>
              <w:rPr>
                <w:sz w:val="13"/>
                <w:szCs w:val="13"/>
                <w:color w:val="auto"/>
              </w:rPr>
            </w:pPr>
          </w:p>
        </w:tc>
        <w:tc>
          <w:tcPr>
            <w:tcW w:w="860" w:type="dxa"/>
            <w:vAlign w:val="bottom"/>
            <w:gridSpan w:val="2"/>
          </w:tcPr>
          <w:p>
            <w:pPr>
              <w:jc w:val="center"/>
              <w:ind w:right="460"/>
              <w:spacing w:after="0"/>
              <w:rPr>
                <w:sz w:val="20"/>
                <w:szCs w:val="20"/>
                <w:color w:val="auto"/>
              </w:rPr>
            </w:pPr>
            <w:r>
              <w:rPr>
                <w:rFonts w:ascii="Arial" w:cs="Arial" w:eastAsia="Arial" w:hAnsi="Arial"/>
                <w:sz w:val="12"/>
                <w:szCs w:val="12"/>
                <w:color w:val="auto"/>
                <w:w w:val="92"/>
              </w:rPr>
              <w:t>Balance</w:t>
            </w:r>
          </w:p>
        </w:tc>
        <w:tc>
          <w:tcPr>
            <w:tcW w:w="1140" w:type="dxa"/>
            <w:vAlign w:val="bottom"/>
            <w:gridSpan w:val="3"/>
          </w:tcPr>
          <w:p>
            <w:pPr>
              <w:ind w:left="220"/>
              <w:spacing w:after="0"/>
              <w:rPr>
                <w:sz w:val="20"/>
                <w:szCs w:val="20"/>
                <w:color w:val="auto"/>
              </w:rPr>
            </w:pPr>
            <w:r>
              <w:rPr>
                <w:rFonts w:ascii="Arial" w:cs="Arial" w:eastAsia="Arial" w:hAnsi="Arial"/>
                <w:sz w:val="12"/>
                <w:szCs w:val="12"/>
                <w:color w:val="auto"/>
              </w:rPr>
              <w:t>Allowance</w:t>
            </w:r>
          </w:p>
        </w:tc>
        <w:tc>
          <w:tcPr>
            <w:tcW w:w="1180" w:type="dxa"/>
            <w:vAlign w:val="bottom"/>
            <w:gridSpan w:val="3"/>
          </w:tcPr>
          <w:p>
            <w:pPr>
              <w:ind w:left="200"/>
              <w:spacing w:after="0"/>
              <w:rPr>
                <w:sz w:val="20"/>
                <w:szCs w:val="20"/>
                <w:color w:val="auto"/>
              </w:rPr>
            </w:pPr>
            <w:r>
              <w:rPr>
                <w:rFonts w:ascii="Arial" w:cs="Arial" w:eastAsia="Arial" w:hAnsi="Arial"/>
                <w:sz w:val="12"/>
                <w:szCs w:val="12"/>
                <w:color w:val="auto"/>
              </w:rPr>
              <w:t>Investment</w:t>
            </w:r>
          </w:p>
        </w:tc>
        <w:tc>
          <w:tcPr>
            <w:tcW w:w="900" w:type="dxa"/>
            <w:vAlign w:val="bottom"/>
          </w:tcPr>
          <w:p>
            <w:pPr>
              <w:ind w:left="180"/>
              <w:spacing w:after="0"/>
              <w:rPr>
                <w:sz w:val="20"/>
                <w:szCs w:val="20"/>
                <w:color w:val="auto"/>
              </w:rPr>
            </w:pPr>
            <w:r>
              <w:rPr>
                <w:rFonts w:ascii="Arial" w:cs="Arial" w:eastAsia="Arial" w:hAnsi="Arial"/>
                <w:sz w:val="12"/>
                <w:szCs w:val="12"/>
                <w:color w:val="auto"/>
              </w:rPr>
              <w:t>Recognized</w:t>
            </w:r>
          </w:p>
        </w:tc>
        <w:tc>
          <w:tcPr>
            <w:tcW w:w="80" w:type="dxa"/>
            <w:vAlign w:val="bottom"/>
          </w:tcPr>
          <w:p>
            <w:pPr>
              <w:spacing w:after="0"/>
              <w:rPr>
                <w:sz w:val="13"/>
                <w:szCs w:val="13"/>
                <w:color w:val="auto"/>
              </w:rPr>
            </w:pPr>
          </w:p>
        </w:tc>
      </w:tr>
      <w:tr>
        <w:trPr>
          <w:trHeight w:val="194"/>
        </w:trPr>
        <w:tc>
          <w:tcPr>
            <w:tcW w:w="2260" w:type="dxa"/>
            <w:vAlign w:val="bottom"/>
          </w:tcPr>
          <w:p>
            <w:pPr>
              <w:spacing w:after="0"/>
              <w:rPr>
                <w:sz w:val="20"/>
                <w:szCs w:val="20"/>
                <w:color w:val="auto"/>
              </w:rPr>
            </w:pPr>
            <w:r>
              <w:rPr>
                <w:rFonts w:ascii="Arial" w:cs="Arial" w:eastAsia="Arial" w:hAnsi="Arial"/>
                <w:sz w:val="14"/>
                <w:szCs w:val="14"/>
                <w:b w:val="1"/>
                <w:bCs w:val="1"/>
                <w:color w:val="auto"/>
              </w:rPr>
              <w:t>March 31, 2020</w:t>
            </w:r>
          </w:p>
        </w:tc>
        <w:tc>
          <w:tcPr>
            <w:tcW w:w="3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r>
      <w:tr>
        <w:trPr>
          <w:trHeight w:val="219"/>
        </w:trPr>
        <w:tc>
          <w:tcPr>
            <w:tcW w:w="2260" w:type="dxa"/>
            <w:vAlign w:val="bottom"/>
            <w:shd w:val="clear" w:color="auto" w:fill="CCEEFF"/>
          </w:tcPr>
          <w:p>
            <w:pPr>
              <w:spacing w:after="0"/>
              <w:rPr>
                <w:sz w:val="20"/>
                <w:szCs w:val="20"/>
                <w:color w:val="auto"/>
              </w:rPr>
            </w:pPr>
            <w:r>
              <w:rPr>
                <w:rFonts w:ascii="Arial" w:cs="Arial" w:eastAsia="Arial" w:hAnsi="Arial"/>
                <w:sz w:val="14"/>
                <w:szCs w:val="14"/>
                <w:color w:val="auto"/>
              </w:rPr>
              <w:t>With no related allowance recorded:</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191"/>
        </w:trPr>
        <w:tc>
          <w:tcPr>
            <w:tcW w:w="2260" w:type="dxa"/>
            <w:vAlign w:val="bottom"/>
          </w:tcPr>
          <w:p>
            <w:pPr>
              <w:ind w:left="80"/>
              <w:spacing w:after="0"/>
              <w:rPr>
                <w:sz w:val="20"/>
                <w:szCs w:val="20"/>
                <w:color w:val="auto"/>
              </w:rPr>
            </w:pPr>
            <w:r>
              <w:rPr>
                <w:rFonts w:ascii="Arial" w:cs="Arial" w:eastAsia="Arial" w:hAnsi="Arial"/>
                <w:sz w:val="14"/>
                <w:szCs w:val="14"/>
                <w:color w:val="auto"/>
              </w:rPr>
              <w:t>Commercial</w:t>
            </w:r>
          </w:p>
        </w:tc>
        <w:tc>
          <w:tcPr>
            <w:tcW w:w="3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864,719</w:t>
            </w:r>
          </w:p>
        </w:tc>
        <w:tc>
          <w:tcPr>
            <w:tcW w:w="2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864,719</w:t>
            </w:r>
          </w:p>
        </w:tc>
        <w:tc>
          <w:tcPr>
            <w:tcW w:w="160" w:type="dxa"/>
            <w:vAlign w:val="bottom"/>
          </w:tcPr>
          <w:p>
            <w:pPr>
              <w:spacing w:after="0"/>
              <w:rPr>
                <w:sz w:val="16"/>
                <w:szCs w:val="16"/>
                <w:color w:val="auto"/>
              </w:rPr>
            </w:pPr>
          </w:p>
        </w:tc>
        <w:tc>
          <w:tcPr>
            <w:tcW w:w="280" w:type="dxa"/>
            <w:vAlign w:val="bottom"/>
          </w:tcPr>
          <w:p>
            <w:pPr>
              <w:ind w:left="200"/>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3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864,719</w:t>
            </w:r>
          </w:p>
        </w:tc>
        <w:tc>
          <w:tcPr>
            <w:tcW w:w="240" w:type="dxa"/>
            <w:vAlign w:val="bottom"/>
          </w:tcPr>
          <w:p>
            <w:pPr>
              <w:spacing w:after="0"/>
              <w:rPr>
                <w:sz w:val="16"/>
                <w:szCs w:val="16"/>
                <w:color w:val="auto"/>
              </w:rPr>
            </w:pPr>
          </w:p>
        </w:tc>
        <w:tc>
          <w:tcPr>
            <w:tcW w:w="900" w:type="dxa"/>
            <w:vAlign w:val="bottom"/>
          </w:tcPr>
          <w:p>
            <w:pPr>
              <w:ind w:left="1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84"/>
              </w:rPr>
              <w:t>-</w:t>
            </w:r>
          </w:p>
        </w:tc>
      </w:tr>
      <w:tr>
        <w:trPr>
          <w:trHeight w:val="207"/>
        </w:trPr>
        <w:tc>
          <w:tcPr>
            <w:tcW w:w="2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Residential</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2,231,530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2,231,530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2,231,530</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4"/>
              </w:rPr>
              <w:t>-</w:t>
            </w:r>
          </w:p>
        </w:tc>
      </w:tr>
      <w:tr>
        <w:trPr>
          <w:trHeight w:val="191"/>
        </w:trPr>
        <w:tc>
          <w:tcPr>
            <w:tcW w:w="2260" w:type="dxa"/>
            <w:vAlign w:val="bottom"/>
          </w:tcPr>
          <w:p>
            <w:pPr>
              <w:ind w:left="80"/>
              <w:spacing w:after="0"/>
              <w:rPr>
                <w:sz w:val="20"/>
                <w:szCs w:val="20"/>
                <w:color w:val="auto"/>
              </w:rPr>
            </w:pPr>
            <w:r>
              <w:rPr>
                <w:rFonts w:ascii="Arial" w:cs="Arial" w:eastAsia="Arial" w:hAnsi="Arial"/>
                <w:sz w:val="14"/>
                <w:szCs w:val="14"/>
                <w:color w:val="auto"/>
              </w:rPr>
              <w:t>Residential construction</w:t>
            </w: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84"/>
              </w:rPr>
              <w:t>-</w:t>
            </w:r>
          </w:p>
        </w:tc>
      </w:tr>
      <w:tr>
        <w:trPr>
          <w:trHeight w:val="219"/>
        </w:trPr>
        <w:tc>
          <w:tcPr>
            <w:tcW w:w="2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02"/>
        </w:trPr>
        <w:tc>
          <w:tcPr>
            <w:tcW w:w="2260" w:type="dxa"/>
            <w:vAlign w:val="bottom"/>
          </w:tcPr>
          <w:p>
            <w:pPr>
              <w:spacing w:after="0"/>
              <w:rPr>
                <w:sz w:val="20"/>
                <w:szCs w:val="20"/>
                <w:color w:val="auto"/>
              </w:rPr>
            </w:pPr>
            <w:r>
              <w:rPr>
                <w:rFonts w:ascii="Arial" w:cs="Arial" w:eastAsia="Arial" w:hAnsi="Arial"/>
                <w:sz w:val="14"/>
                <w:szCs w:val="14"/>
                <w:color w:val="auto"/>
              </w:rPr>
              <w:t>With an allowance recorded:</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7"/>
        </w:trPr>
        <w:tc>
          <w:tcPr>
            <w:tcW w:w="2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Commercial</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ind w:left="200"/>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4"/>
              </w:rPr>
              <w:t>-</w:t>
            </w:r>
          </w:p>
        </w:tc>
      </w:tr>
      <w:tr>
        <w:trPr>
          <w:trHeight w:val="191"/>
        </w:trPr>
        <w:tc>
          <w:tcPr>
            <w:tcW w:w="2260" w:type="dxa"/>
            <w:vAlign w:val="bottom"/>
          </w:tcPr>
          <w:p>
            <w:pPr>
              <w:ind w:left="80"/>
              <w:spacing w:after="0"/>
              <w:rPr>
                <w:sz w:val="20"/>
                <w:szCs w:val="20"/>
                <w:color w:val="auto"/>
              </w:rPr>
            </w:pPr>
            <w:r>
              <w:rPr>
                <w:rFonts w:ascii="Arial" w:cs="Arial" w:eastAsia="Arial" w:hAnsi="Arial"/>
                <w:sz w:val="14"/>
                <w:szCs w:val="14"/>
                <w:color w:val="auto"/>
              </w:rPr>
              <w:t>Residential</w:t>
            </w: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6"/>
              </w:rPr>
              <w:t>2,305,311</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2,305,311</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345,913</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6"/>
              </w:rPr>
              <w:t>2,305,311</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84"/>
              </w:rPr>
              <w:t>-</w:t>
            </w:r>
          </w:p>
        </w:tc>
      </w:tr>
      <w:tr>
        <w:trPr>
          <w:trHeight w:val="207"/>
        </w:trPr>
        <w:tc>
          <w:tcPr>
            <w:tcW w:w="2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Residential construction</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4"/>
              </w:rPr>
              <w:t>-</w:t>
            </w:r>
          </w:p>
        </w:tc>
      </w:tr>
      <w:tr>
        <w:trPr>
          <w:trHeight w:val="210"/>
        </w:trPr>
        <w:tc>
          <w:tcPr>
            <w:tcW w:w="2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2260" w:type="dxa"/>
            <w:vAlign w:val="bottom"/>
            <w:shd w:val="clear" w:color="auto" w:fill="CCEEFF"/>
          </w:tcPr>
          <w:p>
            <w:pPr>
              <w:spacing w:after="0"/>
              <w:rPr>
                <w:sz w:val="20"/>
                <w:szCs w:val="20"/>
                <w:color w:val="auto"/>
              </w:rPr>
            </w:pPr>
            <w:r>
              <w:rPr>
                <w:rFonts w:ascii="Arial" w:cs="Arial" w:eastAsia="Arial" w:hAnsi="Arial"/>
                <w:sz w:val="14"/>
                <w:szCs w:val="14"/>
                <w:color w:val="auto"/>
              </w:rPr>
              <w:t>Total:</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1"/>
        </w:trPr>
        <w:tc>
          <w:tcPr>
            <w:tcW w:w="2260" w:type="dxa"/>
            <w:vAlign w:val="bottom"/>
          </w:tcPr>
          <w:p>
            <w:pPr>
              <w:ind w:left="80"/>
              <w:spacing w:after="0"/>
              <w:rPr>
                <w:sz w:val="20"/>
                <w:szCs w:val="20"/>
                <w:color w:val="auto"/>
              </w:rPr>
            </w:pPr>
            <w:r>
              <w:rPr>
                <w:rFonts w:ascii="Arial" w:cs="Arial" w:eastAsia="Arial" w:hAnsi="Arial"/>
                <w:sz w:val="14"/>
                <w:szCs w:val="14"/>
                <w:color w:val="auto"/>
              </w:rPr>
              <w:t>Commercial</w:t>
            </w:r>
          </w:p>
        </w:tc>
        <w:tc>
          <w:tcPr>
            <w:tcW w:w="3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864,719</w:t>
            </w:r>
          </w:p>
        </w:tc>
        <w:tc>
          <w:tcPr>
            <w:tcW w:w="2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864,719</w:t>
            </w:r>
          </w:p>
        </w:tc>
        <w:tc>
          <w:tcPr>
            <w:tcW w:w="160" w:type="dxa"/>
            <w:vAlign w:val="bottom"/>
          </w:tcPr>
          <w:p>
            <w:pPr>
              <w:spacing w:after="0"/>
              <w:rPr>
                <w:sz w:val="16"/>
                <w:szCs w:val="16"/>
                <w:color w:val="auto"/>
              </w:rPr>
            </w:pPr>
          </w:p>
        </w:tc>
        <w:tc>
          <w:tcPr>
            <w:tcW w:w="280" w:type="dxa"/>
            <w:vAlign w:val="bottom"/>
          </w:tcPr>
          <w:p>
            <w:pPr>
              <w:ind w:left="200"/>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3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864,719</w:t>
            </w:r>
          </w:p>
        </w:tc>
        <w:tc>
          <w:tcPr>
            <w:tcW w:w="240" w:type="dxa"/>
            <w:vAlign w:val="bottom"/>
          </w:tcPr>
          <w:p>
            <w:pPr>
              <w:spacing w:after="0"/>
              <w:rPr>
                <w:sz w:val="16"/>
                <w:szCs w:val="16"/>
                <w:color w:val="auto"/>
              </w:rPr>
            </w:pPr>
          </w:p>
        </w:tc>
        <w:tc>
          <w:tcPr>
            <w:tcW w:w="900" w:type="dxa"/>
            <w:vAlign w:val="bottom"/>
          </w:tcPr>
          <w:p>
            <w:pPr>
              <w:ind w:left="1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84"/>
              </w:rPr>
              <w:t>-</w:t>
            </w:r>
          </w:p>
        </w:tc>
      </w:tr>
      <w:tr>
        <w:trPr>
          <w:trHeight w:val="207"/>
        </w:trPr>
        <w:tc>
          <w:tcPr>
            <w:tcW w:w="2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Residential</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4,536,841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4,536,841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345,913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4,536,841</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4"/>
              </w:rPr>
              <w:t>-</w:t>
            </w:r>
          </w:p>
        </w:tc>
      </w:tr>
      <w:tr>
        <w:trPr>
          <w:trHeight w:val="191"/>
        </w:trPr>
        <w:tc>
          <w:tcPr>
            <w:tcW w:w="2260" w:type="dxa"/>
            <w:vAlign w:val="bottom"/>
          </w:tcPr>
          <w:p>
            <w:pPr>
              <w:ind w:left="80"/>
              <w:spacing w:after="0"/>
              <w:rPr>
                <w:sz w:val="20"/>
                <w:szCs w:val="20"/>
                <w:color w:val="auto"/>
              </w:rPr>
            </w:pPr>
            <w:r>
              <w:rPr>
                <w:rFonts w:ascii="Arial" w:cs="Arial" w:eastAsia="Arial" w:hAnsi="Arial"/>
                <w:sz w:val="14"/>
                <w:szCs w:val="14"/>
                <w:color w:val="auto"/>
              </w:rPr>
              <w:t>Residential construction</w:t>
            </w: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84"/>
              </w:rPr>
              <w:t>-</w:t>
            </w:r>
          </w:p>
        </w:tc>
      </w:tr>
      <w:tr>
        <w:trPr>
          <w:trHeight w:val="219"/>
        </w:trPr>
        <w:tc>
          <w:tcPr>
            <w:tcW w:w="2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02"/>
        </w:trPr>
        <w:tc>
          <w:tcPr>
            <w:tcW w:w="2260" w:type="dxa"/>
            <w:vAlign w:val="bottom"/>
          </w:tcPr>
          <w:p>
            <w:pPr>
              <w:spacing w:after="0"/>
              <w:rPr>
                <w:sz w:val="20"/>
                <w:szCs w:val="20"/>
                <w:color w:val="auto"/>
              </w:rPr>
            </w:pPr>
            <w:r>
              <w:rPr>
                <w:rFonts w:ascii="Arial" w:cs="Arial" w:eastAsia="Arial" w:hAnsi="Arial"/>
                <w:sz w:val="14"/>
                <w:szCs w:val="14"/>
                <w:b w:val="1"/>
                <w:bCs w:val="1"/>
                <w:color w:val="auto"/>
              </w:rPr>
              <w:t>December 31, 2019</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9"/>
        </w:trPr>
        <w:tc>
          <w:tcPr>
            <w:tcW w:w="2260" w:type="dxa"/>
            <w:vAlign w:val="bottom"/>
            <w:shd w:val="clear" w:color="auto" w:fill="CCEEFF"/>
          </w:tcPr>
          <w:p>
            <w:pPr>
              <w:spacing w:after="0"/>
              <w:rPr>
                <w:sz w:val="20"/>
                <w:szCs w:val="20"/>
                <w:color w:val="auto"/>
              </w:rPr>
            </w:pPr>
            <w:r>
              <w:rPr>
                <w:rFonts w:ascii="Arial" w:cs="Arial" w:eastAsia="Arial" w:hAnsi="Arial"/>
                <w:sz w:val="14"/>
                <w:szCs w:val="14"/>
                <w:color w:val="auto"/>
              </w:rPr>
              <w:t>With no related allowance recorded:</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191"/>
        </w:trPr>
        <w:tc>
          <w:tcPr>
            <w:tcW w:w="2260" w:type="dxa"/>
            <w:vAlign w:val="bottom"/>
          </w:tcPr>
          <w:p>
            <w:pPr>
              <w:ind w:left="80"/>
              <w:spacing w:after="0"/>
              <w:rPr>
                <w:sz w:val="20"/>
                <w:szCs w:val="20"/>
                <w:color w:val="auto"/>
              </w:rPr>
            </w:pPr>
            <w:r>
              <w:rPr>
                <w:rFonts w:ascii="Arial" w:cs="Arial" w:eastAsia="Arial" w:hAnsi="Arial"/>
                <w:sz w:val="14"/>
                <w:szCs w:val="14"/>
                <w:color w:val="auto"/>
              </w:rPr>
              <w:t>Commercial</w:t>
            </w:r>
          </w:p>
        </w:tc>
        <w:tc>
          <w:tcPr>
            <w:tcW w:w="3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6"/>
              </w:rPr>
              <w:t>4,488,719</w:t>
            </w:r>
          </w:p>
        </w:tc>
        <w:tc>
          <w:tcPr>
            <w:tcW w:w="2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4,488,719</w:t>
            </w:r>
          </w:p>
        </w:tc>
        <w:tc>
          <w:tcPr>
            <w:tcW w:w="160" w:type="dxa"/>
            <w:vAlign w:val="bottom"/>
          </w:tcPr>
          <w:p>
            <w:pPr>
              <w:spacing w:after="0"/>
              <w:rPr>
                <w:sz w:val="16"/>
                <w:szCs w:val="16"/>
                <w:color w:val="auto"/>
              </w:rPr>
            </w:pPr>
          </w:p>
        </w:tc>
        <w:tc>
          <w:tcPr>
            <w:tcW w:w="280" w:type="dxa"/>
            <w:vAlign w:val="bottom"/>
          </w:tcPr>
          <w:p>
            <w:pPr>
              <w:ind w:left="200"/>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3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1,499,043</w:t>
            </w:r>
          </w:p>
        </w:tc>
        <w:tc>
          <w:tcPr>
            <w:tcW w:w="240" w:type="dxa"/>
            <w:vAlign w:val="bottom"/>
          </w:tcPr>
          <w:p>
            <w:pPr>
              <w:spacing w:after="0"/>
              <w:rPr>
                <w:sz w:val="16"/>
                <w:szCs w:val="16"/>
                <w:color w:val="auto"/>
              </w:rPr>
            </w:pPr>
          </w:p>
        </w:tc>
        <w:tc>
          <w:tcPr>
            <w:tcW w:w="900" w:type="dxa"/>
            <w:vAlign w:val="bottom"/>
          </w:tcPr>
          <w:p>
            <w:pPr>
              <w:ind w:left="1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84"/>
              </w:rPr>
              <w:t>-</w:t>
            </w:r>
          </w:p>
        </w:tc>
      </w:tr>
      <w:tr>
        <w:trPr>
          <w:trHeight w:val="207"/>
        </w:trPr>
        <w:tc>
          <w:tcPr>
            <w:tcW w:w="2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Residential</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2,254,189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2,254,189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3,367,151</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4"/>
              </w:rPr>
              <w:t>-</w:t>
            </w:r>
          </w:p>
        </w:tc>
      </w:tr>
      <w:tr>
        <w:trPr>
          <w:trHeight w:val="191"/>
        </w:trPr>
        <w:tc>
          <w:tcPr>
            <w:tcW w:w="2260" w:type="dxa"/>
            <w:vAlign w:val="bottom"/>
          </w:tcPr>
          <w:p>
            <w:pPr>
              <w:ind w:left="80"/>
              <w:spacing w:after="0"/>
              <w:rPr>
                <w:sz w:val="20"/>
                <w:szCs w:val="20"/>
                <w:color w:val="auto"/>
              </w:rPr>
            </w:pPr>
            <w:r>
              <w:rPr>
                <w:rFonts w:ascii="Arial" w:cs="Arial" w:eastAsia="Arial" w:hAnsi="Arial"/>
                <w:sz w:val="14"/>
                <w:szCs w:val="14"/>
                <w:color w:val="auto"/>
              </w:rPr>
              <w:t>Residential construction</w:t>
            </w: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655,000</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655,000</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6"/>
              </w:rPr>
              <w:t>1,457,278</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84"/>
              </w:rPr>
              <w:t>-</w:t>
            </w:r>
          </w:p>
        </w:tc>
      </w:tr>
      <w:tr>
        <w:trPr>
          <w:trHeight w:val="219"/>
        </w:trPr>
        <w:tc>
          <w:tcPr>
            <w:tcW w:w="2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02"/>
        </w:trPr>
        <w:tc>
          <w:tcPr>
            <w:tcW w:w="2260" w:type="dxa"/>
            <w:vAlign w:val="bottom"/>
          </w:tcPr>
          <w:p>
            <w:pPr>
              <w:spacing w:after="0"/>
              <w:rPr>
                <w:sz w:val="20"/>
                <w:szCs w:val="20"/>
                <w:color w:val="auto"/>
              </w:rPr>
            </w:pPr>
            <w:r>
              <w:rPr>
                <w:rFonts w:ascii="Arial" w:cs="Arial" w:eastAsia="Arial" w:hAnsi="Arial"/>
                <w:sz w:val="14"/>
                <w:szCs w:val="14"/>
                <w:color w:val="auto"/>
              </w:rPr>
              <w:t>With an allowance recorded:</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7"/>
        </w:trPr>
        <w:tc>
          <w:tcPr>
            <w:tcW w:w="2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Commercial</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ind w:left="200"/>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4"/>
              </w:rPr>
              <w:t>-</w:t>
            </w:r>
          </w:p>
        </w:tc>
      </w:tr>
      <w:tr>
        <w:trPr>
          <w:trHeight w:val="191"/>
        </w:trPr>
        <w:tc>
          <w:tcPr>
            <w:tcW w:w="2260" w:type="dxa"/>
            <w:vAlign w:val="bottom"/>
          </w:tcPr>
          <w:p>
            <w:pPr>
              <w:ind w:left="80"/>
              <w:spacing w:after="0"/>
              <w:rPr>
                <w:sz w:val="20"/>
                <w:szCs w:val="20"/>
                <w:color w:val="auto"/>
              </w:rPr>
            </w:pPr>
            <w:r>
              <w:rPr>
                <w:rFonts w:ascii="Arial" w:cs="Arial" w:eastAsia="Arial" w:hAnsi="Arial"/>
                <w:sz w:val="14"/>
                <w:szCs w:val="14"/>
                <w:color w:val="auto"/>
              </w:rPr>
              <w:t>Residential</w:t>
            </w: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6"/>
              </w:rPr>
              <w:t>1,498,018</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1,498,018</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195,993</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665,270</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84"/>
              </w:rPr>
              <w:t>-</w:t>
            </w:r>
          </w:p>
        </w:tc>
      </w:tr>
      <w:tr>
        <w:trPr>
          <w:trHeight w:val="207"/>
        </w:trPr>
        <w:tc>
          <w:tcPr>
            <w:tcW w:w="2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Residential construction</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4"/>
              </w:rPr>
              <w:t>-</w:t>
            </w:r>
          </w:p>
        </w:tc>
      </w:tr>
      <w:tr>
        <w:trPr>
          <w:trHeight w:val="210"/>
        </w:trPr>
        <w:tc>
          <w:tcPr>
            <w:tcW w:w="2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2260" w:type="dxa"/>
            <w:vAlign w:val="bottom"/>
            <w:shd w:val="clear" w:color="auto" w:fill="CCEEFF"/>
          </w:tcPr>
          <w:p>
            <w:pPr>
              <w:spacing w:after="0"/>
              <w:rPr>
                <w:sz w:val="20"/>
                <w:szCs w:val="20"/>
                <w:color w:val="auto"/>
              </w:rPr>
            </w:pPr>
            <w:r>
              <w:rPr>
                <w:rFonts w:ascii="Arial" w:cs="Arial" w:eastAsia="Arial" w:hAnsi="Arial"/>
                <w:sz w:val="14"/>
                <w:szCs w:val="14"/>
                <w:color w:val="auto"/>
              </w:rPr>
              <w:t>Total:</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1"/>
        </w:trPr>
        <w:tc>
          <w:tcPr>
            <w:tcW w:w="2260" w:type="dxa"/>
            <w:vAlign w:val="bottom"/>
          </w:tcPr>
          <w:p>
            <w:pPr>
              <w:ind w:left="80"/>
              <w:spacing w:after="0"/>
              <w:rPr>
                <w:sz w:val="20"/>
                <w:szCs w:val="20"/>
                <w:color w:val="auto"/>
              </w:rPr>
            </w:pPr>
            <w:r>
              <w:rPr>
                <w:rFonts w:ascii="Arial" w:cs="Arial" w:eastAsia="Arial" w:hAnsi="Arial"/>
                <w:sz w:val="14"/>
                <w:szCs w:val="14"/>
                <w:color w:val="auto"/>
              </w:rPr>
              <w:t>Commercial</w:t>
            </w:r>
          </w:p>
        </w:tc>
        <w:tc>
          <w:tcPr>
            <w:tcW w:w="3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6"/>
              </w:rPr>
              <w:t>4,488,719</w:t>
            </w:r>
          </w:p>
        </w:tc>
        <w:tc>
          <w:tcPr>
            <w:tcW w:w="2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4,488,719</w:t>
            </w:r>
          </w:p>
        </w:tc>
        <w:tc>
          <w:tcPr>
            <w:tcW w:w="160" w:type="dxa"/>
            <w:vAlign w:val="bottom"/>
          </w:tcPr>
          <w:p>
            <w:pPr>
              <w:spacing w:after="0"/>
              <w:rPr>
                <w:sz w:val="16"/>
                <w:szCs w:val="16"/>
                <w:color w:val="auto"/>
              </w:rPr>
            </w:pPr>
          </w:p>
        </w:tc>
        <w:tc>
          <w:tcPr>
            <w:tcW w:w="280" w:type="dxa"/>
            <w:vAlign w:val="bottom"/>
          </w:tcPr>
          <w:p>
            <w:pPr>
              <w:ind w:left="200"/>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3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1,499,043</w:t>
            </w:r>
          </w:p>
        </w:tc>
        <w:tc>
          <w:tcPr>
            <w:tcW w:w="240" w:type="dxa"/>
            <w:vAlign w:val="bottom"/>
          </w:tcPr>
          <w:p>
            <w:pPr>
              <w:spacing w:after="0"/>
              <w:rPr>
                <w:sz w:val="16"/>
                <w:szCs w:val="16"/>
                <w:color w:val="auto"/>
              </w:rPr>
            </w:pPr>
          </w:p>
        </w:tc>
        <w:tc>
          <w:tcPr>
            <w:tcW w:w="900" w:type="dxa"/>
            <w:vAlign w:val="bottom"/>
          </w:tcPr>
          <w:p>
            <w:pPr>
              <w:ind w:left="1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84"/>
              </w:rPr>
              <w:t>-</w:t>
            </w:r>
          </w:p>
        </w:tc>
      </w:tr>
      <w:tr>
        <w:trPr>
          <w:trHeight w:val="207"/>
        </w:trPr>
        <w:tc>
          <w:tcPr>
            <w:tcW w:w="2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Residential</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3,752,207</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3,752,207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195,993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4,032,421</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4"/>
              </w:rPr>
              <w:t>-</w:t>
            </w:r>
          </w:p>
        </w:tc>
      </w:tr>
      <w:tr>
        <w:trPr>
          <w:trHeight w:val="182"/>
        </w:trPr>
        <w:tc>
          <w:tcPr>
            <w:tcW w:w="2260" w:type="dxa"/>
            <w:vAlign w:val="bottom"/>
          </w:tcPr>
          <w:p>
            <w:pPr>
              <w:ind w:left="80"/>
              <w:spacing w:after="0"/>
              <w:rPr>
                <w:sz w:val="20"/>
                <w:szCs w:val="20"/>
                <w:color w:val="auto"/>
              </w:rPr>
            </w:pPr>
            <w:r>
              <w:rPr>
                <w:rFonts w:ascii="Arial" w:cs="Arial" w:eastAsia="Arial" w:hAnsi="Arial"/>
                <w:sz w:val="14"/>
                <w:szCs w:val="14"/>
                <w:color w:val="auto"/>
              </w:rPr>
              <w:t>Residential construction</w:t>
            </w:r>
          </w:p>
        </w:tc>
        <w:tc>
          <w:tcPr>
            <w:tcW w:w="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655,000</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655,000</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6"/>
              </w:rPr>
              <w:t>1,457,278</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84"/>
              </w:rPr>
              <w:t>-</w:t>
            </w:r>
          </w:p>
        </w:tc>
      </w:tr>
    </w:tbl>
    <w:p>
      <w:pPr>
        <w:spacing w:after="0" w:line="212" w:lineRule="exact"/>
        <w:rPr>
          <w:sz w:val="20"/>
          <w:szCs w:val="20"/>
          <w:color w:val="auto"/>
        </w:rPr>
      </w:pPr>
    </w:p>
    <w:p>
      <w:pPr>
        <w:ind w:left="3845"/>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498983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89830" cy="29845"/>
                    </a:xfrm>
                    <a:prstGeom prst="rect">
                      <a:avLst/>
                    </a:prstGeom>
                    <a:noFill/>
                  </pic:spPr>
                </pic:pic>
              </a:graphicData>
            </a:graphic>
          </wp:anchor>
        </w:drawing>
      </w:r>
    </w:p>
    <w:p>
      <w:pPr>
        <w:sectPr>
          <w:pgSz w:w="11900" w:h="16838" w:orient="portrait"/>
          <w:cols w:equalWidth="0" w:num="1">
            <w:col w:w="9304"/>
          </w:cols>
          <w:pgMar w:left="1155" w:top="324" w:right="1440" w:bottom="1440" w:gutter="0" w:footer="0" w:header="0"/>
        </w:sectPr>
      </w:pPr>
    </w:p>
    <w:bookmarkStart w:id="23" w:name="page24"/>
    <w:bookmarkEnd w:id="23"/>
    <w:p>
      <w:pPr>
        <w:jc w:val="center"/>
        <w:ind w:left="1160" w:right="1140"/>
        <w:spacing w:after="0" w:line="257" w:lineRule="auto"/>
        <w:rPr>
          <w:sz w:val="20"/>
          <w:szCs w:val="20"/>
          <w:color w:val="auto"/>
        </w:rPr>
      </w:pPr>
      <w:r>
        <w:rPr>
          <w:rFonts w:ascii="Arial" w:cs="Arial" w:eastAsia="Arial" w:hAnsi="Arial"/>
          <w:sz w:val="17"/>
          <w:szCs w:val="17"/>
          <w:color w:val="auto"/>
        </w:rPr>
        <w:t>SECURITY NATIONAL FINANCIAL CORPORATION AND SUBSIDIARIES Notes to Condensed Consolidated Financial Statements March 31, 2020 (Unaudited)</w:t>
      </w:r>
    </w:p>
    <w:p>
      <w:pPr>
        <w:spacing w:after="0" w:line="97" w:lineRule="exact"/>
        <w:rPr>
          <w:sz w:val="20"/>
          <w:szCs w:val="20"/>
          <w:color w:val="auto"/>
        </w:rPr>
      </w:pPr>
    </w:p>
    <w:p>
      <w:pPr>
        <w:ind w:left="425" w:hanging="425"/>
        <w:spacing w:after="0"/>
        <w:tabs>
          <w:tab w:leader="none" w:pos="425"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Investments</w:t>
      </w:r>
      <w:r>
        <w:rPr>
          <w:rFonts w:ascii="Arial" w:cs="Arial" w:eastAsia="Arial" w:hAnsi="Arial"/>
          <w:sz w:val="17"/>
          <w:szCs w:val="17"/>
          <w:color w:val="auto"/>
        </w:rPr>
        <w:t xml:space="preserve"> (Continued)</w:t>
      </w:r>
    </w:p>
    <w:p>
      <w:pPr>
        <w:spacing w:after="0" w:line="225" w:lineRule="exact"/>
        <w:rPr>
          <w:sz w:val="20"/>
          <w:szCs w:val="20"/>
          <w:color w:val="auto"/>
        </w:rPr>
      </w:pPr>
    </w:p>
    <w:p>
      <w:pPr>
        <w:ind w:left="5"/>
        <w:spacing w:after="0"/>
        <w:rPr>
          <w:sz w:val="20"/>
          <w:szCs w:val="20"/>
          <w:color w:val="auto"/>
        </w:rPr>
      </w:pPr>
      <w:r>
        <w:rPr>
          <w:rFonts w:ascii="Arial" w:cs="Arial" w:eastAsia="Arial" w:hAnsi="Arial"/>
          <w:sz w:val="17"/>
          <w:szCs w:val="17"/>
          <w:u w:val="single" w:color="auto"/>
          <w:color w:val="auto"/>
        </w:rPr>
        <w:t>Credit Risk Profile Based on Performance Status</w:t>
      </w:r>
    </w:p>
    <w:p>
      <w:pPr>
        <w:spacing w:after="0" w:line="202" w:lineRule="exact"/>
        <w:rPr>
          <w:sz w:val="20"/>
          <w:szCs w:val="20"/>
          <w:color w:val="auto"/>
        </w:rPr>
      </w:pPr>
    </w:p>
    <w:p>
      <w:pPr>
        <w:jc w:val="both"/>
        <w:ind w:left="5" w:right="1439"/>
        <w:spacing w:after="0" w:line="252" w:lineRule="auto"/>
        <w:rPr>
          <w:sz w:val="20"/>
          <w:szCs w:val="20"/>
          <w:color w:val="auto"/>
        </w:rPr>
      </w:pPr>
      <w:r>
        <w:rPr>
          <w:rFonts w:ascii="Arial" w:cs="Arial" w:eastAsia="Arial" w:hAnsi="Arial"/>
          <w:sz w:val="17"/>
          <w:szCs w:val="17"/>
          <w:color w:val="auto"/>
        </w:rPr>
        <w:t>The Company’s mortgage loan held for investment portfolio is monitored based on performance of the loans. Monitoring a mortgage loan increases when the loan is delinquent or earlier if there is an indication of impairment. The Company defines non-performing mortgage loans as loans 90 days or greater delinquent or on non-accrual status.</w:t>
      </w:r>
    </w:p>
    <w:p>
      <w:pPr>
        <w:spacing w:after="0" w:line="173" w:lineRule="exact"/>
        <w:rPr>
          <w:sz w:val="20"/>
          <w:szCs w:val="20"/>
          <w:color w:val="auto"/>
        </w:rPr>
      </w:pPr>
    </w:p>
    <w:p>
      <w:pPr>
        <w:ind w:left="5"/>
        <w:spacing w:after="0"/>
        <w:rPr>
          <w:sz w:val="20"/>
          <w:szCs w:val="20"/>
          <w:color w:val="auto"/>
        </w:rPr>
      </w:pPr>
      <w:r>
        <w:rPr>
          <w:rFonts w:ascii="Arial" w:cs="Arial" w:eastAsia="Arial" w:hAnsi="Arial"/>
          <w:sz w:val="17"/>
          <w:szCs w:val="17"/>
          <w:color w:val="auto"/>
        </w:rPr>
        <w:t>The Company’s performing and non-performing mortgage loans held for investment were as follows:</w:t>
      </w:r>
    </w:p>
    <w:p>
      <w:pPr>
        <w:spacing w:after="0" w:line="259" w:lineRule="exact"/>
        <w:rPr>
          <w:sz w:val="20"/>
          <w:szCs w:val="20"/>
          <w:color w:val="auto"/>
        </w:rPr>
      </w:pPr>
    </w:p>
    <w:p>
      <w:pPr>
        <w:jc w:val="center"/>
        <w:ind w:right="1435"/>
        <w:spacing w:after="0"/>
        <w:rPr>
          <w:sz w:val="20"/>
          <w:szCs w:val="20"/>
          <w:color w:val="auto"/>
        </w:rPr>
      </w:pPr>
      <w:r>
        <w:rPr>
          <w:rFonts w:ascii="Arial" w:cs="Arial" w:eastAsia="Arial" w:hAnsi="Arial"/>
          <w:sz w:val="12"/>
          <w:szCs w:val="12"/>
          <w:color w:val="auto"/>
        </w:rPr>
        <w:t>Mortgage Loans Held for Investment Credit Exposure</w:t>
      </w:r>
    </w:p>
    <w:p>
      <w:pPr>
        <w:spacing w:after="0" w:line="61" w:lineRule="exact"/>
        <w:rPr>
          <w:sz w:val="20"/>
          <w:szCs w:val="20"/>
          <w:color w:val="auto"/>
        </w:rPr>
      </w:pPr>
    </w:p>
    <w:p>
      <w:pPr>
        <w:jc w:val="center"/>
        <w:ind w:right="1435"/>
        <w:spacing w:after="0"/>
        <w:rPr>
          <w:sz w:val="20"/>
          <w:szCs w:val="20"/>
          <w:color w:val="auto"/>
        </w:rPr>
      </w:pPr>
      <w:r>
        <w:rPr>
          <w:rFonts w:ascii="Arial" w:cs="Arial" w:eastAsia="Arial" w:hAnsi="Arial"/>
          <w:sz w:val="12"/>
          <w:szCs w:val="12"/>
          <w:color w:val="auto"/>
        </w:rPr>
        <w:t>Credit Risk Profile Based on Payment Activity</w:t>
      </w:r>
    </w:p>
    <w:p>
      <w:pPr>
        <w:spacing w:after="0" w:line="189" w:lineRule="exact"/>
        <w:rPr>
          <w:sz w:val="20"/>
          <w:szCs w:val="20"/>
          <w:color w:val="auto"/>
        </w:rPr>
      </w:pPr>
    </w:p>
    <w:tbl>
      <w:tblPr>
        <w:tblLayout w:type="fixed"/>
        <w:tblInd w:w="5" w:type="dxa"/>
        <w:tblCellMar>
          <w:top w:w="0" w:type="dxa"/>
          <w:left w:w="0" w:type="dxa"/>
          <w:bottom w:w="0" w:type="dxa"/>
          <w:right w:w="0" w:type="dxa"/>
        </w:tblCellMar>
      </w:tblPr>
      <w:tr>
        <w:trPr>
          <w:trHeight w:val="156"/>
        </w:trPr>
        <w:tc>
          <w:tcPr>
            <w:tcW w:w="6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4"/>
          </w:tcPr>
          <w:p>
            <w:pPr>
              <w:jc w:val="right"/>
              <w:ind w:right="478"/>
              <w:spacing w:after="0"/>
              <w:rPr>
                <w:sz w:val="20"/>
                <w:szCs w:val="20"/>
                <w:color w:val="auto"/>
              </w:rPr>
            </w:pPr>
            <w:r>
              <w:rPr>
                <w:rFonts w:ascii="Arial" w:cs="Arial" w:eastAsia="Arial" w:hAnsi="Arial"/>
                <w:sz w:val="12"/>
                <w:szCs w:val="12"/>
                <w:color w:val="auto"/>
              </w:rPr>
              <w:t>Commercial</w:t>
            </w: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4"/>
          </w:tcPr>
          <w:p>
            <w:pPr>
              <w:jc w:val="right"/>
              <w:ind w:right="478"/>
              <w:spacing w:after="0"/>
              <w:rPr>
                <w:sz w:val="20"/>
                <w:szCs w:val="20"/>
                <w:color w:val="auto"/>
              </w:rPr>
            </w:pPr>
            <w:r>
              <w:rPr>
                <w:rFonts w:ascii="Arial" w:cs="Arial" w:eastAsia="Arial" w:hAnsi="Arial"/>
                <w:sz w:val="12"/>
                <w:szCs w:val="12"/>
                <w:color w:val="auto"/>
              </w:rPr>
              <w:t>Residential</w:t>
            </w:r>
          </w:p>
        </w:tc>
        <w:tc>
          <w:tcPr>
            <w:tcW w:w="60" w:type="dxa"/>
            <w:vAlign w:val="bottom"/>
          </w:tcPr>
          <w:p>
            <w:pPr>
              <w:spacing w:after="0"/>
              <w:rPr>
                <w:sz w:val="13"/>
                <w:szCs w:val="13"/>
                <w:color w:val="auto"/>
              </w:rPr>
            </w:pPr>
          </w:p>
        </w:tc>
        <w:tc>
          <w:tcPr>
            <w:tcW w:w="1840" w:type="dxa"/>
            <w:vAlign w:val="bottom"/>
            <w:tcBorders>
              <w:bottom w:val="single" w:sz="8" w:color="auto"/>
            </w:tcBorders>
            <w:gridSpan w:val="5"/>
          </w:tcPr>
          <w:p>
            <w:pPr>
              <w:ind w:left="300"/>
              <w:spacing w:after="0"/>
              <w:rPr>
                <w:sz w:val="20"/>
                <w:szCs w:val="20"/>
                <w:color w:val="auto"/>
              </w:rPr>
            </w:pPr>
            <w:r>
              <w:rPr>
                <w:rFonts w:ascii="Arial" w:cs="Arial" w:eastAsia="Arial" w:hAnsi="Arial"/>
                <w:sz w:val="12"/>
                <w:szCs w:val="12"/>
                <w:color w:val="auto"/>
              </w:rPr>
              <w:t>Residential Construction</w:t>
            </w: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Total</w:t>
            </w:r>
          </w:p>
        </w:tc>
        <w:tc>
          <w:tcPr>
            <w:tcW w:w="760" w:type="dxa"/>
            <w:vAlign w:val="bottom"/>
            <w:tcBorders>
              <w:bottom w:val="single" w:sz="8" w:color="auto"/>
            </w:tcBorders>
          </w:tcPr>
          <w:p>
            <w:pPr>
              <w:spacing w:after="0"/>
              <w:rPr>
                <w:sz w:val="13"/>
                <w:szCs w:val="13"/>
                <w:color w:val="auto"/>
              </w:rPr>
            </w:pPr>
          </w:p>
        </w:tc>
      </w:tr>
      <w:tr>
        <w:trPr>
          <w:trHeight w:val="140"/>
        </w:trPr>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color w:val="auto"/>
              </w:rPr>
              <w:t>March</w:t>
            </w:r>
          </w:p>
        </w:tc>
        <w:tc>
          <w:tcPr>
            <w:tcW w:w="140" w:type="dxa"/>
            <w:vAlign w:val="bottom"/>
          </w:tcPr>
          <w:p>
            <w:pPr>
              <w:spacing w:after="0"/>
              <w:rPr>
                <w:sz w:val="12"/>
                <w:szCs w:val="12"/>
                <w:color w:val="auto"/>
              </w:rPr>
            </w:pPr>
          </w:p>
        </w:tc>
        <w:tc>
          <w:tcPr>
            <w:tcW w:w="720" w:type="dxa"/>
            <w:vAlign w:val="bottom"/>
            <w:gridSpan w:val="2"/>
          </w:tcPr>
          <w:p>
            <w:pPr>
              <w:spacing w:after="0"/>
              <w:rPr>
                <w:sz w:val="20"/>
                <w:szCs w:val="20"/>
                <w:color w:val="auto"/>
              </w:rPr>
            </w:pPr>
            <w:r>
              <w:rPr>
                <w:rFonts w:ascii="Arial" w:cs="Arial" w:eastAsia="Arial" w:hAnsi="Arial"/>
                <w:sz w:val="12"/>
                <w:szCs w:val="12"/>
                <w:color w:val="auto"/>
              </w:rPr>
              <w:t>December</w:t>
            </w:r>
          </w:p>
        </w:tc>
        <w:tc>
          <w:tcPr>
            <w:tcW w:w="14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color w:val="auto"/>
              </w:rPr>
              <w:t>March</w:t>
            </w:r>
          </w:p>
        </w:tc>
        <w:tc>
          <w:tcPr>
            <w:tcW w:w="140" w:type="dxa"/>
            <w:vAlign w:val="bottom"/>
          </w:tcPr>
          <w:p>
            <w:pPr>
              <w:spacing w:after="0"/>
              <w:rPr>
                <w:sz w:val="12"/>
                <w:szCs w:val="12"/>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color w:val="auto"/>
              </w:rPr>
              <w:t>December</w:t>
            </w:r>
          </w:p>
        </w:tc>
        <w:tc>
          <w:tcPr>
            <w:tcW w:w="1040" w:type="dxa"/>
            <w:vAlign w:val="bottom"/>
            <w:gridSpan w:val="3"/>
          </w:tcPr>
          <w:p>
            <w:pPr>
              <w:ind w:left="300"/>
              <w:spacing w:after="0"/>
              <w:rPr>
                <w:sz w:val="20"/>
                <w:szCs w:val="20"/>
                <w:color w:val="auto"/>
              </w:rPr>
            </w:pPr>
            <w:r>
              <w:rPr>
                <w:rFonts w:ascii="Arial" w:cs="Arial" w:eastAsia="Arial" w:hAnsi="Arial"/>
                <w:sz w:val="12"/>
                <w:szCs w:val="12"/>
                <w:color w:val="auto"/>
              </w:rPr>
              <w:t>March</w:t>
            </w:r>
          </w:p>
        </w:tc>
        <w:tc>
          <w:tcPr>
            <w:tcW w:w="860" w:type="dxa"/>
            <w:vAlign w:val="bottom"/>
            <w:gridSpan w:val="3"/>
          </w:tcPr>
          <w:p>
            <w:pPr>
              <w:ind w:left="140"/>
              <w:spacing w:after="0"/>
              <w:rPr>
                <w:sz w:val="20"/>
                <w:szCs w:val="20"/>
                <w:color w:val="auto"/>
              </w:rPr>
            </w:pPr>
            <w:r>
              <w:rPr>
                <w:rFonts w:ascii="Arial" w:cs="Arial" w:eastAsia="Arial" w:hAnsi="Arial"/>
                <w:sz w:val="12"/>
                <w:szCs w:val="12"/>
                <w:color w:val="auto"/>
              </w:rPr>
              <w:t>December</w:t>
            </w:r>
          </w:p>
        </w:tc>
        <w:tc>
          <w:tcPr>
            <w:tcW w:w="200" w:type="dxa"/>
            <w:vAlign w:val="bottom"/>
          </w:tcPr>
          <w:p>
            <w:pPr>
              <w:spacing w:after="0"/>
              <w:rPr>
                <w:sz w:val="12"/>
                <w:szCs w:val="12"/>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color w:val="auto"/>
              </w:rPr>
              <w:t>March</w:t>
            </w:r>
          </w:p>
        </w:tc>
        <w:tc>
          <w:tcPr>
            <w:tcW w:w="200" w:type="dxa"/>
            <w:vAlign w:val="bottom"/>
          </w:tcPr>
          <w:p>
            <w:pPr>
              <w:spacing w:after="0"/>
              <w:rPr>
                <w:sz w:val="12"/>
                <w:szCs w:val="12"/>
                <w:color w:val="auto"/>
              </w:rPr>
            </w:pPr>
          </w:p>
        </w:tc>
        <w:tc>
          <w:tcPr>
            <w:tcW w:w="760" w:type="dxa"/>
            <w:vAlign w:val="bottom"/>
          </w:tcPr>
          <w:p>
            <w:pPr>
              <w:jc w:val="right"/>
              <w:ind w:right="158"/>
              <w:spacing w:after="0"/>
              <w:rPr>
                <w:sz w:val="20"/>
                <w:szCs w:val="20"/>
                <w:color w:val="auto"/>
              </w:rPr>
            </w:pPr>
            <w:r>
              <w:rPr>
                <w:rFonts w:ascii="Arial" w:cs="Arial" w:eastAsia="Arial" w:hAnsi="Arial"/>
                <w:sz w:val="12"/>
                <w:szCs w:val="12"/>
                <w:color w:val="auto"/>
                <w:w w:val="93"/>
              </w:rPr>
              <w:t>December</w:t>
            </w:r>
          </w:p>
        </w:tc>
      </w:tr>
      <w:tr>
        <w:trPr>
          <w:trHeight w:val="156"/>
        </w:trPr>
        <w:tc>
          <w:tcPr>
            <w:tcW w:w="600" w:type="dxa"/>
            <w:vAlign w:val="bottom"/>
          </w:tcPr>
          <w:p>
            <w:pPr>
              <w:spacing w:after="0"/>
              <w:rPr>
                <w:sz w:val="13"/>
                <w:szCs w:val="13"/>
                <w:color w:val="auto"/>
              </w:rPr>
            </w:pPr>
          </w:p>
        </w:tc>
        <w:tc>
          <w:tcPr>
            <w:tcW w:w="840" w:type="dxa"/>
            <w:vAlign w:val="bottom"/>
            <w:tcBorders>
              <w:bottom w:val="single" w:sz="8" w:color="auto"/>
            </w:tcBorders>
            <w:gridSpan w:val="2"/>
          </w:tcPr>
          <w:p>
            <w:pPr>
              <w:jc w:val="right"/>
              <w:ind w:right="138"/>
              <w:spacing w:after="0"/>
              <w:rPr>
                <w:sz w:val="20"/>
                <w:szCs w:val="20"/>
                <w:color w:val="auto"/>
              </w:rPr>
            </w:pPr>
            <w:r>
              <w:rPr>
                <w:rFonts w:ascii="Arial" w:cs="Arial" w:eastAsia="Arial" w:hAnsi="Arial"/>
                <w:sz w:val="12"/>
                <w:szCs w:val="12"/>
                <w:color w:val="auto"/>
              </w:rPr>
              <w:t>31, 2020</w:t>
            </w: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w w:val="98"/>
              </w:rPr>
              <w:t>31, 2019</w:t>
            </w: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w w:val="98"/>
              </w:rPr>
              <w:t>31, 2020</w:t>
            </w: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w w:val="98"/>
              </w:rPr>
              <w:t>31, 2019</w:t>
            </w:r>
          </w:p>
        </w:tc>
        <w:tc>
          <w:tcPr>
            <w:tcW w:w="60" w:type="dxa"/>
            <w:vAlign w:val="bottom"/>
          </w:tcPr>
          <w:p>
            <w:pPr>
              <w:spacing w:after="0"/>
              <w:rPr>
                <w:sz w:val="13"/>
                <w:szCs w:val="13"/>
                <w:color w:val="auto"/>
              </w:rPr>
            </w:pPr>
          </w:p>
        </w:tc>
        <w:tc>
          <w:tcPr>
            <w:tcW w:w="980" w:type="dxa"/>
            <w:vAlign w:val="bottom"/>
            <w:tcBorders>
              <w:bottom w:val="single" w:sz="8" w:color="auto"/>
            </w:tcBorders>
            <w:gridSpan w:val="2"/>
          </w:tcPr>
          <w:p>
            <w:pPr>
              <w:ind w:left="280"/>
              <w:spacing w:after="0"/>
              <w:rPr>
                <w:sz w:val="20"/>
                <w:szCs w:val="20"/>
                <w:color w:val="auto"/>
              </w:rPr>
            </w:pPr>
            <w:r>
              <w:rPr>
                <w:rFonts w:ascii="Arial" w:cs="Arial" w:eastAsia="Arial" w:hAnsi="Arial"/>
                <w:sz w:val="12"/>
                <w:szCs w:val="12"/>
                <w:color w:val="auto"/>
              </w:rPr>
              <w:t>31, 2020</w:t>
            </w:r>
          </w:p>
        </w:tc>
        <w:tc>
          <w:tcPr>
            <w:tcW w:w="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w w:val="89"/>
              </w:rPr>
              <w:t>31, 2019</w:t>
            </w: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w w:val="94"/>
              </w:rPr>
              <w:t>31, 2020</w:t>
            </w: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31, 2019</w:t>
            </w:r>
          </w:p>
        </w:tc>
      </w:tr>
      <w:tr>
        <w:trPr>
          <w:trHeight w:val="144"/>
        </w:trPr>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52"/>
        </w:trPr>
        <w:tc>
          <w:tcPr>
            <w:tcW w:w="600" w:type="dxa"/>
            <w:vAlign w:val="bottom"/>
            <w:shd w:val="clear" w:color="auto" w:fill="CCEEFF"/>
          </w:tcPr>
          <w:p>
            <w:pPr>
              <w:spacing w:after="0"/>
              <w:rPr>
                <w:sz w:val="20"/>
                <w:szCs w:val="20"/>
                <w:color w:val="auto"/>
              </w:rPr>
            </w:pPr>
            <w:r>
              <w:rPr>
                <w:rFonts w:ascii="Arial" w:cs="Arial" w:eastAsia="Arial" w:hAnsi="Arial"/>
                <w:sz w:val="12"/>
                <w:szCs w:val="12"/>
                <w:color w:val="auto"/>
                <w:w w:val="98"/>
              </w:rPr>
              <w:t>Performing</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43,739,942</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34,229,501</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5"/>
              </w:rPr>
              <w:t>113,159,306</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5"/>
              </w:rPr>
              <w:t>109,291,758</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93,590,770</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88,775,237</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5"/>
              </w:rPr>
              <w:t>250,490,018</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232,296,496</w:t>
            </w:r>
          </w:p>
        </w:tc>
      </w:tr>
      <w:tr>
        <w:trPr>
          <w:trHeight w:val="124"/>
        </w:trPr>
        <w:tc>
          <w:tcPr>
            <w:tcW w:w="600" w:type="dxa"/>
            <w:vAlign w:val="bottom"/>
          </w:tcPr>
          <w:p>
            <w:pPr>
              <w:spacing w:after="0" w:line="125" w:lineRule="exact"/>
              <w:rPr>
                <w:sz w:val="20"/>
                <w:szCs w:val="20"/>
                <w:color w:val="auto"/>
              </w:rPr>
            </w:pPr>
            <w:r>
              <w:rPr>
                <w:rFonts w:ascii="Arial" w:cs="Arial" w:eastAsia="Arial" w:hAnsi="Arial"/>
                <w:sz w:val="12"/>
                <w:szCs w:val="12"/>
                <w:color w:val="auto"/>
              </w:rPr>
              <w:t>Non-</w:t>
            </w: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56"/>
        </w:trPr>
        <w:tc>
          <w:tcPr>
            <w:tcW w:w="600" w:type="dxa"/>
            <w:vAlign w:val="bottom"/>
          </w:tcPr>
          <w:p>
            <w:pPr>
              <w:spacing w:after="0"/>
              <w:rPr>
                <w:sz w:val="20"/>
                <w:szCs w:val="20"/>
                <w:color w:val="auto"/>
              </w:rPr>
            </w:pPr>
            <w:r>
              <w:rPr>
                <w:rFonts w:ascii="Arial" w:cs="Arial" w:eastAsia="Arial" w:hAnsi="Arial"/>
                <w:sz w:val="12"/>
                <w:szCs w:val="12"/>
                <w:color w:val="auto"/>
              </w:rPr>
              <w:t>performing</w:t>
            </w:r>
          </w:p>
        </w:tc>
        <w:tc>
          <w:tcPr>
            <w:tcW w:w="2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864,719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4,488,719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4,536,841</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3,752,207</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655,000</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5,401,560</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8,895,926</w:t>
            </w:r>
          </w:p>
        </w:tc>
      </w:tr>
      <w:tr>
        <w:trPr>
          <w:trHeight w:val="152"/>
        </w:trPr>
        <w:tc>
          <w:tcPr>
            <w:tcW w:w="6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r>
      <w:tr>
        <w:trPr>
          <w:trHeight w:val="144"/>
        </w:trPr>
        <w:tc>
          <w:tcPr>
            <w:tcW w:w="600" w:type="dxa"/>
            <w:vAlign w:val="bottom"/>
          </w:tcPr>
          <w:p>
            <w:pPr>
              <w:spacing w:after="0"/>
              <w:rPr>
                <w:sz w:val="20"/>
                <w:szCs w:val="20"/>
                <w:color w:val="auto"/>
              </w:rPr>
            </w:pPr>
            <w:r>
              <w:rPr>
                <w:rFonts w:ascii="Arial" w:cs="Arial" w:eastAsia="Arial" w:hAnsi="Arial"/>
                <w:sz w:val="12"/>
                <w:szCs w:val="12"/>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44,604,661</w:t>
            </w:r>
          </w:p>
        </w:tc>
        <w:tc>
          <w:tcPr>
            <w:tcW w:w="60" w:type="dxa"/>
            <w:vAlign w:val="bottom"/>
          </w:tcPr>
          <w:p>
            <w:pPr>
              <w:spacing w:after="0"/>
              <w:rPr>
                <w:sz w:val="12"/>
                <w:szCs w:val="1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38,718,220</w:t>
            </w:r>
          </w:p>
        </w:tc>
        <w:tc>
          <w:tcPr>
            <w:tcW w:w="60" w:type="dxa"/>
            <w:vAlign w:val="bottom"/>
          </w:tcPr>
          <w:p>
            <w:pPr>
              <w:spacing w:after="0"/>
              <w:rPr>
                <w:sz w:val="12"/>
                <w:szCs w:val="1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117,696,147</w:t>
            </w:r>
          </w:p>
        </w:tc>
        <w:tc>
          <w:tcPr>
            <w:tcW w:w="60" w:type="dxa"/>
            <w:vAlign w:val="bottom"/>
          </w:tcPr>
          <w:p>
            <w:pPr>
              <w:spacing w:after="0"/>
              <w:rPr>
                <w:sz w:val="12"/>
                <w:szCs w:val="1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113,043,965</w:t>
            </w:r>
          </w:p>
        </w:tc>
        <w:tc>
          <w:tcPr>
            <w:tcW w:w="60" w:type="dxa"/>
            <w:vAlign w:val="bottom"/>
          </w:tcPr>
          <w:p>
            <w:pPr>
              <w:spacing w:after="0"/>
              <w:rPr>
                <w:sz w:val="12"/>
                <w:szCs w:val="12"/>
                <w:color w:val="auto"/>
              </w:rPr>
            </w:pPr>
          </w:p>
        </w:tc>
        <w:tc>
          <w:tcPr>
            <w:tcW w:w="380" w:type="dxa"/>
            <w:vAlign w:val="bottom"/>
            <w:tcBorders>
              <w:bottom w:val="single" w:sz="8" w:color="auto"/>
            </w:tcBorders>
          </w:tcPr>
          <w:p>
            <w:pPr>
              <w:ind w:left="280"/>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93,590,770</w:t>
            </w:r>
          </w:p>
        </w:tc>
        <w:tc>
          <w:tcPr>
            <w:tcW w:w="60" w:type="dxa"/>
            <w:vAlign w:val="bottom"/>
          </w:tcPr>
          <w:p>
            <w:pPr>
              <w:spacing w:after="0"/>
              <w:rPr>
                <w:sz w:val="12"/>
                <w:szCs w:val="1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89,430,237</w:t>
            </w:r>
          </w:p>
        </w:tc>
        <w:tc>
          <w:tcPr>
            <w:tcW w:w="60" w:type="dxa"/>
            <w:vAlign w:val="bottom"/>
          </w:tcPr>
          <w:p>
            <w:pPr>
              <w:spacing w:after="0"/>
              <w:rPr>
                <w:sz w:val="12"/>
                <w:szCs w:val="1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255,891,578</w:t>
            </w:r>
          </w:p>
        </w:tc>
        <w:tc>
          <w:tcPr>
            <w:tcW w:w="60" w:type="dxa"/>
            <w:vAlign w:val="bottom"/>
          </w:tcPr>
          <w:p>
            <w:pPr>
              <w:spacing w:after="0"/>
              <w:rPr>
                <w:sz w:val="12"/>
                <w:szCs w:val="12"/>
                <w:color w:val="auto"/>
              </w:rPr>
            </w:pPr>
          </w:p>
        </w:tc>
        <w:tc>
          <w:tcPr>
            <w:tcW w:w="2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241,192,422</w:t>
            </w:r>
          </w:p>
        </w:tc>
      </w:tr>
      <w:tr>
        <w:trPr>
          <w:trHeight w:val="20"/>
        </w:trPr>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5"/>
        <w:spacing w:after="0"/>
        <w:rPr>
          <w:sz w:val="20"/>
          <w:szCs w:val="20"/>
          <w:color w:val="auto"/>
        </w:rPr>
      </w:pPr>
      <w:r>
        <w:rPr>
          <w:rFonts w:ascii="Arial" w:cs="Arial" w:eastAsia="Arial" w:hAnsi="Arial"/>
          <w:sz w:val="17"/>
          <w:szCs w:val="17"/>
          <w:u w:val="single" w:color="auto"/>
          <w:color w:val="auto"/>
        </w:rPr>
        <w:t>Non-Accrual Mortgage Loans Held for Investment</w:t>
      </w:r>
    </w:p>
    <w:p>
      <w:pPr>
        <w:spacing w:after="0" w:line="202" w:lineRule="exact"/>
        <w:rPr>
          <w:sz w:val="20"/>
          <w:szCs w:val="20"/>
          <w:color w:val="auto"/>
        </w:rPr>
      </w:pPr>
    </w:p>
    <w:p>
      <w:pPr>
        <w:jc w:val="both"/>
        <w:ind w:left="5" w:right="1439"/>
        <w:spacing w:after="0" w:line="292" w:lineRule="auto"/>
        <w:rPr>
          <w:sz w:val="20"/>
          <w:szCs w:val="20"/>
          <w:color w:val="auto"/>
        </w:rPr>
      </w:pPr>
      <w:r>
        <w:rPr>
          <w:rFonts w:ascii="Arial" w:cs="Arial" w:eastAsia="Arial" w:hAnsi="Arial"/>
          <w:sz w:val="15"/>
          <w:szCs w:val="15"/>
          <w:color w:val="auto"/>
        </w:rPr>
        <w:t>Once a loan is past due 90 days, it is the policy of the Company to end the accrual of interest income on the loan and write off any interest income that had been accrued. Payments received for loans on a non-accrual status are recognized on a cash basis. Interest income recognized from any payments received for loans on a non-accrual status was immaterial. Accrual of interest resumes if a loan is brought current. Interest not accrued on these loans totals approximately $346,000 and $203,000 as of March 31, 2020 and December 31, 2019, respectively.</w:t>
      </w:r>
    </w:p>
    <w:p>
      <w:pPr>
        <w:spacing w:after="0" w:line="143" w:lineRule="exact"/>
        <w:rPr>
          <w:sz w:val="20"/>
          <w:szCs w:val="20"/>
          <w:color w:val="auto"/>
        </w:rPr>
      </w:pPr>
    </w:p>
    <w:p>
      <w:pPr>
        <w:ind w:left="5" w:right="2059"/>
        <w:spacing w:after="0" w:line="270" w:lineRule="auto"/>
        <w:rPr>
          <w:sz w:val="20"/>
          <w:szCs w:val="20"/>
          <w:color w:val="auto"/>
        </w:rPr>
      </w:pPr>
      <w:r>
        <w:rPr>
          <w:rFonts w:ascii="Arial" w:cs="Arial" w:eastAsia="Arial" w:hAnsi="Arial"/>
          <w:sz w:val="17"/>
          <w:szCs w:val="17"/>
          <w:color w:val="auto"/>
        </w:rPr>
        <w:t>The following is a summary of mortgage loans held for investment on a non-accrual status for the periods presented.</w:t>
      </w:r>
    </w:p>
    <w:p>
      <w:pPr>
        <w:spacing w:after="0" w:line="170" w:lineRule="exact"/>
        <w:rPr>
          <w:sz w:val="20"/>
          <w:szCs w:val="20"/>
          <w:color w:val="auto"/>
        </w:rPr>
      </w:pPr>
    </w:p>
    <w:tbl>
      <w:tblPr>
        <w:tblLayout w:type="fixed"/>
        <w:tblInd w:w="5" w:type="dxa"/>
        <w:tblCellMar>
          <w:top w:w="0" w:type="dxa"/>
          <w:left w:w="0" w:type="dxa"/>
          <w:bottom w:w="0" w:type="dxa"/>
          <w:right w:w="0" w:type="dxa"/>
        </w:tblCellMar>
      </w:tblPr>
      <w:tr>
        <w:trPr>
          <w:trHeight w:val="199"/>
        </w:trPr>
        <w:tc>
          <w:tcPr>
            <w:tcW w:w="2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700" w:type="dxa"/>
            <w:vAlign w:val="bottom"/>
            <w:gridSpan w:val="3"/>
          </w:tcPr>
          <w:p>
            <w:pPr>
              <w:jc w:val="right"/>
              <w:ind w:right="2"/>
              <w:spacing w:after="0"/>
              <w:rPr>
                <w:sz w:val="20"/>
                <w:szCs w:val="20"/>
                <w:color w:val="auto"/>
              </w:rPr>
            </w:pPr>
            <w:r>
              <w:rPr>
                <w:rFonts w:ascii="Arial" w:cs="Arial" w:eastAsia="Arial" w:hAnsi="Arial"/>
                <w:sz w:val="16"/>
                <w:szCs w:val="16"/>
                <w:color w:val="auto"/>
                <w:w w:val="92"/>
              </w:rPr>
              <w:t>Mortgage Loans on Non-Accrual Status</w:t>
            </w:r>
          </w:p>
        </w:tc>
        <w:tc>
          <w:tcPr>
            <w:tcW w:w="700" w:type="dxa"/>
            <w:vAlign w:val="bottom"/>
          </w:tcPr>
          <w:p>
            <w:pPr>
              <w:spacing w:after="0"/>
              <w:rPr>
                <w:sz w:val="17"/>
                <w:szCs w:val="17"/>
                <w:color w:val="auto"/>
              </w:rPr>
            </w:pPr>
          </w:p>
        </w:tc>
      </w:tr>
      <w:tr>
        <w:trPr>
          <w:trHeight w:val="409"/>
        </w:trPr>
        <w:tc>
          <w:tcPr>
            <w:tcW w:w="2120" w:type="dxa"/>
            <w:vAlign w:val="bottom"/>
          </w:tcPr>
          <w:p>
            <w:pPr>
              <w:spacing w:after="0"/>
              <w:rPr>
                <w:sz w:val="24"/>
                <w:szCs w:val="24"/>
                <w:color w:val="auto"/>
              </w:rPr>
            </w:pPr>
          </w:p>
        </w:tc>
        <w:tc>
          <w:tcPr>
            <w:tcW w:w="2140" w:type="dxa"/>
            <w:vAlign w:val="bottom"/>
            <w:gridSpan w:val="3"/>
          </w:tcPr>
          <w:p>
            <w:pPr>
              <w:ind w:left="460"/>
              <w:spacing w:after="0"/>
              <w:rPr>
                <w:sz w:val="20"/>
                <w:szCs w:val="20"/>
                <w:color w:val="auto"/>
              </w:rPr>
            </w:pPr>
            <w:r>
              <w:rPr>
                <w:rFonts w:ascii="Arial" w:cs="Arial" w:eastAsia="Arial" w:hAnsi="Arial"/>
                <w:sz w:val="16"/>
                <w:szCs w:val="16"/>
                <w:color w:val="auto"/>
              </w:rPr>
              <w:t>As of March 31</w:t>
            </w:r>
          </w:p>
        </w:tc>
        <w:tc>
          <w:tcPr>
            <w:tcW w:w="1880" w:type="dxa"/>
            <w:vAlign w:val="bottom"/>
            <w:gridSpan w:val="2"/>
          </w:tcPr>
          <w:p>
            <w:pPr>
              <w:jc w:val="right"/>
              <w:ind w:right="262"/>
              <w:spacing w:after="0"/>
              <w:rPr>
                <w:sz w:val="20"/>
                <w:szCs w:val="20"/>
                <w:color w:val="auto"/>
              </w:rPr>
            </w:pPr>
            <w:r>
              <w:rPr>
                <w:rFonts w:ascii="Arial" w:cs="Arial" w:eastAsia="Arial" w:hAnsi="Arial"/>
                <w:sz w:val="16"/>
                <w:szCs w:val="16"/>
                <w:color w:val="auto"/>
              </w:rPr>
              <w:t>As of December 31</w:t>
            </w:r>
          </w:p>
        </w:tc>
      </w:tr>
      <w:tr>
        <w:trPr>
          <w:trHeight w:val="205"/>
        </w:trPr>
        <w:tc>
          <w:tcPr>
            <w:tcW w:w="212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722"/>
              <w:spacing w:after="0"/>
              <w:rPr>
                <w:sz w:val="20"/>
                <w:szCs w:val="20"/>
                <w:color w:val="auto"/>
              </w:rPr>
            </w:pPr>
            <w:r>
              <w:rPr>
                <w:rFonts w:ascii="Arial" w:cs="Arial" w:eastAsia="Arial" w:hAnsi="Arial"/>
                <w:sz w:val="16"/>
                <w:szCs w:val="16"/>
                <w:color w:val="auto"/>
              </w:rPr>
              <w:t>2020</w:t>
            </w:r>
          </w:p>
        </w:tc>
        <w:tc>
          <w:tcPr>
            <w:tcW w:w="24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2019</w:t>
            </w:r>
          </w:p>
        </w:tc>
        <w:tc>
          <w:tcPr>
            <w:tcW w:w="700" w:type="dxa"/>
            <w:vAlign w:val="bottom"/>
            <w:tcBorders>
              <w:bottom w:val="single" w:sz="8" w:color="auto"/>
            </w:tcBorders>
          </w:tcPr>
          <w:p>
            <w:pPr>
              <w:spacing w:after="0"/>
              <w:rPr>
                <w:sz w:val="17"/>
                <w:szCs w:val="17"/>
                <w:color w:val="auto"/>
              </w:rPr>
            </w:pPr>
          </w:p>
        </w:tc>
      </w:tr>
      <w:tr>
        <w:trPr>
          <w:trHeight w:val="208"/>
        </w:trPr>
        <w:tc>
          <w:tcPr>
            <w:tcW w:w="2120" w:type="dxa"/>
            <w:vAlign w:val="bottom"/>
            <w:shd w:val="clear" w:color="auto" w:fill="CCEEFF"/>
          </w:tcPr>
          <w:p>
            <w:pPr>
              <w:spacing w:after="0"/>
              <w:rPr>
                <w:sz w:val="20"/>
                <w:szCs w:val="20"/>
                <w:color w:val="auto"/>
              </w:rPr>
            </w:pPr>
            <w:r>
              <w:rPr>
                <w:rFonts w:ascii="Arial" w:cs="Arial" w:eastAsia="Arial" w:hAnsi="Arial"/>
                <w:sz w:val="16"/>
                <w:szCs w:val="16"/>
                <w:color w:val="auto"/>
              </w:rPr>
              <w:t>Commercial</w:t>
            </w:r>
          </w:p>
        </w:tc>
        <w:tc>
          <w:tcPr>
            <w:tcW w:w="6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864,719</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02"/>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4,488,719</w:t>
            </w:r>
          </w:p>
        </w:tc>
      </w:tr>
      <w:tr>
        <w:trPr>
          <w:trHeight w:val="205"/>
        </w:trPr>
        <w:tc>
          <w:tcPr>
            <w:tcW w:w="2120" w:type="dxa"/>
            <w:vAlign w:val="bottom"/>
          </w:tcPr>
          <w:p>
            <w:pPr>
              <w:spacing w:after="0"/>
              <w:rPr>
                <w:sz w:val="20"/>
                <w:szCs w:val="20"/>
                <w:color w:val="auto"/>
              </w:rPr>
            </w:pPr>
            <w:r>
              <w:rPr>
                <w:rFonts w:ascii="Arial" w:cs="Arial" w:eastAsia="Arial" w:hAnsi="Arial"/>
                <w:sz w:val="16"/>
                <w:szCs w:val="16"/>
                <w:color w:val="auto"/>
              </w:rPr>
              <w:t>Residential</w:t>
            </w:r>
          </w:p>
        </w:tc>
        <w:tc>
          <w:tcPr>
            <w:tcW w:w="6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4,536,841</w:t>
            </w: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2"/>
              </w:rPr>
              <w:t>3,752,207</w:t>
            </w:r>
          </w:p>
        </w:tc>
      </w:tr>
      <w:tr>
        <w:trPr>
          <w:trHeight w:val="210"/>
        </w:trPr>
        <w:tc>
          <w:tcPr>
            <w:tcW w:w="2120" w:type="dxa"/>
            <w:vAlign w:val="bottom"/>
            <w:shd w:val="clear" w:color="auto" w:fill="CCEEFF"/>
          </w:tcPr>
          <w:p>
            <w:pPr>
              <w:spacing w:after="0"/>
              <w:rPr>
                <w:sz w:val="20"/>
                <w:szCs w:val="20"/>
                <w:color w:val="auto"/>
              </w:rPr>
            </w:pPr>
            <w:r>
              <w:rPr>
                <w:rFonts w:ascii="Arial" w:cs="Arial" w:eastAsia="Arial" w:hAnsi="Arial"/>
                <w:sz w:val="16"/>
                <w:szCs w:val="16"/>
                <w:color w:val="auto"/>
              </w:rPr>
              <w:t>Residential construction</w:t>
            </w:r>
          </w:p>
        </w:tc>
        <w:tc>
          <w:tcPr>
            <w:tcW w:w="6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655,000</w:t>
            </w:r>
          </w:p>
        </w:tc>
      </w:tr>
      <w:tr>
        <w:trPr>
          <w:trHeight w:val="208"/>
        </w:trPr>
        <w:tc>
          <w:tcPr>
            <w:tcW w:w="2120" w:type="dxa"/>
            <w:vAlign w:val="bottom"/>
          </w:tcPr>
          <w:p>
            <w:pPr>
              <w:spacing w:after="0"/>
              <w:rPr>
                <w:sz w:val="20"/>
                <w:szCs w:val="20"/>
                <w:color w:val="auto"/>
              </w:rPr>
            </w:pPr>
            <w:r>
              <w:rPr>
                <w:rFonts w:ascii="Arial" w:cs="Arial" w:eastAsia="Arial" w:hAnsi="Arial"/>
                <w:sz w:val="16"/>
                <w:szCs w:val="16"/>
                <w:color w:val="auto"/>
              </w:rPr>
              <w:t>Total</w:t>
            </w:r>
          </w:p>
        </w:tc>
        <w:tc>
          <w:tcPr>
            <w:tcW w:w="6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5,401,560</w:t>
            </w:r>
          </w:p>
        </w:tc>
        <w:tc>
          <w:tcPr>
            <w:tcW w:w="240" w:type="dxa"/>
            <w:vAlign w:val="bottom"/>
          </w:tcPr>
          <w:p>
            <w:pPr>
              <w:spacing w:after="0"/>
              <w:rPr>
                <w:sz w:val="18"/>
                <w:szCs w:val="18"/>
                <w:color w:val="auto"/>
              </w:rPr>
            </w:pPr>
          </w:p>
        </w:tc>
        <w:tc>
          <w:tcPr>
            <w:tcW w:w="1180" w:type="dxa"/>
            <w:vAlign w:val="bottom"/>
            <w:tcBorders>
              <w:bottom w:val="single" w:sz="8" w:color="auto"/>
            </w:tcBorders>
          </w:tcPr>
          <w:p>
            <w:pPr>
              <w:jc w:val="right"/>
              <w:ind w:right="602"/>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2"/>
              </w:rPr>
              <w:t>8,895,926</w:t>
            </w:r>
          </w:p>
        </w:tc>
      </w:tr>
      <w:tr>
        <w:trPr>
          <w:trHeight w:val="20"/>
        </w:trPr>
        <w:tc>
          <w:tcPr>
            <w:tcW w:w="2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05" w:hanging="305"/>
        <w:spacing w:after="0"/>
        <w:tabs>
          <w:tab w:leader="none" w:pos="305"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Loans Held for Sale</w:t>
      </w:r>
    </w:p>
    <w:p>
      <w:pPr>
        <w:spacing w:after="0" w:line="202" w:lineRule="exact"/>
        <w:rPr>
          <w:sz w:val="20"/>
          <w:szCs w:val="20"/>
          <w:color w:val="auto"/>
        </w:rPr>
      </w:pPr>
    </w:p>
    <w:p>
      <w:pPr>
        <w:jc w:val="both"/>
        <w:ind w:left="5" w:right="1439"/>
        <w:spacing w:after="0" w:line="248" w:lineRule="auto"/>
        <w:rPr>
          <w:sz w:val="20"/>
          <w:szCs w:val="20"/>
          <w:color w:val="auto"/>
        </w:rPr>
      </w:pPr>
      <w:r>
        <w:rPr>
          <w:rFonts w:ascii="Arial" w:cs="Arial" w:eastAsia="Arial" w:hAnsi="Arial"/>
          <w:sz w:val="17"/>
          <w:szCs w:val="17"/>
          <w:color w:val="auto"/>
        </w:rPr>
        <w:t>The Company has elected the fair value option for loans held for sale. Changes in the fair value of the loans are included in mortgage fee income. Interest income is recorded based on the contractual terms of the loan and in accordance with the Company’s policy on mortgage loans held for investment and is included in mortgage fee income on the condensed consolidated statement of earnings. There are two loans with an aggregate unpaid principal balance of $235,909 that are 90 or more days past due and on a nonaccrual status as of March 31, 2020. See Note 8 to the condensed consolidated financial statements for additional disclosures regarding loans held for sale.</w:t>
      </w:r>
    </w:p>
    <w:p>
      <w:pPr>
        <w:spacing w:after="0" w:line="188" w:lineRule="exact"/>
        <w:rPr>
          <w:sz w:val="20"/>
          <w:szCs w:val="20"/>
          <w:color w:val="auto"/>
        </w:rPr>
      </w:pPr>
    </w:p>
    <w:p>
      <w:pPr>
        <w:ind w:left="3845"/>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498983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89830" cy="29845"/>
                    </a:xfrm>
                    <a:prstGeom prst="rect">
                      <a:avLst/>
                    </a:prstGeom>
                    <a:noFill/>
                  </pic:spPr>
                </pic:pic>
              </a:graphicData>
            </a:graphic>
          </wp:anchor>
        </w:drawing>
      </w:r>
    </w:p>
    <w:p>
      <w:pPr>
        <w:sectPr>
          <w:pgSz w:w="11900" w:h="16838" w:orient="portrait"/>
          <w:cols w:equalWidth="0" w:num="1">
            <w:col w:w="9304"/>
          </w:cols>
          <w:pgMar w:left="1155" w:top="324" w:right="1440" w:bottom="1440" w:gutter="0" w:footer="0" w:header="0"/>
        </w:sectPr>
      </w:pPr>
    </w:p>
    <w:bookmarkStart w:id="24" w:name="page25"/>
    <w:bookmarkEnd w:id="24"/>
    <w:p>
      <w:pPr>
        <w:jc w:val="center"/>
        <w:ind w:left="1160" w:right="1140"/>
        <w:spacing w:after="0" w:line="257" w:lineRule="auto"/>
        <w:rPr>
          <w:sz w:val="20"/>
          <w:szCs w:val="20"/>
          <w:color w:val="auto"/>
        </w:rPr>
      </w:pPr>
      <w:r>
        <w:rPr>
          <w:rFonts w:ascii="Arial" w:cs="Arial" w:eastAsia="Arial" w:hAnsi="Arial"/>
          <w:sz w:val="17"/>
          <w:szCs w:val="17"/>
          <w:color w:val="auto"/>
        </w:rPr>
        <w:t>SECURITY NATIONAL FINANCIAL CORPORATION AND SUBSIDIARIES Notes to Condensed Consolidated Financial Statements March 31, 2020 (Unaudited)</w:t>
      </w:r>
    </w:p>
    <w:p>
      <w:pPr>
        <w:spacing w:after="0" w:line="97" w:lineRule="exact"/>
        <w:rPr>
          <w:sz w:val="20"/>
          <w:szCs w:val="20"/>
          <w:color w:val="auto"/>
        </w:rPr>
      </w:pPr>
    </w:p>
    <w:p>
      <w:pPr>
        <w:ind w:left="425" w:hanging="425"/>
        <w:spacing w:after="0"/>
        <w:tabs>
          <w:tab w:leader="none" w:pos="425"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Loans Held for Sale</w:t>
      </w:r>
      <w:r>
        <w:rPr>
          <w:rFonts w:ascii="Arial" w:cs="Arial" w:eastAsia="Arial" w:hAnsi="Arial"/>
          <w:sz w:val="17"/>
          <w:szCs w:val="17"/>
          <w:color w:val="auto"/>
        </w:rPr>
        <w:t xml:space="preserve"> (Continued)</w:t>
      </w:r>
    </w:p>
    <w:p>
      <w:pPr>
        <w:spacing w:after="0" w:line="225" w:lineRule="exact"/>
        <w:rPr>
          <w:sz w:val="20"/>
          <w:szCs w:val="20"/>
          <w:color w:val="auto"/>
        </w:rPr>
      </w:pPr>
    </w:p>
    <w:p>
      <w:pPr>
        <w:jc w:val="both"/>
        <w:ind w:left="5" w:right="1439"/>
        <w:spacing w:after="0" w:line="270" w:lineRule="auto"/>
        <w:rPr>
          <w:sz w:val="20"/>
          <w:szCs w:val="20"/>
          <w:color w:val="auto"/>
        </w:rPr>
      </w:pPr>
      <w:r>
        <w:rPr>
          <w:rFonts w:ascii="Arial" w:cs="Arial" w:eastAsia="Arial" w:hAnsi="Arial"/>
          <w:sz w:val="17"/>
          <w:szCs w:val="17"/>
          <w:color w:val="auto"/>
        </w:rPr>
        <w:t>The following is a summary of the aggregate fair value and the aggregate unpaid principal balance of loans held for sale for the periods presented:</w:t>
      </w:r>
    </w:p>
    <w:p>
      <w:pPr>
        <w:spacing w:after="0" w:line="262" w:lineRule="exact"/>
        <w:rPr>
          <w:sz w:val="20"/>
          <w:szCs w:val="20"/>
          <w:color w:val="auto"/>
        </w:rPr>
      </w:pPr>
    </w:p>
    <w:tbl>
      <w:tblPr>
        <w:tblLayout w:type="fixed"/>
        <w:tblInd w:w="5" w:type="dxa"/>
        <w:tblCellMar>
          <w:top w:w="0" w:type="dxa"/>
          <w:left w:w="0" w:type="dxa"/>
          <w:bottom w:w="0" w:type="dxa"/>
          <w:right w:w="0" w:type="dxa"/>
        </w:tblCellMar>
      </w:tblPr>
      <w:tr>
        <w:trPr>
          <w:trHeight w:val="221"/>
        </w:trPr>
        <w:tc>
          <w:tcPr>
            <w:tcW w:w="2000" w:type="dxa"/>
            <w:vAlign w:val="bottom"/>
          </w:tcPr>
          <w:p>
            <w:pPr>
              <w:spacing w:after="0"/>
              <w:rPr>
                <w:sz w:val="19"/>
                <w:szCs w:val="19"/>
                <w:color w:val="auto"/>
              </w:rPr>
            </w:pPr>
          </w:p>
        </w:tc>
        <w:tc>
          <w:tcPr>
            <w:tcW w:w="350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w w:val="97"/>
              </w:rPr>
              <w:t>As of March 31 2020  As of December 31 2019</w:t>
            </w:r>
          </w:p>
        </w:tc>
      </w:tr>
      <w:tr>
        <w:trPr>
          <w:trHeight w:val="206"/>
        </w:trPr>
        <w:tc>
          <w:tcPr>
            <w:tcW w:w="2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2"/>
        </w:trPr>
        <w:tc>
          <w:tcPr>
            <w:tcW w:w="2000" w:type="dxa"/>
            <w:vAlign w:val="bottom"/>
            <w:shd w:val="clear" w:color="auto" w:fill="CCEEFF"/>
          </w:tcPr>
          <w:p>
            <w:pPr>
              <w:spacing w:after="0"/>
              <w:rPr>
                <w:sz w:val="20"/>
                <w:szCs w:val="20"/>
                <w:color w:val="auto"/>
              </w:rPr>
            </w:pPr>
            <w:r>
              <w:rPr>
                <w:rFonts w:ascii="Arial" w:cs="Arial" w:eastAsia="Arial" w:hAnsi="Arial"/>
                <w:sz w:val="17"/>
                <w:szCs w:val="17"/>
                <w:color w:val="auto"/>
              </w:rPr>
              <w:t>Aggregate fair value</w:t>
            </w:r>
          </w:p>
        </w:tc>
        <w:tc>
          <w:tcPr>
            <w:tcW w:w="66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281,052,576</w:t>
            </w:r>
          </w:p>
        </w:tc>
        <w:tc>
          <w:tcPr>
            <w:tcW w:w="4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213,457,632</w:t>
            </w:r>
          </w:p>
        </w:tc>
      </w:tr>
      <w:tr>
        <w:trPr>
          <w:trHeight w:val="219"/>
        </w:trPr>
        <w:tc>
          <w:tcPr>
            <w:tcW w:w="2000" w:type="dxa"/>
            <w:vAlign w:val="bottom"/>
          </w:tcPr>
          <w:p>
            <w:pPr>
              <w:spacing w:after="0"/>
              <w:rPr>
                <w:sz w:val="20"/>
                <w:szCs w:val="20"/>
                <w:color w:val="auto"/>
              </w:rPr>
            </w:pPr>
            <w:r>
              <w:rPr>
                <w:rFonts w:ascii="Arial" w:cs="Arial" w:eastAsia="Arial" w:hAnsi="Arial"/>
                <w:sz w:val="17"/>
                <w:szCs w:val="17"/>
                <w:color w:val="auto"/>
              </w:rPr>
              <w:t>Unpaid principal balance</w:t>
            </w:r>
          </w:p>
        </w:tc>
        <w:tc>
          <w:tcPr>
            <w:tcW w:w="660" w:type="dxa"/>
            <w:vAlign w:val="bottom"/>
          </w:tcPr>
          <w:p>
            <w:pPr>
              <w:spacing w:after="0"/>
              <w:rPr>
                <w:sz w:val="19"/>
                <w:szCs w:val="19"/>
                <w:color w:val="auto"/>
              </w:rPr>
            </w:pPr>
          </w:p>
        </w:tc>
        <w:tc>
          <w:tcPr>
            <w:tcW w:w="1260" w:type="dxa"/>
            <w:vAlign w:val="bottom"/>
          </w:tcPr>
          <w:p>
            <w:pPr>
              <w:jc w:val="right"/>
              <w:ind w:right="114"/>
              <w:spacing w:after="0"/>
              <w:rPr>
                <w:sz w:val="20"/>
                <w:szCs w:val="20"/>
                <w:color w:val="auto"/>
              </w:rPr>
            </w:pPr>
            <w:r>
              <w:rPr>
                <w:rFonts w:ascii="Arial" w:cs="Arial" w:eastAsia="Arial" w:hAnsi="Arial"/>
                <w:sz w:val="17"/>
                <w:szCs w:val="17"/>
                <w:color w:val="auto"/>
              </w:rPr>
              <w:t>272,772,415</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206,417,122</w:t>
            </w:r>
          </w:p>
        </w:tc>
      </w:tr>
      <w:tr>
        <w:trPr>
          <w:trHeight w:val="225"/>
        </w:trPr>
        <w:tc>
          <w:tcPr>
            <w:tcW w:w="2000" w:type="dxa"/>
            <w:vAlign w:val="bottom"/>
            <w:shd w:val="clear" w:color="auto" w:fill="CCEEFF"/>
          </w:tcPr>
          <w:p>
            <w:pPr>
              <w:spacing w:after="0"/>
              <w:rPr>
                <w:sz w:val="20"/>
                <w:szCs w:val="20"/>
                <w:color w:val="auto"/>
              </w:rPr>
            </w:pPr>
            <w:r>
              <w:rPr>
                <w:rFonts w:ascii="Arial" w:cs="Arial" w:eastAsia="Arial" w:hAnsi="Arial"/>
                <w:sz w:val="17"/>
                <w:szCs w:val="17"/>
                <w:color w:val="auto"/>
              </w:rPr>
              <w:t>Unrealized gain</w:t>
            </w:r>
          </w:p>
        </w:tc>
        <w:tc>
          <w:tcPr>
            <w:tcW w:w="6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8,280,161</w:t>
            </w: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7,040,510</w:t>
            </w:r>
          </w:p>
        </w:tc>
      </w:tr>
    </w:tbl>
    <w:p>
      <w:pPr>
        <w:spacing w:after="0" w:line="184" w:lineRule="exact"/>
        <w:rPr>
          <w:sz w:val="20"/>
          <w:szCs w:val="20"/>
          <w:color w:val="auto"/>
        </w:rPr>
      </w:pPr>
    </w:p>
    <w:p>
      <w:pPr>
        <w:ind w:left="5"/>
        <w:spacing w:after="0"/>
        <w:rPr>
          <w:sz w:val="20"/>
          <w:szCs w:val="20"/>
          <w:color w:val="auto"/>
        </w:rPr>
      </w:pPr>
      <w:r>
        <w:rPr>
          <w:rFonts w:ascii="Arial" w:cs="Arial" w:eastAsia="Arial" w:hAnsi="Arial"/>
          <w:sz w:val="17"/>
          <w:szCs w:val="17"/>
          <w:u w:val="single" w:color="auto"/>
          <w:color w:val="auto"/>
        </w:rPr>
        <w:t>Mortgage Fee Income</w:t>
      </w:r>
    </w:p>
    <w:p>
      <w:pPr>
        <w:spacing w:after="0" w:line="109" w:lineRule="exact"/>
        <w:rPr>
          <w:sz w:val="20"/>
          <w:szCs w:val="20"/>
          <w:color w:val="auto"/>
        </w:rPr>
      </w:pPr>
    </w:p>
    <w:p>
      <w:pPr>
        <w:jc w:val="both"/>
        <w:ind w:left="5" w:right="1439"/>
        <w:spacing w:after="0" w:line="270" w:lineRule="auto"/>
        <w:rPr>
          <w:sz w:val="20"/>
          <w:szCs w:val="20"/>
          <w:color w:val="auto"/>
        </w:rPr>
      </w:pPr>
      <w:r>
        <w:rPr>
          <w:rFonts w:ascii="Arial" w:cs="Arial" w:eastAsia="Arial" w:hAnsi="Arial"/>
          <w:sz w:val="17"/>
          <w:szCs w:val="17"/>
          <w:color w:val="auto"/>
        </w:rPr>
        <w:t>Mortgage fee income consists of origination fees, processing fees, interest income and certain other income related to the origination and sale of mortgage loans held for sale.</w:t>
      </w:r>
    </w:p>
    <w:p>
      <w:pPr>
        <w:spacing w:after="0" w:line="157" w:lineRule="exact"/>
        <w:rPr>
          <w:sz w:val="20"/>
          <w:szCs w:val="20"/>
          <w:color w:val="auto"/>
        </w:rPr>
      </w:pPr>
    </w:p>
    <w:p>
      <w:pPr>
        <w:ind w:left="5"/>
        <w:spacing w:after="0"/>
        <w:rPr>
          <w:sz w:val="20"/>
          <w:szCs w:val="20"/>
          <w:color w:val="auto"/>
        </w:rPr>
      </w:pPr>
      <w:r>
        <w:rPr>
          <w:rFonts w:ascii="Arial" w:cs="Arial" w:eastAsia="Arial" w:hAnsi="Arial"/>
          <w:sz w:val="17"/>
          <w:szCs w:val="17"/>
          <w:color w:val="auto"/>
        </w:rPr>
        <w:t>Major categories of mortgage fee income for loans held for sale are as follows:</w:t>
      </w:r>
    </w:p>
    <w:p>
      <w:pPr>
        <w:spacing w:after="0" w:line="214" w:lineRule="exact"/>
        <w:rPr>
          <w:sz w:val="20"/>
          <w:szCs w:val="20"/>
          <w:color w:val="auto"/>
        </w:rPr>
      </w:pPr>
    </w:p>
    <w:tbl>
      <w:tblPr>
        <w:tblLayout w:type="fixed"/>
        <w:tblInd w:w="5" w:type="dxa"/>
        <w:tblCellMar>
          <w:top w:w="0" w:type="dxa"/>
          <w:left w:w="0" w:type="dxa"/>
          <w:bottom w:w="0" w:type="dxa"/>
          <w:right w:w="0" w:type="dxa"/>
        </w:tblCellMar>
      </w:tblPr>
      <w:tr>
        <w:trPr>
          <w:trHeight w:val="221"/>
        </w:trPr>
        <w:tc>
          <w:tcPr>
            <w:tcW w:w="36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7"/>
                <w:szCs w:val="17"/>
                <w:color w:val="auto"/>
                <w:w w:val="92"/>
              </w:rPr>
              <w:t>Three Months Ended March 31</w:t>
            </w:r>
          </w:p>
        </w:tc>
      </w:tr>
      <w:tr>
        <w:trPr>
          <w:trHeight w:val="215"/>
        </w:trPr>
        <w:tc>
          <w:tcPr>
            <w:tcW w:w="36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color w:val="auto"/>
              </w:rPr>
              <w:t>2020</w:t>
            </w:r>
          </w:p>
        </w:tc>
        <w:tc>
          <w:tcPr>
            <w:tcW w:w="2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color w:val="auto"/>
              </w:rPr>
              <w:t>2019</w:t>
            </w:r>
          </w:p>
        </w:tc>
      </w:tr>
      <w:tr>
        <w:trPr>
          <w:trHeight w:val="217"/>
        </w:trPr>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Loan fees</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8,916,153</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5,741,262</w:t>
            </w:r>
          </w:p>
        </w:tc>
      </w:tr>
      <w:tr>
        <w:trPr>
          <w:trHeight w:val="219"/>
        </w:trPr>
        <w:tc>
          <w:tcPr>
            <w:tcW w:w="3600" w:type="dxa"/>
            <w:vAlign w:val="bottom"/>
          </w:tcPr>
          <w:p>
            <w:pPr>
              <w:spacing w:after="0"/>
              <w:rPr>
                <w:sz w:val="20"/>
                <w:szCs w:val="20"/>
                <w:color w:val="auto"/>
              </w:rPr>
            </w:pPr>
            <w:r>
              <w:rPr>
                <w:rFonts w:ascii="Arial" w:cs="Arial" w:eastAsia="Arial" w:hAnsi="Arial"/>
                <w:sz w:val="17"/>
                <w:szCs w:val="17"/>
                <w:color w:val="auto"/>
              </w:rPr>
              <w:t>Interest income</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1,680,459</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1,214,632</w:t>
            </w:r>
          </w:p>
        </w:tc>
      </w:tr>
      <w:tr>
        <w:trPr>
          <w:trHeight w:val="225"/>
        </w:trPr>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Secondary gains</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26,641,492</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16,364,771</w:t>
            </w:r>
          </w:p>
        </w:tc>
      </w:tr>
      <w:tr>
        <w:trPr>
          <w:trHeight w:val="219"/>
        </w:trPr>
        <w:tc>
          <w:tcPr>
            <w:tcW w:w="3600" w:type="dxa"/>
            <w:vAlign w:val="bottom"/>
          </w:tcPr>
          <w:p>
            <w:pPr>
              <w:spacing w:after="0"/>
              <w:rPr>
                <w:sz w:val="20"/>
                <w:szCs w:val="20"/>
                <w:color w:val="auto"/>
              </w:rPr>
            </w:pPr>
            <w:r>
              <w:rPr>
                <w:rFonts w:ascii="Arial" w:cs="Arial" w:eastAsia="Arial" w:hAnsi="Arial"/>
                <w:sz w:val="17"/>
                <w:szCs w:val="17"/>
                <w:color w:val="auto"/>
              </w:rPr>
              <w:t>Change in fair value of loan commitments</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3,275,032</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932,527</w:t>
            </w:r>
          </w:p>
        </w:tc>
      </w:tr>
      <w:tr>
        <w:trPr>
          <w:trHeight w:val="225"/>
        </w:trPr>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Change in fair value of loans held for sale</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381,734</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328,058</w:t>
            </w:r>
          </w:p>
        </w:tc>
      </w:tr>
      <w:tr>
        <w:trPr>
          <w:trHeight w:val="219"/>
        </w:trPr>
        <w:tc>
          <w:tcPr>
            <w:tcW w:w="36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Provision for loan loss reserve</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(613,109)</w:t>
            </w:r>
          </w:p>
        </w:tc>
        <w:tc>
          <w:tcPr>
            <w:tcW w:w="2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(102,379)</w:t>
            </w:r>
          </w:p>
        </w:tc>
      </w:tr>
      <w:tr>
        <w:trPr>
          <w:trHeight w:val="214"/>
        </w:trPr>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Mortgage fee income</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40,281,761</w:t>
            </w:r>
          </w:p>
        </w:tc>
        <w:tc>
          <w:tcPr>
            <w:tcW w:w="2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24,478,871</w:t>
            </w:r>
          </w:p>
        </w:tc>
      </w:tr>
      <w:tr>
        <w:trPr>
          <w:trHeight w:val="20"/>
        </w:trPr>
        <w:tc>
          <w:tcPr>
            <w:tcW w:w="36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5"/>
        <w:spacing w:after="0"/>
        <w:rPr>
          <w:sz w:val="20"/>
          <w:szCs w:val="20"/>
          <w:color w:val="auto"/>
        </w:rPr>
      </w:pPr>
      <w:r>
        <w:rPr>
          <w:rFonts w:ascii="Arial" w:cs="Arial" w:eastAsia="Arial" w:hAnsi="Arial"/>
          <w:sz w:val="17"/>
          <w:szCs w:val="17"/>
          <w:u w:val="single" w:color="auto"/>
          <w:color w:val="auto"/>
        </w:rPr>
        <w:t>Loan Loss Reserve</w:t>
      </w:r>
    </w:p>
    <w:p>
      <w:pPr>
        <w:spacing w:after="0" w:line="202" w:lineRule="exact"/>
        <w:rPr>
          <w:sz w:val="20"/>
          <w:szCs w:val="20"/>
          <w:color w:val="auto"/>
        </w:rPr>
      </w:pPr>
    </w:p>
    <w:p>
      <w:pPr>
        <w:jc w:val="both"/>
        <w:ind w:left="5" w:right="1439"/>
        <w:spacing w:after="0" w:line="265" w:lineRule="auto"/>
        <w:rPr>
          <w:sz w:val="20"/>
          <w:szCs w:val="20"/>
          <w:color w:val="auto"/>
        </w:rPr>
      </w:pPr>
      <w:r>
        <w:rPr>
          <w:rFonts w:ascii="Arial" w:cs="Arial" w:eastAsia="Arial" w:hAnsi="Arial"/>
          <w:sz w:val="16"/>
          <w:szCs w:val="16"/>
          <w:color w:val="auto"/>
        </w:rPr>
        <w:t>When a repurchase demand corresponding to a mortgage loan previously held for sale and sold to a third-party investor is received from a third-party investor, the relevant data is reviewed and captured so that an estimated future loss can be calculated. The key factors that are used in the estimated loss calculation are as follows: (i) lien position, (ii) payment status, (iii) claim type, (iv) unpaid principal balance, (v) interest rate, and (vi) validity of the demand. Other data is captured and is useful for management purposes; the actual estimated loss is generally based on these key factors. The Company conducts its own review upon the receipt of a repurchase demand. In many instances, the Company is able to resolve the issues relating to the repurchase demand by the third-party investor without having to make any payments to the investor.</w:t>
      </w:r>
    </w:p>
    <w:p>
      <w:pPr>
        <w:spacing w:after="0" w:line="164" w:lineRule="exact"/>
        <w:rPr>
          <w:sz w:val="20"/>
          <w:szCs w:val="20"/>
          <w:color w:val="auto"/>
        </w:rPr>
      </w:pPr>
    </w:p>
    <w:p>
      <w:pPr>
        <w:ind w:left="5"/>
        <w:spacing w:after="0"/>
        <w:rPr>
          <w:sz w:val="20"/>
          <w:szCs w:val="20"/>
          <w:color w:val="auto"/>
        </w:rPr>
      </w:pPr>
      <w:r>
        <w:rPr>
          <w:rFonts w:ascii="Arial" w:cs="Arial" w:eastAsia="Arial" w:hAnsi="Arial"/>
          <w:sz w:val="16"/>
          <w:szCs w:val="16"/>
          <w:color w:val="auto"/>
        </w:rPr>
        <w:t>The following is a summary of the loan loss reserve that is included in other liabilities and accrued expenses:</w:t>
      </w:r>
    </w:p>
    <w:p>
      <w:pPr>
        <w:spacing w:after="0" w:line="227" w:lineRule="exact"/>
        <w:rPr>
          <w:sz w:val="20"/>
          <w:szCs w:val="20"/>
          <w:color w:val="auto"/>
        </w:rPr>
      </w:pPr>
    </w:p>
    <w:tbl>
      <w:tblPr>
        <w:tblLayout w:type="fixed"/>
        <w:tblInd w:w="5" w:type="dxa"/>
        <w:tblCellMar>
          <w:top w:w="0" w:type="dxa"/>
          <w:left w:w="0" w:type="dxa"/>
          <w:bottom w:w="0" w:type="dxa"/>
          <w:right w:w="0" w:type="dxa"/>
        </w:tblCellMar>
      </w:tblPr>
      <w:tr>
        <w:trPr>
          <w:trHeight w:val="187"/>
        </w:trPr>
        <w:tc>
          <w:tcPr>
            <w:tcW w:w="8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840" w:type="dxa"/>
            <w:vAlign w:val="bottom"/>
            <w:gridSpan w:val="3"/>
          </w:tcPr>
          <w:p>
            <w:pPr>
              <w:ind w:left="320"/>
              <w:spacing w:after="0"/>
              <w:rPr>
                <w:sz w:val="20"/>
                <w:szCs w:val="20"/>
                <w:color w:val="auto"/>
              </w:rPr>
            </w:pPr>
            <w:r>
              <w:rPr>
                <w:rFonts w:ascii="Arial" w:cs="Arial" w:eastAsia="Arial" w:hAnsi="Arial"/>
                <w:sz w:val="16"/>
                <w:szCs w:val="16"/>
                <w:color w:val="auto"/>
              </w:rPr>
              <w:t>As of March 31</w:t>
            </w:r>
          </w:p>
        </w:tc>
        <w:tc>
          <w:tcPr>
            <w:tcW w:w="1580" w:type="dxa"/>
            <w:vAlign w:val="bottom"/>
            <w:gridSpan w:val="2"/>
          </w:tcPr>
          <w:p>
            <w:pPr>
              <w:jc w:val="right"/>
              <w:ind w:right="102"/>
              <w:spacing w:after="0"/>
              <w:rPr>
                <w:sz w:val="20"/>
                <w:szCs w:val="20"/>
                <w:color w:val="auto"/>
              </w:rPr>
            </w:pPr>
            <w:r>
              <w:rPr>
                <w:rFonts w:ascii="Arial" w:cs="Arial" w:eastAsia="Arial" w:hAnsi="Arial"/>
                <w:sz w:val="16"/>
                <w:szCs w:val="16"/>
                <w:color w:val="auto"/>
              </w:rPr>
              <w:t>As of December 31</w:t>
            </w:r>
          </w:p>
        </w:tc>
      </w:tr>
      <w:tr>
        <w:trPr>
          <w:trHeight w:val="205"/>
        </w:trPr>
        <w:tc>
          <w:tcPr>
            <w:tcW w:w="860" w:type="dxa"/>
            <w:vAlign w:val="bottom"/>
            <w:tcBorders>
              <w:bottom w:val="single" w:sz="8" w:color="CCEEFF"/>
            </w:tcBorders>
          </w:tcPr>
          <w:p>
            <w:pPr>
              <w:spacing w:after="0"/>
              <w:rPr>
                <w:sz w:val="17"/>
                <w:szCs w:val="17"/>
                <w:color w:val="auto"/>
              </w:rPr>
            </w:pPr>
          </w:p>
        </w:tc>
        <w:tc>
          <w:tcPr>
            <w:tcW w:w="22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82"/>
              <w:spacing w:after="0"/>
              <w:rPr>
                <w:sz w:val="20"/>
                <w:szCs w:val="20"/>
                <w:color w:val="auto"/>
              </w:rPr>
            </w:pPr>
            <w:r>
              <w:rPr>
                <w:rFonts w:ascii="Arial" w:cs="Arial" w:eastAsia="Arial" w:hAnsi="Arial"/>
                <w:sz w:val="16"/>
                <w:szCs w:val="16"/>
                <w:color w:val="auto"/>
              </w:rPr>
              <w:t>2020</w:t>
            </w:r>
          </w:p>
        </w:tc>
        <w:tc>
          <w:tcPr>
            <w:tcW w:w="2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62"/>
              <w:spacing w:after="0"/>
              <w:rPr>
                <w:sz w:val="20"/>
                <w:szCs w:val="20"/>
                <w:color w:val="auto"/>
              </w:rPr>
            </w:pPr>
            <w:r>
              <w:rPr>
                <w:rFonts w:ascii="Arial" w:cs="Arial" w:eastAsia="Arial" w:hAnsi="Arial"/>
                <w:sz w:val="16"/>
                <w:szCs w:val="16"/>
                <w:color w:val="auto"/>
              </w:rPr>
              <w:t>2019</w:t>
            </w:r>
          </w:p>
        </w:tc>
      </w:tr>
      <w:tr>
        <w:trPr>
          <w:trHeight w:val="208"/>
        </w:trPr>
        <w:tc>
          <w:tcPr>
            <w:tcW w:w="3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beginning of period</w:t>
            </w:r>
          </w:p>
        </w:tc>
        <w:tc>
          <w:tcPr>
            <w:tcW w:w="5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4,046,288</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3,604,869</w:t>
            </w:r>
          </w:p>
        </w:tc>
      </w:tr>
      <w:tr>
        <w:trPr>
          <w:trHeight w:val="205"/>
        </w:trPr>
        <w:tc>
          <w:tcPr>
            <w:tcW w:w="3080" w:type="dxa"/>
            <w:vAlign w:val="bottom"/>
            <w:gridSpan w:val="2"/>
          </w:tcPr>
          <w:p>
            <w:pPr>
              <w:spacing w:after="0"/>
              <w:rPr>
                <w:sz w:val="20"/>
                <w:szCs w:val="20"/>
                <w:color w:val="auto"/>
              </w:rPr>
            </w:pPr>
            <w:r>
              <w:rPr>
                <w:rFonts w:ascii="Arial" w:cs="Arial" w:eastAsia="Arial" w:hAnsi="Arial"/>
                <w:sz w:val="16"/>
                <w:szCs w:val="16"/>
                <w:color w:val="auto"/>
              </w:rPr>
              <w:t>Provision on current loan originations (1)</w:t>
            </w:r>
          </w:p>
        </w:tc>
        <w:tc>
          <w:tcPr>
            <w:tcW w:w="5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613,109</w:t>
            </w: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643,284</w:t>
            </w:r>
          </w:p>
        </w:tc>
      </w:tr>
      <w:tr>
        <w:trPr>
          <w:trHeight w:val="210"/>
        </w:trPr>
        <w:tc>
          <w:tcPr>
            <w:tcW w:w="3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Charge-offs, net of recaptured amounts</w:t>
            </w:r>
          </w:p>
        </w:tc>
        <w:tc>
          <w:tcPr>
            <w:tcW w:w="5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(1,230,348)</w:t>
            </w:r>
          </w:p>
        </w:tc>
        <w:tc>
          <w:tcPr>
            <w:tcW w:w="2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(201,865)</w:t>
            </w:r>
          </w:p>
        </w:tc>
      </w:tr>
      <w:tr>
        <w:trPr>
          <w:trHeight w:val="248"/>
        </w:trPr>
        <w:tc>
          <w:tcPr>
            <w:tcW w:w="30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Balance, end of period</w:t>
            </w:r>
          </w:p>
        </w:tc>
        <w:tc>
          <w:tcPr>
            <w:tcW w:w="5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3,429,049</w:t>
            </w:r>
          </w:p>
        </w:tc>
        <w:tc>
          <w:tcPr>
            <w:tcW w:w="2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4,046,288</w:t>
            </w:r>
          </w:p>
        </w:tc>
      </w:tr>
      <w:tr>
        <w:trPr>
          <w:trHeight w:val="166"/>
        </w:trPr>
        <w:tc>
          <w:tcPr>
            <w:tcW w:w="860" w:type="dxa"/>
            <w:vAlign w:val="bottom"/>
            <w:tcBorders>
              <w:bottom w:val="single" w:sz="8" w:color="auto"/>
            </w:tcBorders>
            <w:shd w:val="clear" w:color="auto" w:fill="CCEEFF"/>
          </w:tcPr>
          <w:p>
            <w:pPr>
              <w:spacing w:after="0"/>
              <w:rPr>
                <w:sz w:val="14"/>
                <w:szCs w:val="14"/>
                <w:color w:val="auto"/>
              </w:rPr>
            </w:pPr>
          </w:p>
        </w:tc>
        <w:tc>
          <w:tcPr>
            <w:tcW w:w="22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r>
    </w:tbl>
    <w:p>
      <w:pPr>
        <w:ind w:left="5"/>
        <w:spacing w:after="0"/>
        <w:rPr>
          <w:sz w:val="20"/>
          <w:szCs w:val="20"/>
          <w:color w:val="auto"/>
        </w:rPr>
      </w:pPr>
      <w:r>
        <w:rPr>
          <w:rFonts w:ascii="Arial" w:cs="Arial" w:eastAsia="Arial" w:hAnsi="Arial"/>
          <w:sz w:val="16"/>
          <w:szCs w:val="16"/>
          <w:color w:val="auto"/>
        </w:rPr>
        <w:t>(1) Included in mortgage fee income</w:t>
      </w:r>
    </w:p>
    <w:p>
      <w:pPr>
        <w:spacing w:after="0" w:line="222" w:lineRule="exact"/>
        <w:rPr>
          <w:sz w:val="20"/>
          <w:szCs w:val="20"/>
          <w:color w:val="auto"/>
        </w:rPr>
      </w:pPr>
    </w:p>
    <w:p>
      <w:pPr>
        <w:ind w:left="3845"/>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498983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89830" cy="29845"/>
                    </a:xfrm>
                    <a:prstGeom prst="rect">
                      <a:avLst/>
                    </a:prstGeom>
                    <a:noFill/>
                  </pic:spPr>
                </pic:pic>
              </a:graphicData>
            </a:graphic>
          </wp:anchor>
        </w:drawing>
      </w:r>
    </w:p>
    <w:p>
      <w:pPr>
        <w:sectPr>
          <w:pgSz w:w="11900" w:h="16838" w:orient="portrait"/>
          <w:cols w:equalWidth="0" w:num="1">
            <w:col w:w="9304"/>
          </w:cols>
          <w:pgMar w:left="1155" w:top="324" w:right="1440" w:bottom="1440" w:gutter="0" w:footer="0" w:header="0"/>
        </w:sectPr>
      </w:pPr>
    </w:p>
    <w:bookmarkStart w:id="25" w:name="page26"/>
    <w:bookmarkEnd w:id="25"/>
    <w:p>
      <w:pPr>
        <w:jc w:val="center"/>
        <w:ind w:left="1160" w:right="1140"/>
        <w:spacing w:after="0" w:line="257" w:lineRule="auto"/>
        <w:rPr>
          <w:sz w:val="20"/>
          <w:szCs w:val="20"/>
          <w:color w:val="auto"/>
        </w:rPr>
      </w:pPr>
      <w:r>
        <w:rPr>
          <w:rFonts w:ascii="Arial" w:cs="Arial" w:eastAsia="Arial" w:hAnsi="Arial"/>
          <w:sz w:val="17"/>
          <w:szCs w:val="17"/>
          <w:color w:val="auto"/>
        </w:rPr>
        <w:t>SECURITY NATIONAL FINANCIAL CORPORATION AND SUBSIDIARIES Notes to Condensed Consolidated Financial Statements March 31, 2020 (Unaudited)</w:t>
      </w:r>
    </w:p>
    <w:p>
      <w:pPr>
        <w:spacing w:after="0" w:line="97" w:lineRule="exact"/>
        <w:rPr>
          <w:sz w:val="20"/>
          <w:szCs w:val="20"/>
          <w:color w:val="auto"/>
        </w:rPr>
      </w:pPr>
    </w:p>
    <w:p>
      <w:pPr>
        <w:ind w:left="425" w:hanging="425"/>
        <w:spacing w:after="0"/>
        <w:tabs>
          <w:tab w:leader="none" w:pos="425"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Loans Held for Sale</w:t>
      </w:r>
      <w:r>
        <w:rPr>
          <w:rFonts w:ascii="Arial" w:cs="Arial" w:eastAsia="Arial" w:hAnsi="Arial"/>
          <w:sz w:val="17"/>
          <w:szCs w:val="17"/>
          <w:color w:val="auto"/>
        </w:rPr>
        <w:t xml:space="preserve"> (Continued)</w:t>
      </w:r>
    </w:p>
    <w:p>
      <w:pPr>
        <w:spacing w:after="0" w:line="225" w:lineRule="exact"/>
        <w:rPr>
          <w:sz w:val="20"/>
          <w:szCs w:val="20"/>
          <w:color w:val="auto"/>
        </w:rPr>
      </w:pPr>
    </w:p>
    <w:p>
      <w:pPr>
        <w:jc w:val="both"/>
        <w:ind w:left="5" w:right="1439"/>
        <w:spacing w:after="0" w:line="250" w:lineRule="auto"/>
        <w:rPr>
          <w:sz w:val="20"/>
          <w:szCs w:val="20"/>
          <w:color w:val="auto"/>
        </w:rPr>
      </w:pPr>
      <w:r>
        <w:rPr>
          <w:rFonts w:ascii="Arial" w:cs="Arial" w:eastAsia="Arial" w:hAnsi="Arial"/>
          <w:sz w:val="17"/>
          <w:szCs w:val="17"/>
          <w:color w:val="auto"/>
        </w:rPr>
        <w:t>The Company maintains reserves for estimated losses on current production volumes. The Company also retains loss reserves for loans that the Company originated between 2005 and 2007, in which the possibility of an investor claim or potential settlement may still exist. For the three months ended March 31, 2020 and 2019, reserves were added at a rate of 2.5 basis points per loan originated, the equivalent of $250 per $1,000,000 in loans originated.</w:t>
      </w:r>
    </w:p>
    <w:p>
      <w:pPr>
        <w:spacing w:after="0" w:line="175" w:lineRule="exact"/>
        <w:rPr>
          <w:sz w:val="20"/>
          <w:szCs w:val="20"/>
          <w:color w:val="auto"/>
        </w:rPr>
      </w:pPr>
    </w:p>
    <w:p>
      <w:pPr>
        <w:jc w:val="both"/>
        <w:ind w:left="5" w:right="1459"/>
        <w:spacing w:after="0" w:line="250" w:lineRule="auto"/>
        <w:rPr>
          <w:sz w:val="20"/>
          <w:szCs w:val="20"/>
          <w:color w:val="auto"/>
        </w:rPr>
      </w:pPr>
      <w:r>
        <w:rPr>
          <w:rFonts w:ascii="Arial" w:cs="Arial" w:eastAsia="Arial" w:hAnsi="Arial"/>
          <w:sz w:val="17"/>
          <w:szCs w:val="17"/>
          <w:color w:val="auto"/>
        </w:rPr>
        <w:t>Based on the Company’s best estimate for potential loan losses and considering published industry data, loss reserve basis points are established to create an adequate reserve. The reserve is intended to cover both expected losses on recent period loan production and possible losses on earlier loans that were sold. The strong housing market over the last several years has reduced the Company’s exposure to losses on more recent loan production, but exposure still remains on older loans.</w:t>
      </w:r>
    </w:p>
    <w:p>
      <w:pPr>
        <w:spacing w:after="0" w:line="175" w:lineRule="exact"/>
        <w:rPr>
          <w:sz w:val="20"/>
          <w:szCs w:val="20"/>
          <w:color w:val="auto"/>
        </w:rPr>
      </w:pPr>
    </w:p>
    <w:p>
      <w:pPr>
        <w:jc w:val="both"/>
        <w:ind w:left="5" w:right="1439"/>
        <w:spacing w:after="0" w:line="264" w:lineRule="auto"/>
        <w:rPr>
          <w:sz w:val="20"/>
          <w:szCs w:val="20"/>
          <w:color w:val="auto"/>
        </w:rPr>
      </w:pPr>
      <w:r>
        <w:rPr>
          <w:rFonts w:ascii="Arial" w:cs="Arial" w:eastAsia="Arial" w:hAnsi="Arial"/>
          <w:sz w:val="16"/>
          <w:szCs w:val="16"/>
          <w:color w:val="auto"/>
        </w:rPr>
        <w:t>During the period from 2006 to 2020, over $60 million has been reserved for loan losses. A large majority of that reserve has been used to settle investor claims or potential claims on alternative documentation loans originated between 2005 to 2007. As the time since the origination of these loans has increased, estimating the potential of a claim being made, when it might be made, the validity of the claim, and the amount of such claim becomes more difficult. However, because some loans remain from the original 2005 to 2007 time period that have not been settled, the Company still includes a reserve for the potential of future loan demands and potential settlements of such loans. As of March 31, 2020, the loan loss reserve includes an estimate of approximately $3,000,000 for remaining losses still to be settled on loans from this time period with a general reserve for more recent loan production. Thus, the Company believes that the final loan loss reserve as of March 31, 2020, represents its best estimate for adequate loss reserves on loans sold.</w:t>
      </w:r>
    </w:p>
    <w:p>
      <w:pPr>
        <w:spacing w:after="0" w:line="163" w:lineRule="exact"/>
        <w:rPr>
          <w:sz w:val="20"/>
          <w:szCs w:val="20"/>
          <w:color w:val="auto"/>
        </w:rPr>
      </w:pPr>
    </w:p>
    <w:p>
      <w:pPr>
        <w:jc w:val="both"/>
        <w:ind w:left="5" w:right="1439"/>
        <w:spacing w:after="0" w:line="249" w:lineRule="auto"/>
        <w:rPr>
          <w:sz w:val="20"/>
          <w:szCs w:val="20"/>
          <w:color w:val="auto"/>
        </w:rPr>
      </w:pPr>
      <w:r>
        <w:rPr>
          <w:rFonts w:ascii="Arial" w:cs="Arial" w:eastAsia="Arial" w:hAnsi="Arial"/>
          <w:sz w:val="17"/>
          <w:szCs w:val="17"/>
          <w:color w:val="auto"/>
        </w:rPr>
        <w:t>The Company believes that actual loan loss experience could change in the near-term from the established reserve based upon claims that could be asserted by a third-party investor. The Company believes there is potential to resolve any alleged claims by a third-party investor on acceptable terms. If the Company is unable to resolve such claims on acceptable terms, legal action may ensue. In the event of legal action by any third-party investor, the Company believes it has significant defenses to any such action and intends to vigorously defend itself against such action.</w:t>
      </w:r>
    </w:p>
    <w:p>
      <w:pPr>
        <w:spacing w:after="0" w:line="186" w:lineRule="exact"/>
        <w:rPr>
          <w:sz w:val="20"/>
          <w:szCs w:val="20"/>
          <w:color w:val="auto"/>
        </w:rPr>
      </w:pPr>
    </w:p>
    <w:p>
      <w:pPr>
        <w:ind w:left="3845"/>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498983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89830" cy="29845"/>
                    </a:xfrm>
                    <a:prstGeom prst="rect">
                      <a:avLst/>
                    </a:prstGeom>
                    <a:noFill/>
                  </pic:spPr>
                </pic:pic>
              </a:graphicData>
            </a:graphic>
          </wp:anchor>
        </w:drawing>
      </w:r>
    </w:p>
    <w:p>
      <w:pPr>
        <w:sectPr>
          <w:pgSz w:w="11900" w:h="16838" w:orient="portrait"/>
          <w:cols w:equalWidth="0" w:num="1">
            <w:col w:w="9304"/>
          </w:cols>
          <w:pgMar w:left="1155" w:top="324" w:right="1440" w:bottom="1440" w:gutter="0" w:footer="0" w:header="0"/>
        </w:sectPr>
      </w:pPr>
    </w:p>
    <w:bookmarkStart w:id="26" w:name="page27"/>
    <w:bookmarkEnd w:id="26"/>
    <w:p>
      <w:pPr>
        <w:jc w:val="center"/>
        <w:ind w:left="1160" w:right="1140"/>
        <w:spacing w:after="0" w:line="257" w:lineRule="auto"/>
        <w:rPr>
          <w:sz w:val="20"/>
          <w:szCs w:val="20"/>
          <w:color w:val="auto"/>
        </w:rPr>
      </w:pPr>
      <w:r>
        <w:rPr>
          <w:rFonts w:ascii="Arial" w:cs="Arial" w:eastAsia="Arial" w:hAnsi="Arial"/>
          <w:sz w:val="17"/>
          <w:szCs w:val="17"/>
          <w:color w:val="auto"/>
        </w:rPr>
        <w:t>SECURITY NATIONAL FINANCIAL CORPORATION AND SUBSIDIARIES Notes to Condensed Consolidated Financial Statements March 31, 2020 (Unaudited)</w:t>
      </w:r>
    </w:p>
    <w:p>
      <w:pPr>
        <w:spacing w:after="0" w:line="191" w:lineRule="exact"/>
        <w:rPr>
          <w:sz w:val="20"/>
          <w:szCs w:val="20"/>
          <w:color w:val="auto"/>
        </w:rPr>
      </w:pPr>
    </w:p>
    <w:p>
      <w:pPr>
        <w:ind w:left="425" w:hanging="425"/>
        <w:spacing w:after="0"/>
        <w:tabs>
          <w:tab w:leader="none" w:pos="425"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Stock Compensation Plans</w:t>
      </w:r>
    </w:p>
    <w:p>
      <w:pPr>
        <w:spacing w:after="0" w:line="202" w:lineRule="exact"/>
        <w:rPr>
          <w:sz w:val="20"/>
          <w:szCs w:val="20"/>
          <w:color w:val="auto"/>
        </w:rPr>
      </w:pPr>
    </w:p>
    <w:p>
      <w:pPr>
        <w:jc w:val="both"/>
        <w:ind w:left="5" w:right="1439"/>
        <w:spacing w:after="0" w:line="297" w:lineRule="auto"/>
        <w:rPr>
          <w:sz w:val="20"/>
          <w:szCs w:val="20"/>
          <w:color w:val="auto"/>
        </w:rPr>
      </w:pPr>
      <w:r>
        <w:rPr>
          <w:rFonts w:ascii="Arial" w:cs="Arial" w:eastAsia="Arial" w:hAnsi="Arial"/>
          <w:sz w:val="15"/>
          <w:szCs w:val="15"/>
          <w:color w:val="auto"/>
        </w:rPr>
        <w:t>The Company has two fixed option plans (the “2013 Plan” and the “2014 Director Plan”). Compensation expense for options issued of $65,877 and $64,704 has been recognized for these plans for the three months ended March 31, 2020 and 2019, respectively. As of March 31, 2020, the total unrecognized compensation expense related to the options issued was $248,574, which is expected to be recognized over the vesting period of one year.</w:t>
      </w:r>
    </w:p>
    <w:p>
      <w:pPr>
        <w:spacing w:after="0" w:line="140" w:lineRule="exact"/>
        <w:rPr>
          <w:sz w:val="20"/>
          <w:szCs w:val="20"/>
          <w:color w:val="auto"/>
        </w:rPr>
      </w:pPr>
    </w:p>
    <w:p>
      <w:pPr>
        <w:jc w:val="both"/>
        <w:ind w:left="5" w:right="1439"/>
        <w:spacing w:after="0" w:line="269" w:lineRule="auto"/>
        <w:rPr>
          <w:sz w:val="20"/>
          <w:szCs w:val="20"/>
          <w:color w:val="auto"/>
        </w:rPr>
      </w:pPr>
      <w:r>
        <w:rPr>
          <w:rFonts w:ascii="Arial" w:cs="Arial" w:eastAsia="Arial" w:hAnsi="Arial"/>
          <w:sz w:val="16"/>
          <w:szCs w:val="16"/>
          <w:color w:val="auto"/>
        </w:rPr>
        <w:t>The fair value of each option granted is estimated on the date of grant using the Black Scholes Option Pricing Model. The Company estimates the expected life of the options using the simplified method. Future volatility is estimated based upon the weighted historical volatility of the Company’s Class A common stock over a period equal to the expected life of the options. The risk-free interest rate for the expected life of the options is based upon the Federal Reserve Board’s daily interest rates in effect at the time of the grant.</w:t>
      </w:r>
    </w:p>
    <w:p>
      <w:pPr>
        <w:spacing w:after="0" w:line="162" w:lineRule="exact"/>
        <w:rPr>
          <w:sz w:val="20"/>
          <w:szCs w:val="20"/>
          <w:color w:val="auto"/>
        </w:rPr>
      </w:pPr>
    </w:p>
    <w:p>
      <w:pPr>
        <w:jc w:val="both"/>
        <w:ind w:left="5" w:right="1439"/>
        <w:spacing w:after="0" w:line="270" w:lineRule="auto"/>
        <w:rPr>
          <w:sz w:val="20"/>
          <w:szCs w:val="20"/>
          <w:color w:val="auto"/>
        </w:rPr>
      </w:pPr>
      <w:r>
        <w:rPr>
          <w:rFonts w:ascii="Arial" w:cs="Arial" w:eastAsia="Arial" w:hAnsi="Arial"/>
          <w:sz w:val="17"/>
          <w:szCs w:val="17"/>
          <w:color w:val="auto"/>
        </w:rPr>
        <w:t>A summary of the status of the Company’s stock compensation plans as of March 31, 2020, and the changes during the three months ended March 31, 2020, are presented below:</w:t>
      </w:r>
    </w:p>
    <w:p>
      <w:pPr>
        <w:spacing w:after="0" w:line="299" w:lineRule="exact"/>
        <w:rPr>
          <w:sz w:val="20"/>
          <w:szCs w:val="20"/>
          <w:color w:val="auto"/>
        </w:rPr>
      </w:pPr>
    </w:p>
    <w:tbl>
      <w:tblPr>
        <w:tblLayout w:type="fixed"/>
        <w:tblInd w:w="5" w:type="dxa"/>
        <w:tblCellMar>
          <w:top w:w="0" w:type="dxa"/>
          <w:left w:w="0" w:type="dxa"/>
          <w:bottom w:w="0" w:type="dxa"/>
          <w:right w:w="0" w:type="dxa"/>
        </w:tblCellMar>
      </w:tblPr>
      <w:tr>
        <w:trPr>
          <w:trHeight w:val="187"/>
        </w:trPr>
        <w:tc>
          <w:tcPr>
            <w:tcW w:w="12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142"/>
              <w:spacing w:after="0"/>
              <w:rPr>
                <w:sz w:val="20"/>
                <w:szCs w:val="20"/>
                <w:color w:val="auto"/>
              </w:rPr>
            </w:pPr>
            <w:r>
              <w:rPr>
                <w:rFonts w:ascii="Arial" w:cs="Arial" w:eastAsia="Arial" w:hAnsi="Arial"/>
                <w:sz w:val="16"/>
                <w:szCs w:val="16"/>
                <w:color w:val="auto"/>
                <w:w w:val="88"/>
              </w:rPr>
              <w:t>Weighted</w:t>
            </w: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center"/>
              <w:spacing w:after="0"/>
              <w:rPr>
                <w:sz w:val="20"/>
                <w:szCs w:val="20"/>
                <w:color w:val="auto"/>
              </w:rPr>
            </w:pPr>
            <w:r>
              <w:rPr>
                <w:rFonts w:ascii="Arial" w:cs="Arial" w:eastAsia="Arial" w:hAnsi="Arial"/>
                <w:sz w:val="16"/>
                <w:szCs w:val="16"/>
                <w:color w:val="auto"/>
                <w:w w:val="85"/>
              </w:rPr>
              <w:t>Weighted</w:t>
            </w:r>
          </w:p>
        </w:tc>
      </w:tr>
      <w:tr>
        <w:trPr>
          <w:trHeight w:val="187"/>
        </w:trPr>
        <w:tc>
          <w:tcPr>
            <w:tcW w:w="12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142"/>
              <w:spacing w:after="0"/>
              <w:rPr>
                <w:sz w:val="20"/>
                <w:szCs w:val="20"/>
                <w:color w:val="auto"/>
              </w:rPr>
            </w:pPr>
            <w:r>
              <w:rPr>
                <w:rFonts w:ascii="Arial" w:cs="Arial" w:eastAsia="Arial" w:hAnsi="Arial"/>
                <w:sz w:val="16"/>
                <w:szCs w:val="16"/>
                <w:color w:val="auto"/>
                <w:w w:val="87"/>
              </w:rPr>
              <w:t>Average</w:t>
            </w: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center"/>
              <w:spacing w:after="0"/>
              <w:rPr>
                <w:sz w:val="20"/>
                <w:szCs w:val="20"/>
                <w:color w:val="auto"/>
              </w:rPr>
            </w:pPr>
            <w:r>
              <w:rPr>
                <w:rFonts w:ascii="Arial" w:cs="Arial" w:eastAsia="Arial" w:hAnsi="Arial"/>
                <w:sz w:val="16"/>
                <w:szCs w:val="16"/>
                <w:color w:val="auto"/>
                <w:w w:val="87"/>
              </w:rPr>
              <w:t>Average</w:t>
            </w:r>
          </w:p>
        </w:tc>
      </w:tr>
      <w:tr>
        <w:trPr>
          <w:trHeight w:val="187"/>
        </w:trPr>
        <w:tc>
          <w:tcPr>
            <w:tcW w:w="12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000" w:type="dxa"/>
            <w:vAlign w:val="bottom"/>
          </w:tcPr>
          <w:p>
            <w:pPr>
              <w:jc w:val="right"/>
              <w:ind w:right="82"/>
              <w:spacing w:after="0"/>
              <w:rPr>
                <w:sz w:val="20"/>
                <w:szCs w:val="20"/>
                <w:color w:val="auto"/>
              </w:rPr>
            </w:pPr>
            <w:r>
              <w:rPr>
                <w:rFonts w:ascii="Arial" w:cs="Arial" w:eastAsia="Arial" w:hAnsi="Arial"/>
                <w:sz w:val="16"/>
                <w:szCs w:val="16"/>
                <w:color w:val="auto"/>
              </w:rPr>
              <w:t>Number of</w:t>
            </w:r>
          </w:p>
        </w:tc>
        <w:tc>
          <w:tcPr>
            <w:tcW w:w="180" w:type="dxa"/>
            <w:vAlign w:val="bottom"/>
          </w:tcPr>
          <w:p>
            <w:pPr>
              <w:spacing w:after="0"/>
              <w:rPr>
                <w:sz w:val="16"/>
                <w:szCs w:val="16"/>
                <w:color w:val="auto"/>
              </w:rPr>
            </w:pPr>
          </w:p>
        </w:tc>
        <w:tc>
          <w:tcPr>
            <w:tcW w:w="1060" w:type="dxa"/>
            <w:vAlign w:val="bottom"/>
            <w:gridSpan w:val="2"/>
          </w:tcPr>
          <w:p>
            <w:pPr>
              <w:jc w:val="center"/>
              <w:ind w:right="122"/>
              <w:spacing w:after="0"/>
              <w:rPr>
                <w:sz w:val="20"/>
                <w:szCs w:val="20"/>
                <w:color w:val="auto"/>
              </w:rPr>
            </w:pPr>
            <w:r>
              <w:rPr>
                <w:rFonts w:ascii="Arial" w:cs="Arial" w:eastAsia="Arial" w:hAnsi="Arial"/>
                <w:sz w:val="16"/>
                <w:szCs w:val="16"/>
                <w:color w:val="auto"/>
                <w:w w:val="87"/>
              </w:rPr>
              <w:t>Exercise</w:t>
            </w:r>
          </w:p>
        </w:tc>
        <w:tc>
          <w:tcPr>
            <w:tcW w:w="960" w:type="dxa"/>
            <w:vAlign w:val="bottom"/>
            <w:gridSpan w:val="2"/>
          </w:tcPr>
          <w:p>
            <w:pPr>
              <w:jc w:val="right"/>
              <w:ind w:right="62"/>
              <w:spacing w:after="0"/>
              <w:rPr>
                <w:sz w:val="20"/>
                <w:szCs w:val="20"/>
                <w:color w:val="auto"/>
              </w:rPr>
            </w:pPr>
            <w:r>
              <w:rPr>
                <w:rFonts w:ascii="Arial" w:cs="Arial" w:eastAsia="Arial" w:hAnsi="Arial"/>
                <w:sz w:val="16"/>
                <w:szCs w:val="16"/>
                <w:color w:val="auto"/>
              </w:rPr>
              <w:t>Number of</w:t>
            </w:r>
          </w:p>
        </w:tc>
        <w:tc>
          <w:tcPr>
            <w:tcW w:w="200" w:type="dxa"/>
            <w:vAlign w:val="bottom"/>
          </w:tcPr>
          <w:p>
            <w:pPr>
              <w:spacing w:after="0"/>
              <w:rPr>
                <w:sz w:val="16"/>
                <w:szCs w:val="16"/>
                <w:color w:val="auto"/>
              </w:rPr>
            </w:pPr>
          </w:p>
        </w:tc>
        <w:tc>
          <w:tcPr>
            <w:tcW w:w="840" w:type="dxa"/>
            <w:vAlign w:val="bottom"/>
            <w:gridSpan w:val="2"/>
          </w:tcPr>
          <w:p>
            <w:pPr>
              <w:jc w:val="center"/>
              <w:spacing w:after="0"/>
              <w:rPr>
                <w:sz w:val="20"/>
                <w:szCs w:val="20"/>
                <w:color w:val="auto"/>
              </w:rPr>
            </w:pPr>
            <w:r>
              <w:rPr>
                <w:rFonts w:ascii="Arial" w:cs="Arial" w:eastAsia="Arial" w:hAnsi="Arial"/>
                <w:sz w:val="16"/>
                <w:szCs w:val="16"/>
                <w:color w:val="auto"/>
                <w:w w:val="87"/>
              </w:rPr>
              <w:t>Exercise</w:t>
            </w:r>
          </w:p>
        </w:tc>
      </w:tr>
      <w:tr>
        <w:trPr>
          <w:trHeight w:val="205"/>
        </w:trPr>
        <w:tc>
          <w:tcPr>
            <w:tcW w:w="12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5"/>
              </w:rPr>
              <w:t>Class A Shares</w:t>
            </w:r>
          </w:p>
        </w:tc>
        <w:tc>
          <w:tcPr>
            <w:tcW w:w="180" w:type="dxa"/>
            <w:vAlign w:val="bottom"/>
          </w:tcPr>
          <w:p>
            <w:pPr>
              <w:spacing w:after="0"/>
              <w:rPr>
                <w:sz w:val="17"/>
                <w:szCs w:val="17"/>
                <w:color w:val="auto"/>
              </w:rPr>
            </w:pPr>
          </w:p>
        </w:tc>
        <w:tc>
          <w:tcPr>
            <w:tcW w:w="1060" w:type="dxa"/>
            <w:vAlign w:val="bottom"/>
            <w:tcBorders>
              <w:bottom w:val="single" w:sz="8" w:color="auto"/>
            </w:tcBorders>
            <w:gridSpan w:val="2"/>
          </w:tcPr>
          <w:p>
            <w:pPr>
              <w:ind w:left="260"/>
              <w:spacing w:after="0"/>
              <w:rPr>
                <w:sz w:val="20"/>
                <w:szCs w:val="20"/>
                <w:color w:val="auto"/>
              </w:rPr>
            </w:pPr>
            <w:r>
              <w:rPr>
                <w:rFonts w:ascii="Arial" w:cs="Arial" w:eastAsia="Arial" w:hAnsi="Arial"/>
                <w:sz w:val="16"/>
                <w:szCs w:val="16"/>
                <w:color w:val="auto"/>
              </w:rPr>
              <w:t>Price</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4"/>
              </w:rPr>
              <w:t>Class C Shares</w:t>
            </w:r>
          </w:p>
        </w:tc>
        <w:tc>
          <w:tcPr>
            <w:tcW w:w="200" w:type="dxa"/>
            <w:vAlign w:val="bottom"/>
          </w:tcPr>
          <w:p>
            <w:pPr>
              <w:spacing w:after="0"/>
              <w:rPr>
                <w:sz w:val="17"/>
                <w:szCs w:val="17"/>
                <w:color w:val="auto"/>
              </w:rPr>
            </w:pPr>
          </w:p>
        </w:tc>
        <w:tc>
          <w:tcPr>
            <w:tcW w:w="840" w:type="dxa"/>
            <w:vAlign w:val="bottom"/>
            <w:tcBorders>
              <w:bottom w:val="single" w:sz="8" w:color="auto"/>
            </w:tcBorders>
            <w:gridSpan w:val="2"/>
          </w:tcPr>
          <w:p>
            <w:pPr>
              <w:ind w:left="260"/>
              <w:spacing w:after="0"/>
              <w:rPr>
                <w:sz w:val="20"/>
                <w:szCs w:val="20"/>
                <w:color w:val="auto"/>
              </w:rPr>
            </w:pPr>
            <w:r>
              <w:rPr>
                <w:rFonts w:ascii="Arial" w:cs="Arial" w:eastAsia="Arial" w:hAnsi="Arial"/>
                <w:sz w:val="16"/>
                <w:szCs w:val="16"/>
                <w:color w:val="auto"/>
              </w:rPr>
              <w:t>Price</w:t>
            </w:r>
          </w:p>
        </w:tc>
      </w:tr>
      <w:tr>
        <w:trPr>
          <w:trHeight w:val="208"/>
        </w:trPr>
        <w:tc>
          <w:tcPr>
            <w:tcW w:w="1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4"/>
        </w:trPr>
        <w:tc>
          <w:tcPr>
            <w:tcW w:w="3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Outstanding at January 1, 2020</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1,086,053</w:t>
            </w: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4.41</w:t>
            </w: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594,132</w:t>
            </w:r>
          </w:p>
        </w:tc>
        <w:tc>
          <w:tcPr>
            <w:tcW w:w="64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w:t>
            </w:r>
          </w:p>
        </w:tc>
      </w:tr>
      <w:tr>
        <w:trPr>
          <w:trHeight w:val="228"/>
        </w:trPr>
        <w:tc>
          <w:tcPr>
            <w:tcW w:w="3620" w:type="dxa"/>
            <w:vAlign w:val="bottom"/>
            <w:gridSpan w:val="2"/>
          </w:tcPr>
          <w:p>
            <w:pPr>
              <w:spacing w:after="0"/>
              <w:rPr>
                <w:sz w:val="20"/>
                <w:szCs w:val="20"/>
                <w:color w:val="auto"/>
              </w:rPr>
            </w:pPr>
            <w:r>
              <w:rPr>
                <w:rFonts w:ascii="Arial" w:cs="Arial" w:eastAsia="Arial" w:hAnsi="Arial"/>
                <w:sz w:val="16"/>
                <w:szCs w:val="16"/>
                <w:color w:val="auto"/>
              </w:rPr>
              <w:t>Adjustment for effect of stock dividends</w:t>
            </w:r>
          </w:p>
        </w:tc>
        <w:tc>
          <w:tcPr>
            <w:tcW w:w="1000" w:type="dxa"/>
            <w:vAlign w:val="bottom"/>
          </w:tcPr>
          <w:p>
            <w:pPr>
              <w:jc w:val="right"/>
              <w:spacing w:after="0"/>
              <w:rPr>
                <w:sz w:val="20"/>
                <w:szCs w:val="20"/>
                <w:color w:val="auto"/>
              </w:rPr>
            </w:pPr>
            <w:r>
              <w:rPr>
                <w:rFonts w:ascii="Arial" w:cs="Arial" w:eastAsia="Arial" w:hAnsi="Arial"/>
                <w:sz w:val="16"/>
                <w:szCs w:val="16"/>
                <w:color w:val="auto"/>
              </w:rPr>
              <w:t>829</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40"/>
        </w:trPr>
        <w:tc>
          <w:tcPr>
            <w:tcW w:w="3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Granted</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37,500</w:t>
            </w: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90,000</w:t>
            </w:r>
          </w:p>
        </w:tc>
        <w:tc>
          <w:tcPr>
            <w:tcW w:w="2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r>
      <w:tr>
        <w:trPr>
          <w:trHeight w:val="228"/>
        </w:trPr>
        <w:tc>
          <w:tcPr>
            <w:tcW w:w="3620" w:type="dxa"/>
            <w:vAlign w:val="bottom"/>
            <w:gridSpan w:val="2"/>
          </w:tcPr>
          <w:p>
            <w:pPr>
              <w:spacing w:after="0"/>
              <w:rPr>
                <w:sz w:val="20"/>
                <w:szCs w:val="20"/>
                <w:color w:val="auto"/>
              </w:rPr>
            </w:pPr>
            <w:r>
              <w:rPr>
                <w:rFonts w:ascii="Arial" w:cs="Arial" w:eastAsia="Arial" w:hAnsi="Arial"/>
                <w:sz w:val="16"/>
                <w:szCs w:val="16"/>
                <w:color w:val="auto"/>
              </w:rPr>
              <w:t>Exercised</w:t>
            </w:r>
          </w:p>
        </w:tc>
        <w:tc>
          <w:tcPr>
            <w:tcW w:w="1000" w:type="dxa"/>
            <w:vAlign w:val="bottom"/>
          </w:tcPr>
          <w:p>
            <w:pPr>
              <w:jc w:val="right"/>
              <w:spacing w:after="0"/>
              <w:rPr>
                <w:sz w:val="20"/>
                <w:szCs w:val="20"/>
                <w:color w:val="auto"/>
              </w:rPr>
            </w:pPr>
            <w:r>
              <w:rPr>
                <w:rFonts w:ascii="Arial" w:cs="Arial" w:eastAsia="Arial" w:hAnsi="Arial"/>
                <w:sz w:val="16"/>
                <w:szCs w:val="16"/>
                <w:color w:val="auto"/>
              </w:rPr>
              <w:t>(42,294)</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34"/>
        </w:trPr>
        <w:tc>
          <w:tcPr>
            <w:tcW w:w="3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Cancelled</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r>
      <w:tr>
        <w:trPr>
          <w:trHeight w:val="260"/>
        </w:trPr>
        <w:tc>
          <w:tcPr>
            <w:tcW w:w="36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Outstanding at March 31, 2020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1,082,088</w:t>
            </w:r>
          </w:p>
        </w:tc>
        <w:tc>
          <w:tcPr>
            <w:tcW w:w="620" w:type="dxa"/>
            <w:vAlign w:val="bottom"/>
            <w:tcBorders>
              <w:bottom w:val="single" w:sz="8" w:color="CCEEFF"/>
            </w:tcBorders>
            <w:gridSpan w:val="2"/>
          </w:tcPr>
          <w:p>
            <w:pPr>
              <w:ind w:left="42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tcPr>
          <w:p>
            <w:pPr>
              <w:jc w:val="right"/>
              <w:ind w:right="142"/>
              <w:spacing w:after="0"/>
              <w:rPr>
                <w:sz w:val="20"/>
                <w:szCs w:val="20"/>
                <w:color w:val="auto"/>
              </w:rPr>
            </w:pPr>
            <w:r>
              <w:rPr>
                <w:rFonts w:ascii="Arial" w:cs="Arial" w:eastAsia="Arial" w:hAnsi="Arial"/>
                <w:sz w:val="16"/>
                <w:szCs w:val="16"/>
                <w:color w:val="auto"/>
              </w:rPr>
              <w:t>4.44</w:t>
            </w:r>
          </w:p>
        </w:tc>
        <w:tc>
          <w:tcPr>
            <w:tcW w:w="2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684,132</w:t>
            </w:r>
          </w:p>
        </w:tc>
        <w:tc>
          <w:tcPr>
            <w:tcW w:w="640" w:type="dxa"/>
            <w:vAlign w:val="bottom"/>
            <w:tcBorders>
              <w:bottom w:val="single" w:sz="8" w:color="CCEEFF"/>
            </w:tcBorders>
            <w:gridSpan w:val="2"/>
          </w:tcPr>
          <w:p>
            <w:pPr>
              <w:ind w:left="4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5.15</w:t>
            </w:r>
          </w:p>
        </w:tc>
      </w:tr>
      <w:tr>
        <w:trPr>
          <w:trHeight w:val="186"/>
        </w:trPr>
        <w:tc>
          <w:tcPr>
            <w:tcW w:w="1260" w:type="dxa"/>
            <w:vAlign w:val="bottom"/>
            <w:shd w:val="clear" w:color="auto" w:fill="CCEEFF"/>
          </w:tcPr>
          <w:p>
            <w:pPr>
              <w:spacing w:after="0"/>
              <w:rPr>
                <w:sz w:val="16"/>
                <w:szCs w:val="16"/>
                <w:color w:val="auto"/>
              </w:rPr>
            </w:pPr>
          </w:p>
        </w:tc>
        <w:tc>
          <w:tcPr>
            <w:tcW w:w="23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r>
      <w:tr>
        <w:trPr>
          <w:trHeight w:val="228"/>
        </w:trPr>
        <w:tc>
          <w:tcPr>
            <w:tcW w:w="3620" w:type="dxa"/>
            <w:vAlign w:val="bottom"/>
            <w:gridSpan w:val="2"/>
          </w:tcPr>
          <w:p>
            <w:pPr>
              <w:spacing w:after="0"/>
              <w:rPr>
                <w:sz w:val="20"/>
                <w:szCs w:val="20"/>
                <w:color w:val="auto"/>
              </w:rPr>
            </w:pPr>
            <w:r>
              <w:rPr>
                <w:rFonts w:ascii="Arial" w:cs="Arial" w:eastAsia="Arial" w:hAnsi="Arial"/>
                <w:sz w:val="16"/>
                <w:szCs w:val="16"/>
                <w:color w:val="auto"/>
              </w:rPr>
              <w:t>As of March 31, 2020:</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40"/>
        </w:trPr>
        <w:tc>
          <w:tcPr>
            <w:tcW w:w="3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Options exercisable</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985,366</w:t>
            </w:r>
          </w:p>
        </w:tc>
        <w:tc>
          <w:tcPr>
            <w:tcW w:w="6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4.42</w:t>
            </w:r>
          </w:p>
        </w:tc>
        <w:tc>
          <w:tcPr>
            <w:tcW w:w="2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452,381</w:t>
            </w:r>
          </w:p>
        </w:tc>
        <w:tc>
          <w:tcPr>
            <w:tcW w:w="6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5.39</w:t>
            </w:r>
          </w:p>
        </w:tc>
      </w:tr>
      <w:tr>
        <w:trPr>
          <w:trHeight w:val="20"/>
        </w:trPr>
        <w:tc>
          <w:tcPr>
            <w:tcW w:w="12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6"/>
        </w:trPr>
        <w:tc>
          <w:tcPr>
            <w:tcW w:w="12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34"/>
        </w:trPr>
        <w:tc>
          <w:tcPr>
            <w:tcW w:w="3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 of March 31, 2020:</w:t>
            </w: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r>
      <w:tr>
        <w:trPr>
          <w:trHeight w:val="273"/>
        </w:trPr>
        <w:tc>
          <w:tcPr>
            <w:tcW w:w="36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Available options for future grant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97,218</w:t>
            </w:r>
          </w:p>
        </w:tc>
        <w:tc>
          <w:tcPr>
            <w:tcW w:w="180" w:type="dxa"/>
            <w:vAlign w:val="bottom"/>
            <w:tcBorders>
              <w:bottom w:val="single" w:sz="8" w:color="CCEEFF"/>
            </w:tcBorders>
          </w:tcPr>
          <w:p>
            <w:pPr>
              <w:spacing w:after="0"/>
              <w:rPr>
                <w:sz w:val="23"/>
                <w:szCs w:val="23"/>
                <w:color w:val="auto"/>
              </w:rPr>
            </w:pPr>
          </w:p>
        </w:tc>
        <w:tc>
          <w:tcPr>
            <w:tcW w:w="440" w:type="dxa"/>
            <w:vAlign w:val="bottom"/>
            <w:tcBorders>
              <w:bottom w:val="single" w:sz="8" w:color="CCEEFF"/>
            </w:tcBorders>
          </w:tcPr>
          <w:p>
            <w:pPr>
              <w:spacing w:after="0"/>
              <w:rPr>
                <w:sz w:val="23"/>
                <w:szCs w:val="23"/>
                <w:color w:val="auto"/>
              </w:rPr>
            </w:pPr>
          </w:p>
        </w:tc>
        <w:tc>
          <w:tcPr>
            <w:tcW w:w="6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23"/>
                <w:szCs w:val="23"/>
                <w:color w:val="auto"/>
              </w:rPr>
            </w:pPr>
          </w:p>
        </w:tc>
        <w:tc>
          <w:tcPr>
            <w:tcW w:w="440" w:type="dxa"/>
            <w:vAlign w:val="bottom"/>
            <w:tcBorders>
              <w:bottom w:val="single" w:sz="8" w:color="CCEEFF"/>
            </w:tcBorders>
          </w:tcPr>
          <w:p>
            <w:pPr>
              <w:spacing w:after="0"/>
              <w:rPr>
                <w:sz w:val="23"/>
                <w:szCs w:val="23"/>
                <w:color w:val="auto"/>
              </w:rPr>
            </w:pPr>
          </w:p>
        </w:tc>
        <w:tc>
          <w:tcPr>
            <w:tcW w:w="400" w:type="dxa"/>
            <w:vAlign w:val="bottom"/>
            <w:tcBorders>
              <w:bottom w:val="single" w:sz="8" w:color="CCEEFF"/>
            </w:tcBorders>
          </w:tcPr>
          <w:p>
            <w:pPr>
              <w:spacing w:after="0"/>
              <w:rPr>
                <w:sz w:val="23"/>
                <w:szCs w:val="23"/>
                <w:color w:val="auto"/>
              </w:rPr>
            </w:pPr>
          </w:p>
        </w:tc>
      </w:tr>
      <w:tr>
        <w:trPr>
          <w:trHeight w:val="186"/>
        </w:trPr>
        <w:tc>
          <w:tcPr>
            <w:tcW w:w="1260" w:type="dxa"/>
            <w:vAlign w:val="bottom"/>
            <w:shd w:val="clear" w:color="auto" w:fill="CCEEFF"/>
          </w:tcPr>
          <w:p>
            <w:pPr>
              <w:spacing w:after="0"/>
              <w:rPr>
                <w:sz w:val="16"/>
                <w:szCs w:val="16"/>
                <w:color w:val="auto"/>
              </w:rPr>
            </w:pPr>
          </w:p>
        </w:tc>
        <w:tc>
          <w:tcPr>
            <w:tcW w:w="23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r>
      <w:tr>
        <w:trPr>
          <w:trHeight w:val="228"/>
        </w:trPr>
        <w:tc>
          <w:tcPr>
            <w:tcW w:w="3620" w:type="dxa"/>
            <w:vAlign w:val="bottom"/>
            <w:gridSpan w:val="2"/>
          </w:tcPr>
          <w:p>
            <w:pPr>
              <w:spacing w:after="0"/>
              <w:rPr>
                <w:sz w:val="20"/>
                <w:szCs w:val="20"/>
                <w:color w:val="auto"/>
              </w:rPr>
            </w:pPr>
            <w:r>
              <w:rPr>
                <w:rFonts w:ascii="Arial" w:cs="Arial" w:eastAsia="Arial" w:hAnsi="Arial"/>
                <w:sz w:val="16"/>
                <w:szCs w:val="16"/>
                <w:color w:val="auto"/>
              </w:rPr>
              <w:t>Weighted average contractual term of options</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40"/>
        </w:trPr>
        <w:tc>
          <w:tcPr>
            <w:tcW w:w="36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outstanding at March 31, 2020</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 years</w:t>
            </w: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5.96 years</w:t>
            </w:r>
          </w:p>
        </w:tc>
        <w:tc>
          <w:tcPr>
            <w:tcW w:w="2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r>
      <w:tr>
        <w:trPr>
          <w:trHeight w:val="210"/>
        </w:trPr>
        <w:tc>
          <w:tcPr>
            <w:tcW w:w="1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4"/>
        </w:trPr>
        <w:tc>
          <w:tcPr>
            <w:tcW w:w="3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Weighted average contractual term of options</w:t>
            </w: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r>
      <w:tr>
        <w:trPr>
          <w:trHeight w:val="228"/>
        </w:trPr>
        <w:tc>
          <w:tcPr>
            <w:tcW w:w="3620" w:type="dxa"/>
            <w:vAlign w:val="bottom"/>
            <w:gridSpan w:val="2"/>
          </w:tcPr>
          <w:p>
            <w:pPr>
              <w:ind w:left="160"/>
              <w:spacing w:after="0"/>
              <w:rPr>
                <w:sz w:val="20"/>
                <w:szCs w:val="20"/>
                <w:color w:val="auto"/>
              </w:rPr>
            </w:pPr>
            <w:r>
              <w:rPr>
                <w:rFonts w:ascii="Arial" w:cs="Arial" w:eastAsia="Arial" w:hAnsi="Arial"/>
                <w:sz w:val="16"/>
                <w:szCs w:val="16"/>
                <w:color w:val="auto"/>
              </w:rPr>
              <w:t>exercisable at March 31, 2020</w:t>
            </w:r>
          </w:p>
        </w:tc>
        <w:tc>
          <w:tcPr>
            <w:tcW w:w="1000" w:type="dxa"/>
            <w:vAlign w:val="bottom"/>
          </w:tcPr>
          <w:p>
            <w:pPr>
              <w:jc w:val="right"/>
              <w:spacing w:after="0"/>
              <w:rPr>
                <w:sz w:val="20"/>
                <w:szCs w:val="20"/>
                <w:color w:val="auto"/>
              </w:rPr>
            </w:pPr>
            <w:r>
              <w:rPr>
                <w:rFonts w:ascii="Arial" w:cs="Arial" w:eastAsia="Arial" w:hAnsi="Arial"/>
                <w:sz w:val="16"/>
                <w:szCs w:val="16"/>
                <w:color w:val="auto"/>
              </w:rPr>
              <w:t>5.16 years</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0"/>
              </w:rPr>
              <w:t>4.70 years</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17"/>
        </w:trPr>
        <w:tc>
          <w:tcPr>
            <w:tcW w:w="12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28"/>
        </w:trPr>
        <w:tc>
          <w:tcPr>
            <w:tcW w:w="3620" w:type="dxa"/>
            <w:vAlign w:val="bottom"/>
            <w:gridSpan w:val="2"/>
          </w:tcPr>
          <w:p>
            <w:pPr>
              <w:spacing w:after="0"/>
              <w:rPr>
                <w:sz w:val="20"/>
                <w:szCs w:val="20"/>
                <w:color w:val="auto"/>
              </w:rPr>
            </w:pPr>
            <w:r>
              <w:rPr>
                <w:rFonts w:ascii="Arial" w:cs="Arial" w:eastAsia="Arial" w:hAnsi="Arial"/>
                <w:sz w:val="16"/>
                <w:szCs w:val="16"/>
                <w:color w:val="auto"/>
              </w:rPr>
              <w:t>Aggregated intrinsic value of options</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40"/>
        </w:trPr>
        <w:tc>
          <w:tcPr>
            <w:tcW w:w="3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outstanding at March 31, 2020 (1)</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$489,237</w:t>
            </w:r>
          </w:p>
        </w:tc>
        <w:tc>
          <w:tcPr>
            <w:tcW w:w="1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$41,150</w:t>
            </w:r>
          </w:p>
        </w:tc>
        <w:tc>
          <w:tcPr>
            <w:tcW w:w="2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r>
      <w:tr>
        <w:trPr>
          <w:trHeight w:val="20"/>
        </w:trPr>
        <w:tc>
          <w:tcPr>
            <w:tcW w:w="12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6"/>
        </w:trPr>
        <w:tc>
          <w:tcPr>
            <w:tcW w:w="12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34"/>
        </w:trPr>
        <w:tc>
          <w:tcPr>
            <w:tcW w:w="3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Aggregated intrinsic value of options</w:t>
            </w: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r>
      <w:tr>
        <w:trPr>
          <w:trHeight w:val="250"/>
        </w:trPr>
        <w:tc>
          <w:tcPr>
            <w:tcW w:w="3620" w:type="dxa"/>
            <w:vAlign w:val="bottom"/>
            <w:tcBorders>
              <w:bottom w:val="single" w:sz="8" w:color="CCEEFF"/>
            </w:tcBorders>
            <w:gridSpan w:val="2"/>
          </w:tcPr>
          <w:p>
            <w:pPr>
              <w:ind w:left="160"/>
              <w:spacing w:after="0"/>
              <w:rPr>
                <w:sz w:val="20"/>
                <w:szCs w:val="20"/>
                <w:color w:val="auto"/>
              </w:rPr>
            </w:pPr>
            <w:r>
              <w:rPr>
                <w:rFonts w:ascii="Arial" w:cs="Arial" w:eastAsia="Arial" w:hAnsi="Arial"/>
                <w:sz w:val="16"/>
                <w:szCs w:val="16"/>
                <w:color w:val="auto"/>
              </w:rPr>
              <w:t>exercisable at March 31, 2020 (1)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$471,642</w:t>
            </w:r>
          </w:p>
        </w:tc>
        <w:tc>
          <w:tcPr>
            <w:tcW w:w="18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r>
      <w:tr>
        <w:trPr>
          <w:trHeight w:val="166"/>
        </w:trPr>
        <w:tc>
          <w:tcPr>
            <w:tcW w:w="1260" w:type="dxa"/>
            <w:vAlign w:val="bottom"/>
            <w:tcBorders>
              <w:bottom w:val="single" w:sz="8" w:color="auto"/>
            </w:tcBorders>
            <w:shd w:val="clear" w:color="auto" w:fill="CCEEFF"/>
          </w:tcPr>
          <w:p>
            <w:pPr>
              <w:spacing w:after="0"/>
              <w:rPr>
                <w:sz w:val="14"/>
                <w:szCs w:val="14"/>
                <w:color w:val="auto"/>
              </w:rPr>
            </w:pPr>
          </w:p>
        </w:tc>
        <w:tc>
          <w:tcPr>
            <w:tcW w:w="236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4989830" cy="148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89830" cy="148590"/>
                    </a:xfrm>
                    <a:prstGeom prst="rect">
                      <a:avLst/>
                    </a:prstGeom>
                    <a:noFill/>
                  </pic:spPr>
                </pic:pic>
              </a:graphicData>
            </a:graphic>
          </wp:anchor>
        </w:drawing>
      </w:r>
    </w:p>
    <w:p>
      <w:pPr>
        <w:spacing w:after="0" w:line="213" w:lineRule="exact"/>
        <w:rPr>
          <w:sz w:val="20"/>
          <w:szCs w:val="20"/>
          <w:color w:val="auto"/>
        </w:rPr>
      </w:pPr>
    </w:p>
    <w:p>
      <w:pPr>
        <w:ind w:left="225" w:hanging="213"/>
        <w:spacing w:after="0"/>
        <w:tabs>
          <w:tab w:leader="none" w:pos="225"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Company used a stock price of $4.27 as of March 31, 2020 to derive intrinsic value.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20" w:lineRule="exact"/>
        <w:rPr>
          <w:rFonts w:ascii="Arial" w:cs="Arial" w:eastAsia="Arial" w:hAnsi="Arial"/>
          <w:sz w:val="16"/>
          <w:szCs w:val="16"/>
          <w:color w:val="auto"/>
        </w:rPr>
      </w:pPr>
    </w:p>
    <w:p>
      <w:pPr>
        <w:ind w:left="3845"/>
        <w:spacing w:after="0"/>
        <w:rPr>
          <w:rFonts w:ascii="Arial" w:cs="Arial" w:eastAsia="Arial" w:hAnsi="Arial"/>
          <w:sz w:val="16"/>
          <w:szCs w:val="16"/>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498983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89830" cy="29845"/>
                    </a:xfrm>
                    <a:prstGeom prst="rect">
                      <a:avLst/>
                    </a:prstGeom>
                    <a:noFill/>
                  </pic:spPr>
                </pic:pic>
              </a:graphicData>
            </a:graphic>
          </wp:anchor>
        </w:drawing>
      </w:r>
    </w:p>
    <w:p>
      <w:pPr>
        <w:sectPr>
          <w:pgSz w:w="11900" w:h="16838" w:orient="portrait"/>
          <w:cols w:equalWidth="0" w:num="1">
            <w:col w:w="9304"/>
          </w:cols>
          <w:pgMar w:left="1155" w:top="324" w:right="1440" w:bottom="1440" w:gutter="0" w:footer="0" w:header="0"/>
        </w:sectPr>
      </w:pPr>
    </w:p>
    <w:bookmarkStart w:id="27" w:name="page28"/>
    <w:bookmarkEnd w:id="27"/>
    <w:p>
      <w:pPr>
        <w:jc w:val="center"/>
        <w:ind w:left="1160" w:right="1140"/>
        <w:spacing w:after="0" w:line="257" w:lineRule="auto"/>
        <w:rPr>
          <w:sz w:val="20"/>
          <w:szCs w:val="20"/>
          <w:color w:val="auto"/>
        </w:rPr>
      </w:pPr>
      <w:r>
        <w:rPr>
          <w:rFonts w:ascii="Arial" w:cs="Arial" w:eastAsia="Arial" w:hAnsi="Arial"/>
          <w:sz w:val="17"/>
          <w:szCs w:val="17"/>
          <w:color w:val="auto"/>
        </w:rPr>
        <w:t>SECURITY NATIONAL FINANCIAL CORPORATION AND SUBSIDIARIES Notes to Condensed Consolidated Financial Statements March 31, 2020 (Unaudited)</w:t>
      </w:r>
    </w:p>
    <w:p>
      <w:pPr>
        <w:spacing w:after="0" w:line="97" w:lineRule="exact"/>
        <w:rPr>
          <w:sz w:val="20"/>
          <w:szCs w:val="20"/>
          <w:color w:val="auto"/>
        </w:rPr>
      </w:pPr>
    </w:p>
    <w:p>
      <w:pPr>
        <w:ind w:left="425" w:hanging="425"/>
        <w:spacing w:after="0"/>
        <w:tabs>
          <w:tab w:leader="none" w:pos="425"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Stock Compensation Plans</w:t>
      </w:r>
      <w:r>
        <w:rPr>
          <w:rFonts w:ascii="Arial" w:cs="Arial" w:eastAsia="Arial" w:hAnsi="Arial"/>
          <w:sz w:val="17"/>
          <w:szCs w:val="17"/>
          <w:color w:val="auto"/>
        </w:rPr>
        <w:t xml:space="preserve"> (Continued)</w:t>
      </w:r>
    </w:p>
    <w:p>
      <w:pPr>
        <w:spacing w:after="0" w:line="225" w:lineRule="exact"/>
        <w:rPr>
          <w:sz w:val="20"/>
          <w:szCs w:val="20"/>
          <w:color w:val="auto"/>
        </w:rPr>
      </w:pPr>
    </w:p>
    <w:p>
      <w:pPr>
        <w:ind w:left="5" w:right="1439"/>
        <w:spacing w:after="0" w:line="270" w:lineRule="auto"/>
        <w:rPr>
          <w:sz w:val="20"/>
          <w:szCs w:val="20"/>
          <w:color w:val="auto"/>
        </w:rPr>
      </w:pPr>
      <w:r>
        <w:rPr>
          <w:rFonts w:ascii="Arial" w:cs="Arial" w:eastAsia="Arial" w:hAnsi="Arial"/>
          <w:sz w:val="17"/>
          <w:szCs w:val="17"/>
          <w:color w:val="auto"/>
        </w:rPr>
        <w:t>A summary of the status of the Company’s stock compensation plans as of March 31, 2019, and the changes during the three months ended March 31, 2019, are presented below:</w:t>
      </w:r>
    </w:p>
    <w:p>
      <w:pPr>
        <w:spacing w:after="0" w:line="299" w:lineRule="exact"/>
        <w:rPr>
          <w:sz w:val="20"/>
          <w:szCs w:val="20"/>
          <w:color w:val="auto"/>
        </w:rPr>
      </w:pPr>
    </w:p>
    <w:tbl>
      <w:tblPr>
        <w:tblLayout w:type="fixed"/>
        <w:tblInd w:w="5" w:type="dxa"/>
        <w:tblCellMar>
          <w:top w:w="0" w:type="dxa"/>
          <w:left w:w="0" w:type="dxa"/>
          <w:bottom w:w="0" w:type="dxa"/>
          <w:right w:w="0" w:type="dxa"/>
        </w:tblCellMar>
      </w:tblPr>
      <w:tr>
        <w:trPr>
          <w:trHeight w:val="187"/>
        </w:trPr>
        <w:tc>
          <w:tcPr>
            <w:tcW w:w="3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142"/>
              <w:spacing w:after="0"/>
              <w:rPr>
                <w:sz w:val="20"/>
                <w:szCs w:val="20"/>
                <w:color w:val="auto"/>
              </w:rPr>
            </w:pPr>
            <w:r>
              <w:rPr>
                <w:rFonts w:ascii="Arial" w:cs="Arial" w:eastAsia="Arial" w:hAnsi="Arial"/>
                <w:sz w:val="16"/>
                <w:szCs w:val="16"/>
                <w:color w:val="auto"/>
                <w:w w:val="88"/>
              </w:rPr>
              <w:t>Weighted</w:t>
            </w: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center"/>
              <w:spacing w:after="0"/>
              <w:rPr>
                <w:sz w:val="20"/>
                <w:szCs w:val="20"/>
                <w:color w:val="auto"/>
              </w:rPr>
            </w:pPr>
            <w:r>
              <w:rPr>
                <w:rFonts w:ascii="Arial" w:cs="Arial" w:eastAsia="Arial" w:hAnsi="Arial"/>
                <w:sz w:val="16"/>
                <w:szCs w:val="16"/>
                <w:color w:val="auto"/>
                <w:w w:val="85"/>
              </w:rPr>
              <w:t>Weighted</w:t>
            </w:r>
          </w:p>
        </w:tc>
      </w:tr>
      <w:tr>
        <w:trPr>
          <w:trHeight w:val="187"/>
        </w:trPr>
        <w:tc>
          <w:tcPr>
            <w:tcW w:w="3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142"/>
              <w:spacing w:after="0"/>
              <w:rPr>
                <w:sz w:val="20"/>
                <w:szCs w:val="20"/>
                <w:color w:val="auto"/>
              </w:rPr>
            </w:pPr>
            <w:r>
              <w:rPr>
                <w:rFonts w:ascii="Arial" w:cs="Arial" w:eastAsia="Arial" w:hAnsi="Arial"/>
                <w:sz w:val="16"/>
                <w:szCs w:val="16"/>
                <w:color w:val="auto"/>
                <w:w w:val="87"/>
              </w:rPr>
              <w:t>Average</w:t>
            </w: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center"/>
              <w:spacing w:after="0"/>
              <w:rPr>
                <w:sz w:val="20"/>
                <w:szCs w:val="20"/>
                <w:color w:val="auto"/>
              </w:rPr>
            </w:pPr>
            <w:r>
              <w:rPr>
                <w:rFonts w:ascii="Arial" w:cs="Arial" w:eastAsia="Arial" w:hAnsi="Arial"/>
                <w:sz w:val="16"/>
                <w:szCs w:val="16"/>
                <w:color w:val="auto"/>
                <w:w w:val="87"/>
              </w:rPr>
              <w:t>Average</w:t>
            </w:r>
          </w:p>
        </w:tc>
      </w:tr>
      <w:tr>
        <w:trPr>
          <w:trHeight w:val="187"/>
        </w:trPr>
        <w:tc>
          <w:tcPr>
            <w:tcW w:w="3620" w:type="dxa"/>
            <w:vAlign w:val="bottom"/>
          </w:tcPr>
          <w:p>
            <w:pPr>
              <w:spacing w:after="0"/>
              <w:rPr>
                <w:sz w:val="16"/>
                <w:szCs w:val="16"/>
                <w:color w:val="auto"/>
              </w:rPr>
            </w:pPr>
          </w:p>
        </w:tc>
        <w:tc>
          <w:tcPr>
            <w:tcW w:w="1000" w:type="dxa"/>
            <w:vAlign w:val="bottom"/>
          </w:tcPr>
          <w:p>
            <w:pPr>
              <w:jc w:val="right"/>
              <w:ind w:right="82"/>
              <w:spacing w:after="0"/>
              <w:rPr>
                <w:sz w:val="20"/>
                <w:szCs w:val="20"/>
                <w:color w:val="auto"/>
              </w:rPr>
            </w:pPr>
            <w:r>
              <w:rPr>
                <w:rFonts w:ascii="Arial" w:cs="Arial" w:eastAsia="Arial" w:hAnsi="Arial"/>
                <w:sz w:val="16"/>
                <w:szCs w:val="16"/>
                <w:color w:val="auto"/>
              </w:rPr>
              <w:t>Number of</w:t>
            </w:r>
          </w:p>
        </w:tc>
        <w:tc>
          <w:tcPr>
            <w:tcW w:w="180" w:type="dxa"/>
            <w:vAlign w:val="bottom"/>
          </w:tcPr>
          <w:p>
            <w:pPr>
              <w:spacing w:after="0"/>
              <w:rPr>
                <w:sz w:val="16"/>
                <w:szCs w:val="16"/>
                <w:color w:val="auto"/>
              </w:rPr>
            </w:pPr>
          </w:p>
        </w:tc>
        <w:tc>
          <w:tcPr>
            <w:tcW w:w="1060" w:type="dxa"/>
            <w:vAlign w:val="bottom"/>
            <w:gridSpan w:val="2"/>
          </w:tcPr>
          <w:p>
            <w:pPr>
              <w:jc w:val="center"/>
              <w:ind w:right="122"/>
              <w:spacing w:after="0"/>
              <w:rPr>
                <w:sz w:val="20"/>
                <w:szCs w:val="20"/>
                <w:color w:val="auto"/>
              </w:rPr>
            </w:pPr>
            <w:r>
              <w:rPr>
                <w:rFonts w:ascii="Arial" w:cs="Arial" w:eastAsia="Arial" w:hAnsi="Arial"/>
                <w:sz w:val="16"/>
                <w:szCs w:val="16"/>
                <w:color w:val="auto"/>
                <w:w w:val="87"/>
              </w:rPr>
              <w:t>Exercise</w:t>
            </w: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Number of</w:t>
            </w:r>
          </w:p>
        </w:tc>
        <w:tc>
          <w:tcPr>
            <w:tcW w:w="200" w:type="dxa"/>
            <w:vAlign w:val="bottom"/>
          </w:tcPr>
          <w:p>
            <w:pPr>
              <w:spacing w:after="0"/>
              <w:rPr>
                <w:sz w:val="16"/>
                <w:szCs w:val="16"/>
                <w:color w:val="auto"/>
              </w:rPr>
            </w:pPr>
          </w:p>
        </w:tc>
        <w:tc>
          <w:tcPr>
            <w:tcW w:w="840" w:type="dxa"/>
            <w:vAlign w:val="bottom"/>
            <w:gridSpan w:val="2"/>
          </w:tcPr>
          <w:p>
            <w:pPr>
              <w:jc w:val="center"/>
              <w:spacing w:after="0"/>
              <w:rPr>
                <w:sz w:val="20"/>
                <w:szCs w:val="20"/>
                <w:color w:val="auto"/>
              </w:rPr>
            </w:pPr>
            <w:r>
              <w:rPr>
                <w:rFonts w:ascii="Arial" w:cs="Arial" w:eastAsia="Arial" w:hAnsi="Arial"/>
                <w:sz w:val="16"/>
                <w:szCs w:val="16"/>
                <w:color w:val="auto"/>
                <w:w w:val="87"/>
              </w:rPr>
              <w:t>Exercise</w:t>
            </w:r>
          </w:p>
        </w:tc>
      </w:tr>
      <w:tr>
        <w:trPr>
          <w:trHeight w:val="205"/>
        </w:trPr>
        <w:tc>
          <w:tcPr>
            <w:tcW w:w="362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5"/>
              </w:rPr>
              <w:t>Class A Shares</w:t>
            </w:r>
          </w:p>
        </w:tc>
        <w:tc>
          <w:tcPr>
            <w:tcW w:w="180" w:type="dxa"/>
            <w:vAlign w:val="bottom"/>
          </w:tcPr>
          <w:p>
            <w:pPr>
              <w:spacing w:after="0"/>
              <w:rPr>
                <w:sz w:val="17"/>
                <w:szCs w:val="17"/>
                <w:color w:val="auto"/>
              </w:rPr>
            </w:pPr>
          </w:p>
        </w:tc>
        <w:tc>
          <w:tcPr>
            <w:tcW w:w="1060" w:type="dxa"/>
            <w:vAlign w:val="bottom"/>
            <w:tcBorders>
              <w:bottom w:val="single" w:sz="8" w:color="auto"/>
            </w:tcBorders>
            <w:gridSpan w:val="2"/>
          </w:tcPr>
          <w:p>
            <w:pPr>
              <w:ind w:left="260"/>
              <w:spacing w:after="0"/>
              <w:rPr>
                <w:sz w:val="20"/>
                <w:szCs w:val="20"/>
                <w:color w:val="auto"/>
              </w:rPr>
            </w:pPr>
            <w:r>
              <w:rPr>
                <w:rFonts w:ascii="Arial" w:cs="Arial" w:eastAsia="Arial" w:hAnsi="Arial"/>
                <w:sz w:val="16"/>
                <w:szCs w:val="16"/>
                <w:color w:val="auto"/>
              </w:rPr>
              <w:t>Price</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Class C Shares</w:t>
            </w:r>
          </w:p>
        </w:tc>
        <w:tc>
          <w:tcPr>
            <w:tcW w:w="200" w:type="dxa"/>
            <w:vAlign w:val="bottom"/>
          </w:tcPr>
          <w:p>
            <w:pPr>
              <w:spacing w:after="0"/>
              <w:rPr>
                <w:sz w:val="17"/>
                <w:szCs w:val="17"/>
                <w:color w:val="auto"/>
              </w:rPr>
            </w:pPr>
          </w:p>
        </w:tc>
        <w:tc>
          <w:tcPr>
            <w:tcW w:w="840" w:type="dxa"/>
            <w:vAlign w:val="bottom"/>
            <w:tcBorders>
              <w:bottom w:val="single" w:sz="8" w:color="auto"/>
            </w:tcBorders>
            <w:gridSpan w:val="2"/>
          </w:tcPr>
          <w:p>
            <w:pPr>
              <w:ind w:left="260"/>
              <w:spacing w:after="0"/>
              <w:rPr>
                <w:sz w:val="20"/>
                <w:szCs w:val="20"/>
                <w:color w:val="auto"/>
              </w:rPr>
            </w:pPr>
            <w:r>
              <w:rPr>
                <w:rFonts w:ascii="Arial" w:cs="Arial" w:eastAsia="Arial" w:hAnsi="Arial"/>
                <w:sz w:val="16"/>
                <w:szCs w:val="16"/>
                <w:color w:val="auto"/>
              </w:rPr>
              <w:t>Price</w:t>
            </w:r>
          </w:p>
        </w:tc>
      </w:tr>
      <w:tr>
        <w:trPr>
          <w:trHeight w:val="208"/>
        </w:trPr>
        <w:tc>
          <w:tcPr>
            <w:tcW w:w="3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4"/>
        </w:trPr>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Outstanding at January 1, 2019</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1,011,274</w:t>
            </w: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4.49</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577,280</w:t>
            </w:r>
          </w:p>
        </w:tc>
        <w:tc>
          <w:tcPr>
            <w:tcW w:w="64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w:t>
            </w:r>
          </w:p>
        </w:tc>
      </w:tr>
      <w:tr>
        <w:trPr>
          <w:trHeight w:val="228"/>
        </w:trPr>
        <w:tc>
          <w:tcPr>
            <w:tcW w:w="3620" w:type="dxa"/>
            <w:vAlign w:val="bottom"/>
          </w:tcPr>
          <w:p>
            <w:pPr>
              <w:spacing w:after="0"/>
              <w:rPr>
                <w:sz w:val="20"/>
                <w:szCs w:val="20"/>
                <w:color w:val="auto"/>
              </w:rPr>
            </w:pPr>
            <w:r>
              <w:rPr>
                <w:rFonts w:ascii="Arial" w:cs="Arial" w:eastAsia="Arial" w:hAnsi="Arial"/>
                <w:sz w:val="16"/>
                <w:szCs w:val="16"/>
                <w:color w:val="auto"/>
              </w:rPr>
              <w:t>Granted</w:t>
            </w:r>
          </w:p>
        </w:tc>
        <w:tc>
          <w:tcPr>
            <w:tcW w:w="1000" w:type="dxa"/>
            <w:vAlign w:val="bottom"/>
          </w:tcPr>
          <w:p>
            <w:pPr>
              <w:jc w:val="right"/>
              <w:spacing w:after="0"/>
              <w:rPr>
                <w:sz w:val="20"/>
                <w:szCs w:val="20"/>
                <w:color w:val="auto"/>
              </w:rPr>
            </w:pPr>
            <w:r>
              <w:rPr>
                <w:rFonts w:ascii="Arial" w:cs="Arial" w:eastAsia="Arial" w:hAnsi="Arial"/>
                <w:sz w:val="16"/>
                <w:szCs w:val="16"/>
                <w:color w:val="auto"/>
              </w:rPr>
              <w:t>2,000</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40"/>
        </w:trPr>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Exercised</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w:t>
            </w: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r>
      <w:tr>
        <w:trPr>
          <w:trHeight w:val="228"/>
        </w:trPr>
        <w:tc>
          <w:tcPr>
            <w:tcW w:w="36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Cancelled</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r>
      <w:tr>
        <w:trPr>
          <w:trHeight w:val="220"/>
        </w:trPr>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Outstanding at March 31, 2019</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1,012,306</w:t>
            </w:r>
          </w:p>
        </w:tc>
        <w:tc>
          <w:tcPr>
            <w:tcW w:w="6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4.49</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577,280</w:t>
            </w:r>
          </w:p>
        </w:tc>
        <w:tc>
          <w:tcPr>
            <w:tcW w:w="6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5.15</w:t>
            </w:r>
          </w:p>
        </w:tc>
      </w:tr>
      <w:tr>
        <w:trPr>
          <w:trHeight w:val="20"/>
        </w:trPr>
        <w:tc>
          <w:tcPr>
            <w:tcW w:w="36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6"/>
        </w:trPr>
        <w:tc>
          <w:tcPr>
            <w:tcW w:w="3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34"/>
        </w:trPr>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As of March 31, 2019:</w:t>
            </w: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r>
      <w:tr>
        <w:trPr>
          <w:trHeight w:val="273"/>
        </w:trPr>
        <w:tc>
          <w:tcPr>
            <w:tcW w:w="36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Options exercisable</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898,472</w:t>
            </w:r>
          </w:p>
        </w:tc>
        <w:tc>
          <w:tcPr>
            <w:tcW w:w="620" w:type="dxa"/>
            <w:vAlign w:val="bottom"/>
            <w:tcBorders>
              <w:bottom w:val="single" w:sz="8" w:color="CCEEFF"/>
            </w:tcBorders>
            <w:gridSpan w:val="2"/>
          </w:tcPr>
          <w:p>
            <w:pPr>
              <w:ind w:left="42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tcPr>
          <w:p>
            <w:pPr>
              <w:jc w:val="right"/>
              <w:ind w:right="142"/>
              <w:spacing w:after="0"/>
              <w:rPr>
                <w:sz w:val="20"/>
                <w:szCs w:val="20"/>
                <w:color w:val="auto"/>
              </w:rPr>
            </w:pPr>
            <w:r>
              <w:rPr>
                <w:rFonts w:ascii="Arial" w:cs="Arial" w:eastAsia="Arial" w:hAnsi="Arial"/>
                <w:sz w:val="16"/>
                <w:szCs w:val="16"/>
                <w:color w:val="auto"/>
              </w:rPr>
              <w:t>4.36</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506,404</w:t>
            </w:r>
          </w:p>
        </w:tc>
        <w:tc>
          <w:tcPr>
            <w:tcW w:w="640" w:type="dxa"/>
            <w:vAlign w:val="bottom"/>
            <w:tcBorders>
              <w:bottom w:val="single" w:sz="8" w:color="CCEEFF"/>
            </w:tcBorders>
            <w:gridSpan w:val="2"/>
          </w:tcPr>
          <w:p>
            <w:pPr>
              <w:ind w:left="4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5.13</w:t>
            </w:r>
          </w:p>
        </w:tc>
      </w:tr>
      <w:tr>
        <w:trPr>
          <w:trHeight w:val="186"/>
        </w:trPr>
        <w:tc>
          <w:tcPr>
            <w:tcW w:w="36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r>
    </w:tbl>
    <w:p>
      <w:pPr>
        <w:spacing w:after="0" w:line="23" w:lineRule="exact"/>
        <w:rPr>
          <w:sz w:val="20"/>
          <w:szCs w:val="20"/>
          <w:color w:val="auto"/>
        </w:rPr>
      </w:pPr>
    </w:p>
    <w:p>
      <w:pPr>
        <w:ind w:left="5"/>
        <w:spacing w:after="0"/>
        <w:rPr>
          <w:sz w:val="20"/>
          <w:szCs w:val="20"/>
          <w:color w:val="auto"/>
        </w:rPr>
      </w:pPr>
      <w:r>
        <w:rPr>
          <w:rFonts w:ascii="Arial" w:cs="Arial" w:eastAsia="Arial" w:hAnsi="Arial"/>
          <w:sz w:val="16"/>
          <w:szCs w:val="16"/>
          <w:color w:val="auto"/>
        </w:rPr>
        <w:t>As of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4989830" cy="1562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89830" cy="156210"/>
                    </a:xfrm>
                    <a:prstGeom prst="rect">
                      <a:avLst/>
                    </a:prstGeom>
                    <a:noFill/>
                  </pic:spPr>
                </pic:pic>
              </a:graphicData>
            </a:graphic>
          </wp:anchor>
        </w:drawing>
      </w:r>
    </w:p>
    <w:p>
      <w:pPr>
        <w:sectPr>
          <w:pgSz w:w="11900" w:h="16838" w:orient="portrait"/>
          <w:cols w:equalWidth="0" w:num="1">
            <w:col w:w="9304"/>
          </w:cols>
          <w:pgMar w:left="1155" w:top="324" w:right="1440" w:bottom="1440" w:gutter="0" w:footer="0" w:header="0"/>
        </w:sectPr>
      </w:pPr>
    </w:p>
    <w:p>
      <w:pPr>
        <w:spacing w:after="0" w:line="62" w:lineRule="exact"/>
        <w:rPr>
          <w:sz w:val="20"/>
          <w:szCs w:val="20"/>
          <w:color w:val="auto"/>
        </w:rPr>
      </w:pPr>
    </w:p>
    <w:p>
      <w:pPr>
        <w:ind w:left="5"/>
        <w:spacing w:after="0"/>
        <w:rPr>
          <w:sz w:val="20"/>
          <w:szCs w:val="20"/>
          <w:color w:val="auto"/>
        </w:rPr>
      </w:pPr>
      <w:r>
        <w:rPr>
          <w:rFonts w:ascii="Arial" w:cs="Arial" w:eastAsia="Arial" w:hAnsi="Arial"/>
          <w:sz w:val="16"/>
          <w:szCs w:val="16"/>
          <w:color w:val="auto"/>
        </w:rPr>
        <w:t>Available options for future grant</w:t>
      </w:r>
    </w:p>
    <w:p>
      <w:pPr>
        <w:spacing w:after="0" w:line="284" w:lineRule="exact"/>
        <w:rPr>
          <w:sz w:val="20"/>
          <w:szCs w:val="20"/>
          <w:color w:val="auto"/>
        </w:rPr>
      </w:pPr>
    </w:p>
    <w:p>
      <w:pPr>
        <w:ind w:left="165" w:right="400" w:hanging="155"/>
        <w:spacing w:after="0" w:line="405" w:lineRule="auto"/>
        <w:rPr>
          <w:sz w:val="20"/>
          <w:szCs w:val="20"/>
          <w:color w:val="auto"/>
        </w:rPr>
      </w:pPr>
      <w:r>
        <w:rPr>
          <w:rFonts w:ascii="Arial" w:cs="Arial" w:eastAsia="Arial" w:hAnsi="Arial"/>
          <w:sz w:val="14"/>
          <w:szCs w:val="14"/>
          <w:color w:val="auto"/>
        </w:rPr>
        <w:t>Weighted average contractual term of options outstanding at March 31, 2019</w:t>
      </w:r>
    </w:p>
    <w:p>
      <w:pPr>
        <w:spacing w:after="0" w:line="135" w:lineRule="exact"/>
        <w:rPr>
          <w:sz w:val="20"/>
          <w:szCs w:val="20"/>
          <w:color w:val="auto"/>
        </w:rPr>
      </w:pPr>
    </w:p>
    <w:p>
      <w:pPr>
        <w:ind w:left="165" w:right="400" w:hanging="155"/>
        <w:spacing w:after="0" w:line="405" w:lineRule="auto"/>
        <w:rPr>
          <w:sz w:val="20"/>
          <w:szCs w:val="20"/>
          <w:color w:val="auto"/>
        </w:rPr>
      </w:pPr>
      <w:r>
        <w:rPr>
          <w:rFonts w:ascii="Arial" w:cs="Arial" w:eastAsia="Arial" w:hAnsi="Arial"/>
          <w:sz w:val="14"/>
          <w:szCs w:val="14"/>
          <w:color w:val="auto"/>
        </w:rPr>
        <w:t>Weighted average contractual term of options exercisable at March 31, 2019</w:t>
      </w:r>
    </w:p>
    <w:p>
      <w:pPr>
        <w:spacing w:after="0" w:line="135" w:lineRule="exact"/>
        <w:rPr>
          <w:sz w:val="20"/>
          <w:szCs w:val="20"/>
          <w:color w:val="auto"/>
        </w:rPr>
      </w:pPr>
    </w:p>
    <w:p>
      <w:pPr>
        <w:jc w:val="right"/>
        <w:ind w:left="5" w:right="920"/>
        <w:spacing w:after="0" w:line="422" w:lineRule="auto"/>
        <w:rPr>
          <w:sz w:val="20"/>
          <w:szCs w:val="20"/>
          <w:color w:val="auto"/>
        </w:rPr>
      </w:pPr>
      <w:r>
        <w:rPr>
          <w:rFonts w:ascii="Arial" w:cs="Arial" w:eastAsia="Arial" w:hAnsi="Arial"/>
          <w:sz w:val="14"/>
          <w:szCs w:val="14"/>
          <w:color w:val="auto"/>
        </w:rPr>
        <w:t>Aggregated intrinsic value of options outstanding at March 31, 2019 (1)</w:t>
      </w:r>
    </w:p>
    <w:p>
      <w:pPr>
        <w:spacing w:after="0" w:line="147" w:lineRule="exact"/>
        <w:rPr>
          <w:sz w:val="20"/>
          <w:szCs w:val="20"/>
          <w:color w:val="auto"/>
        </w:rPr>
      </w:pPr>
    </w:p>
    <w:p>
      <w:pPr>
        <w:ind w:left="5"/>
        <w:spacing w:after="0"/>
        <w:rPr>
          <w:sz w:val="20"/>
          <w:szCs w:val="20"/>
          <w:color w:val="auto"/>
        </w:rPr>
      </w:pPr>
      <w:r>
        <w:rPr>
          <w:rFonts w:ascii="Arial" w:cs="Arial" w:eastAsia="Arial" w:hAnsi="Arial"/>
          <w:sz w:val="16"/>
          <w:szCs w:val="16"/>
          <w:color w:val="auto"/>
        </w:rPr>
        <w:t>Aggregated intrinsic value of options</w:t>
      </w:r>
    </w:p>
    <w:p>
      <w:pPr>
        <w:spacing w:after="0" w:line="38" w:lineRule="exact"/>
        <w:rPr>
          <w:sz w:val="20"/>
          <w:szCs w:val="20"/>
          <w:color w:val="auto"/>
        </w:rPr>
      </w:pPr>
    </w:p>
    <w:p>
      <w:pPr>
        <w:ind w:left="165"/>
        <w:spacing w:after="0"/>
        <w:rPr>
          <w:sz w:val="20"/>
          <w:szCs w:val="20"/>
          <w:color w:val="auto"/>
        </w:rPr>
      </w:pPr>
      <w:r>
        <w:rPr>
          <w:rFonts w:ascii="Arial" w:cs="Arial" w:eastAsia="Arial" w:hAnsi="Arial"/>
          <w:sz w:val="16"/>
          <w:szCs w:val="16"/>
          <w:color w:val="auto"/>
        </w:rPr>
        <w:t>exercisable at March 31, 2019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158750</wp:posOffset>
            </wp:positionV>
            <wp:extent cx="79438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9438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jc w:val="right"/>
        <w:ind w:right="860"/>
        <w:spacing w:after="0"/>
        <w:rPr>
          <w:sz w:val="20"/>
          <w:szCs w:val="20"/>
          <w:color w:val="auto"/>
        </w:rPr>
      </w:pPr>
      <w:r>
        <w:rPr>
          <w:rFonts w:ascii="Arial" w:cs="Arial" w:eastAsia="Arial" w:hAnsi="Arial"/>
          <w:sz w:val="16"/>
          <w:szCs w:val="16"/>
          <w:color w:val="auto"/>
        </w:rPr>
        <w:t>295,128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-2517140</wp:posOffset>
            </wp:positionH>
            <wp:positionV relativeFrom="paragraph">
              <wp:posOffset>173355</wp:posOffset>
            </wp:positionV>
            <wp:extent cx="4989830" cy="148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89830" cy="148590"/>
                    </a:xfrm>
                    <a:prstGeom prst="rect">
                      <a:avLst/>
                    </a:prstGeom>
                    <a:noFill/>
                  </pic:spPr>
                </pic:pic>
              </a:graphicData>
            </a:graphic>
          </wp:anchor>
        </w:drawing>
        <w:drawing>
          <wp:anchor simplePos="0" relativeHeight="251657728" behindDoc="1" locked="0" layoutInCell="0" allowOverlap="1">
            <wp:simplePos x="0" y="0"/>
            <wp:positionH relativeFrom="column">
              <wp:posOffset>-215265</wp:posOffset>
            </wp:positionH>
            <wp:positionV relativeFrom="paragraph">
              <wp:posOffset>32385</wp:posOffset>
            </wp:positionV>
            <wp:extent cx="63119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1190" cy="762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3"/>
          <w:szCs w:val="13"/>
          <w:color w:val="auto"/>
        </w:rPr>
        <w:t>5.89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-2517140</wp:posOffset>
            </wp:positionH>
            <wp:positionV relativeFrom="paragraph">
              <wp:posOffset>39370</wp:posOffset>
            </wp:positionV>
            <wp:extent cx="4989830" cy="133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89830" cy="133350"/>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321310</wp:posOffset>
            </wp:positionV>
            <wp:extent cx="4989830" cy="148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89830" cy="14859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3"/>
          <w:szCs w:val="13"/>
          <w:color w:val="auto"/>
        </w:rPr>
        <w:t>5.71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-2517140</wp:posOffset>
            </wp:positionH>
            <wp:positionV relativeFrom="paragraph">
              <wp:posOffset>172720</wp:posOffset>
            </wp:positionV>
            <wp:extent cx="4989830" cy="148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89830" cy="14859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60"/>
        <w:spacing w:after="0"/>
        <w:rPr>
          <w:sz w:val="20"/>
          <w:szCs w:val="20"/>
          <w:color w:val="auto"/>
        </w:rPr>
      </w:pPr>
      <w:r>
        <w:rPr>
          <w:rFonts w:ascii="Arial" w:cs="Arial" w:eastAsia="Arial" w:hAnsi="Arial"/>
          <w:sz w:val="13"/>
          <w:szCs w:val="13"/>
          <w:color w:val="auto"/>
        </w:rPr>
        <w:t>$704,498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-2517140</wp:posOffset>
            </wp:positionH>
            <wp:positionV relativeFrom="paragraph">
              <wp:posOffset>39370</wp:posOffset>
            </wp:positionV>
            <wp:extent cx="4989830" cy="1562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989830" cy="15621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60"/>
        <w:spacing w:after="0"/>
        <w:rPr>
          <w:sz w:val="20"/>
          <w:szCs w:val="20"/>
          <w:color w:val="auto"/>
        </w:rPr>
      </w:pPr>
      <w:r>
        <w:rPr>
          <w:rFonts w:ascii="Arial" w:cs="Arial" w:eastAsia="Arial" w:hAnsi="Arial"/>
          <w:sz w:val="13"/>
          <w:szCs w:val="13"/>
          <w:color w:val="auto"/>
        </w:rPr>
        <w:t>$704,498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-2517140</wp:posOffset>
            </wp:positionH>
            <wp:positionV relativeFrom="paragraph">
              <wp:posOffset>202565</wp:posOffset>
            </wp:positionV>
            <wp:extent cx="4989830" cy="133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989830" cy="133350"/>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-93980</wp:posOffset>
            </wp:positionV>
            <wp:extent cx="4989830" cy="1562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89830" cy="1562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4"/>
          <w:szCs w:val="14"/>
          <w:color w:val="auto"/>
        </w:rPr>
        <w:t>146,425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46990</wp:posOffset>
            </wp:positionV>
            <wp:extent cx="60896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8965" cy="762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3"/>
          <w:szCs w:val="13"/>
          <w:color w:val="auto"/>
        </w:rPr>
        <w:t>3.71 years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3"/>
          <w:szCs w:val="13"/>
          <w:color w:val="auto"/>
        </w:rPr>
        <w:t>2.87 years</w:t>
      </w:r>
    </w:p>
    <w:p>
      <w:pPr>
        <w:spacing w:after="0" w:line="200" w:lineRule="exact"/>
        <w:rPr>
          <w:sz w:val="20"/>
          <w:szCs w:val="20"/>
          <w:color w:val="auto"/>
        </w:rPr>
      </w:pPr>
    </w:p>
    <w:p>
      <w:pPr>
        <w:spacing w:after="0" w:line="329" w:lineRule="exact"/>
        <w:rPr>
          <w:sz w:val="20"/>
          <w:szCs w:val="20"/>
          <w:color w:val="auto"/>
        </w:rPr>
      </w:pPr>
    </w:p>
    <w:p>
      <w:pPr>
        <w:ind w:left="40"/>
        <w:spacing w:after="0"/>
        <w:rPr>
          <w:sz w:val="20"/>
          <w:szCs w:val="20"/>
          <w:color w:val="auto"/>
        </w:rPr>
      </w:pPr>
      <w:r>
        <w:rPr>
          <w:rFonts w:ascii="Arial" w:cs="Arial" w:eastAsia="Arial" w:hAnsi="Arial"/>
          <w:sz w:val="14"/>
          <w:szCs w:val="14"/>
          <w:color w:val="auto"/>
        </w:rPr>
        <w:t>$137,424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31750</wp:posOffset>
            </wp:positionV>
            <wp:extent cx="60896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8965" cy="762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$137,424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46990</wp:posOffset>
            </wp:positionV>
            <wp:extent cx="60896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8965" cy="7620"/>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3">
            <w:col w:w="3245" w:space="720"/>
            <w:col w:w="1500" w:space="720"/>
            <w:col w:w="3119"/>
          </w:cols>
          <w:pgMar w:left="1155" w:top="324" w:right="1440" w:bottom="1440" w:gutter="0" w:footer="0" w:header="0"/>
          <w:type w:val="continuous"/>
        </w:sectPr>
      </w:pPr>
    </w:p>
    <w:p>
      <w:pPr>
        <w:spacing w:after="0" w:line="306" w:lineRule="exact"/>
        <w:rPr>
          <w:sz w:val="20"/>
          <w:szCs w:val="20"/>
          <w:color w:val="auto"/>
        </w:rPr>
      </w:pPr>
    </w:p>
    <w:p>
      <w:pPr>
        <w:ind w:left="5"/>
        <w:spacing w:after="0"/>
        <w:rPr>
          <w:sz w:val="20"/>
          <w:szCs w:val="20"/>
          <w:color w:val="auto"/>
        </w:rPr>
      </w:pPr>
      <w:r>
        <w:rPr>
          <w:rFonts w:ascii="Arial" w:cs="Arial" w:eastAsia="Arial" w:hAnsi="Arial"/>
          <w:sz w:val="16"/>
          <w:szCs w:val="16"/>
          <w:color w:val="auto"/>
        </w:rPr>
        <w:t>(1) The Company used a stock price of $4.72 as of March 31, 2019 to derive intrinsic value.</w:t>
      </w:r>
    </w:p>
    <w:p>
      <w:pPr>
        <w:spacing w:after="0" w:line="211" w:lineRule="exact"/>
        <w:rPr>
          <w:sz w:val="20"/>
          <w:szCs w:val="20"/>
          <w:color w:val="auto"/>
        </w:rPr>
      </w:pPr>
    </w:p>
    <w:p>
      <w:pPr>
        <w:jc w:val="both"/>
        <w:ind w:left="5" w:right="1439"/>
        <w:spacing w:after="0" w:line="257" w:lineRule="auto"/>
        <w:rPr>
          <w:sz w:val="20"/>
          <w:szCs w:val="20"/>
          <w:color w:val="auto"/>
        </w:rPr>
      </w:pPr>
      <w:r>
        <w:rPr>
          <w:rFonts w:ascii="Arial" w:cs="Arial" w:eastAsia="Arial" w:hAnsi="Arial"/>
          <w:sz w:val="17"/>
          <w:szCs w:val="17"/>
          <w:color w:val="auto"/>
        </w:rPr>
        <w:t>The total intrinsic value (which is the amount by which the fair value of the underlying stock exceeds the exercise price of an option on the exercise date) of stock options exercised during the three months March 31, 2020 and 2019 was $73,072 and $1,539, respectively.</w:t>
      </w:r>
    </w:p>
    <w:p>
      <w:pPr>
        <w:spacing w:after="0" w:line="179" w:lineRule="exact"/>
        <w:rPr>
          <w:sz w:val="20"/>
          <w:szCs w:val="20"/>
          <w:color w:val="auto"/>
        </w:rPr>
      </w:pPr>
    </w:p>
    <w:p>
      <w:pPr>
        <w:ind w:left="3845"/>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498983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989830" cy="29845"/>
                    </a:xfrm>
                    <a:prstGeom prst="rect">
                      <a:avLst/>
                    </a:prstGeom>
                    <a:noFill/>
                  </pic:spPr>
                </pic:pic>
              </a:graphicData>
            </a:graphic>
          </wp:anchor>
        </w:drawing>
      </w:r>
    </w:p>
    <w:p>
      <w:pPr>
        <w:sectPr>
          <w:pgSz w:w="11900" w:h="16838" w:orient="portrait"/>
          <w:cols w:equalWidth="0" w:num="1">
            <w:col w:w="9304"/>
          </w:cols>
          <w:pgMar w:left="1155" w:top="324" w:right="1440" w:bottom="1440" w:gutter="0" w:footer="0" w:header="0"/>
          <w:type w:val="continuous"/>
        </w:sectPr>
      </w:pPr>
    </w:p>
    <w:bookmarkStart w:id="28" w:name="page29"/>
    <w:bookmarkEnd w:id="28"/>
    <w:p>
      <w:pPr>
        <w:jc w:val="center"/>
        <w:ind w:left="1160" w:right="1140"/>
        <w:spacing w:after="0" w:line="257" w:lineRule="auto"/>
        <w:rPr>
          <w:sz w:val="20"/>
          <w:szCs w:val="20"/>
          <w:color w:val="auto"/>
        </w:rPr>
      </w:pPr>
      <w:r>
        <w:rPr>
          <w:rFonts w:ascii="Arial" w:cs="Arial" w:eastAsia="Arial" w:hAnsi="Arial"/>
          <w:sz w:val="17"/>
          <w:szCs w:val="17"/>
          <w:color w:val="auto"/>
        </w:rPr>
        <w:t>SECURITY NATIONAL FINANCIAL CORPORATION AND SUBSIDIARIES Notes to Condensed Consolidated Financial Statements March 31, 2020 (Unaudited)</w:t>
      </w:r>
    </w:p>
    <w:p>
      <w:pPr>
        <w:spacing w:after="0" w:line="191" w:lineRule="exact"/>
        <w:rPr>
          <w:sz w:val="20"/>
          <w:szCs w:val="20"/>
          <w:color w:val="auto"/>
        </w:rPr>
      </w:pPr>
    </w:p>
    <w:p>
      <w:pPr>
        <w:ind w:left="425" w:hanging="425"/>
        <w:spacing w:after="0"/>
        <w:tabs>
          <w:tab w:leader="none" w:pos="425"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Earnings Per Share</w:t>
      </w:r>
    </w:p>
    <w:p>
      <w:pPr>
        <w:spacing w:after="0" w:line="202" w:lineRule="exact"/>
        <w:rPr>
          <w:sz w:val="20"/>
          <w:szCs w:val="20"/>
          <w:color w:val="auto"/>
        </w:rPr>
      </w:pPr>
    </w:p>
    <w:p>
      <w:pPr>
        <w:ind w:left="5"/>
        <w:spacing w:after="0"/>
        <w:rPr>
          <w:sz w:val="20"/>
          <w:szCs w:val="20"/>
          <w:color w:val="auto"/>
        </w:rPr>
      </w:pPr>
      <w:r>
        <w:rPr>
          <w:rFonts w:ascii="Arial" w:cs="Arial" w:eastAsia="Arial" w:hAnsi="Arial"/>
          <w:sz w:val="17"/>
          <w:szCs w:val="17"/>
          <w:color w:val="auto"/>
        </w:rPr>
        <w:t>The basic and diluted earnings per share amounts were calculated as follows:</w:t>
      </w:r>
    </w:p>
    <w:p>
      <w:pPr>
        <w:spacing w:after="0" w:line="216" w:lineRule="exact"/>
        <w:rPr>
          <w:sz w:val="20"/>
          <w:szCs w:val="20"/>
          <w:color w:val="auto"/>
        </w:rPr>
      </w:pPr>
    </w:p>
    <w:p>
      <w:pPr>
        <w:ind w:left="5065"/>
        <w:spacing w:after="0"/>
        <w:rPr>
          <w:sz w:val="20"/>
          <w:szCs w:val="20"/>
          <w:color w:val="auto"/>
        </w:rPr>
      </w:pPr>
      <w:r>
        <w:rPr>
          <w:rFonts w:ascii="Arial" w:cs="Arial" w:eastAsia="Arial" w:hAnsi="Arial"/>
          <w:sz w:val="16"/>
          <w:szCs w:val="16"/>
          <w:color w:val="auto"/>
        </w:rPr>
        <w:t>Three Months Ended</w:t>
      </w:r>
    </w:p>
    <w:p>
      <w:pPr>
        <w:spacing w:after="0" w:line="15" w:lineRule="exact"/>
        <w:rPr>
          <w:sz w:val="20"/>
          <w:szCs w:val="20"/>
          <w:color w:val="auto"/>
        </w:rPr>
      </w:pPr>
    </w:p>
    <w:p>
      <w:pPr>
        <w:ind w:left="5445"/>
        <w:spacing w:after="0"/>
        <w:rPr>
          <w:sz w:val="20"/>
          <w:szCs w:val="20"/>
          <w:color w:val="auto"/>
        </w:rPr>
      </w:pPr>
      <w:r>
        <w:rPr>
          <w:rFonts w:ascii="Arial" w:cs="Arial" w:eastAsia="Arial" w:hAnsi="Arial"/>
          <w:sz w:val="16"/>
          <w:szCs w:val="16"/>
          <w:color w:val="auto"/>
        </w:rPr>
        <w:t>March 31</w:t>
      </w:r>
    </w:p>
    <w:p>
      <w:pPr>
        <w:spacing w:after="0" w:line="3" w:lineRule="exact"/>
        <w:rPr>
          <w:sz w:val="20"/>
          <w:szCs w:val="20"/>
          <w:color w:val="auto"/>
        </w:rPr>
      </w:pPr>
    </w:p>
    <w:tbl>
      <w:tblPr>
        <w:tblLayout w:type="fixed"/>
        <w:tblInd w:w="5" w:type="dxa"/>
        <w:tblCellMar>
          <w:top w:w="0" w:type="dxa"/>
          <w:left w:w="0" w:type="dxa"/>
          <w:bottom w:w="0" w:type="dxa"/>
          <w:right w:w="0" w:type="dxa"/>
        </w:tblCellMar>
      </w:tblPr>
      <w:tr>
        <w:trPr>
          <w:trHeight w:val="209"/>
        </w:trPr>
        <w:tc>
          <w:tcPr>
            <w:tcW w:w="4480" w:type="dxa"/>
            <w:vAlign w:val="bottom"/>
          </w:tcPr>
          <w:p>
            <w:pPr>
              <w:spacing w:after="0"/>
              <w:rPr>
                <w:sz w:val="18"/>
                <w:szCs w:val="18"/>
                <w:color w:val="auto"/>
              </w:rPr>
            </w:pPr>
          </w:p>
        </w:tc>
        <w:tc>
          <w:tcPr>
            <w:tcW w:w="1140" w:type="dxa"/>
            <w:vAlign w:val="bottom"/>
            <w:tcBorders>
              <w:top w:val="single" w:sz="8" w:color="auto"/>
            </w:tcBorders>
          </w:tcPr>
          <w:p>
            <w:pPr>
              <w:jc w:val="right"/>
              <w:ind w:right="342"/>
              <w:spacing w:after="0"/>
              <w:rPr>
                <w:sz w:val="20"/>
                <w:szCs w:val="20"/>
                <w:color w:val="auto"/>
              </w:rPr>
            </w:pPr>
            <w:r>
              <w:rPr>
                <w:rFonts w:ascii="Arial" w:cs="Arial" w:eastAsia="Arial" w:hAnsi="Arial"/>
                <w:sz w:val="16"/>
                <w:szCs w:val="16"/>
                <w:color w:val="auto"/>
              </w:rPr>
              <w:t>2020</w:t>
            </w: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42"/>
              <w:spacing w:after="0"/>
              <w:rPr>
                <w:sz w:val="20"/>
                <w:szCs w:val="20"/>
                <w:color w:val="auto"/>
              </w:rPr>
            </w:pPr>
            <w:r>
              <w:rPr>
                <w:rFonts w:ascii="Arial" w:cs="Arial" w:eastAsia="Arial" w:hAnsi="Arial"/>
                <w:sz w:val="16"/>
                <w:szCs w:val="16"/>
                <w:color w:val="auto"/>
              </w:rPr>
              <w:t>2019</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Numerator:</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5"/>
        </w:trPr>
        <w:tc>
          <w:tcPr>
            <w:tcW w:w="4480" w:type="dxa"/>
            <w:vAlign w:val="bottom"/>
          </w:tcPr>
          <w:p>
            <w:pPr>
              <w:ind w:left="540"/>
              <w:spacing w:after="0"/>
              <w:rPr>
                <w:sz w:val="20"/>
                <w:szCs w:val="20"/>
                <w:color w:val="auto"/>
              </w:rPr>
            </w:pPr>
            <w:r>
              <w:rPr>
                <w:rFonts w:ascii="Arial" w:cs="Arial" w:eastAsia="Arial" w:hAnsi="Arial"/>
                <w:sz w:val="16"/>
                <w:szCs w:val="16"/>
                <w:color w:val="auto"/>
              </w:rPr>
              <w:t>Net earnings</w:t>
            </w:r>
          </w:p>
        </w:tc>
        <w:tc>
          <w:tcPr>
            <w:tcW w:w="1140" w:type="dxa"/>
            <w:vAlign w:val="bottom"/>
          </w:tcPr>
          <w:p>
            <w:pPr>
              <w:jc w:val="right"/>
              <w:spacing w:after="0"/>
              <w:rPr>
                <w:sz w:val="20"/>
                <w:szCs w:val="20"/>
                <w:color w:val="auto"/>
              </w:rPr>
            </w:pPr>
            <w:r>
              <w:rPr>
                <w:rFonts w:ascii="Arial" w:cs="Arial" w:eastAsia="Arial" w:hAnsi="Arial"/>
                <w:sz w:val="16"/>
                <w:szCs w:val="16"/>
                <w:color w:val="auto"/>
              </w:rPr>
              <w:t>$  1,424,449</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  1,930,318</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Denominator:</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5"/>
        </w:trPr>
        <w:tc>
          <w:tcPr>
            <w:tcW w:w="4480" w:type="dxa"/>
            <w:vAlign w:val="bottom"/>
          </w:tcPr>
          <w:p>
            <w:pPr>
              <w:ind w:left="540"/>
              <w:spacing w:after="0"/>
              <w:rPr>
                <w:sz w:val="20"/>
                <w:szCs w:val="20"/>
                <w:color w:val="auto"/>
              </w:rPr>
            </w:pPr>
            <w:r>
              <w:rPr>
                <w:rFonts w:ascii="Arial" w:cs="Arial" w:eastAsia="Arial" w:hAnsi="Arial"/>
                <w:sz w:val="16"/>
                <w:szCs w:val="16"/>
                <w:color w:val="auto"/>
              </w:rPr>
              <w:t>Basic weighted-average shares outstanding</w:t>
            </w:r>
          </w:p>
        </w:tc>
        <w:tc>
          <w:tcPr>
            <w:tcW w:w="1140" w:type="dxa"/>
            <w:vAlign w:val="bottom"/>
          </w:tcPr>
          <w:p>
            <w:pPr>
              <w:jc w:val="right"/>
              <w:spacing w:after="0"/>
              <w:rPr>
                <w:sz w:val="20"/>
                <w:szCs w:val="20"/>
                <w:color w:val="auto"/>
              </w:rPr>
            </w:pPr>
            <w:r>
              <w:rPr>
                <w:rFonts w:ascii="Arial" w:cs="Arial" w:eastAsia="Arial" w:hAnsi="Arial"/>
                <w:sz w:val="16"/>
                <w:szCs w:val="16"/>
                <w:color w:val="auto"/>
              </w:rPr>
              <w:t>18,184,575</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18,102,318</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Effect of dilutive securities: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5"/>
        </w:trPr>
        <w:tc>
          <w:tcPr>
            <w:tcW w:w="4480" w:type="dxa"/>
            <w:vAlign w:val="bottom"/>
          </w:tcPr>
          <w:p>
            <w:pPr>
              <w:ind w:left="540"/>
              <w:spacing w:after="0"/>
              <w:rPr>
                <w:sz w:val="20"/>
                <w:szCs w:val="20"/>
                <w:color w:val="auto"/>
              </w:rPr>
            </w:pPr>
            <w:r>
              <w:rPr>
                <w:rFonts w:ascii="Arial" w:cs="Arial" w:eastAsia="Arial" w:hAnsi="Arial"/>
                <w:sz w:val="16"/>
                <w:szCs w:val="16"/>
                <w:color w:val="auto"/>
              </w:rPr>
              <w:t>Employee stock options</w:t>
            </w:r>
          </w:p>
        </w:tc>
        <w:tc>
          <w:tcPr>
            <w:tcW w:w="1140" w:type="dxa"/>
            <w:vAlign w:val="bottom"/>
          </w:tcPr>
          <w:p>
            <w:pPr>
              <w:jc w:val="right"/>
              <w:spacing w:after="0"/>
              <w:rPr>
                <w:sz w:val="20"/>
                <w:szCs w:val="20"/>
                <w:color w:val="auto"/>
              </w:rPr>
            </w:pPr>
            <w:r>
              <w:rPr>
                <w:rFonts w:ascii="Arial" w:cs="Arial" w:eastAsia="Arial" w:hAnsi="Arial"/>
                <w:sz w:val="16"/>
                <w:szCs w:val="16"/>
                <w:color w:val="auto"/>
              </w:rPr>
              <w:t>186,777</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221,084</w:t>
            </w:r>
          </w:p>
        </w:tc>
      </w:tr>
      <w:tr>
        <w:trPr>
          <w:trHeight w:val="216"/>
        </w:trPr>
        <w:tc>
          <w:tcPr>
            <w:tcW w:w="44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r>
      <w:tr>
        <w:trPr>
          <w:trHeight w:val="242"/>
        </w:trPr>
        <w:tc>
          <w:tcPr>
            <w:tcW w:w="448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Diluted weighted-average shares outstanding</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18,371,352</w:t>
            </w:r>
          </w:p>
        </w:tc>
        <w:tc>
          <w:tcPr>
            <w:tcW w:w="24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18,323,402</w:t>
            </w:r>
          </w:p>
        </w:tc>
      </w:tr>
      <w:tr>
        <w:trPr>
          <w:trHeight w:val="186"/>
        </w:trPr>
        <w:tc>
          <w:tcPr>
            <w:tcW w:w="44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05"/>
        </w:trPr>
        <w:tc>
          <w:tcPr>
            <w:tcW w:w="4480" w:type="dxa"/>
            <w:vAlign w:val="bottom"/>
          </w:tcPr>
          <w:p>
            <w:pPr>
              <w:spacing w:after="0"/>
              <w:rPr>
                <w:sz w:val="20"/>
                <w:szCs w:val="20"/>
                <w:color w:val="auto"/>
              </w:rPr>
            </w:pPr>
            <w:r>
              <w:rPr>
                <w:rFonts w:ascii="Arial" w:cs="Arial" w:eastAsia="Arial" w:hAnsi="Arial"/>
                <w:sz w:val="16"/>
                <w:szCs w:val="16"/>
                <w:color w:val="auto"/>
              </w:rPr>
              <w:t>Basic net earnings per share</w:t>
            </w:r>
          </w:p>
        </w:tc>
        <w:tc>
          <w:tcPr>
            <w:tcW w:w="1140" w:type="dxa"/>
            <w:vAlign w:val="bottom"/>
          </w:tcPr>
          <w:p>
            <w:pPr>
              <w:jc w:val="right"/>
              <w:spacing w:after="0"/>
              <w:rPr>
                <w:sz w:val="20"/>
                <w:szCs w:val="20"/>
                <w:color w:val="auto"/>
              </w:rPr>
            </w:pPr>
            <w:r>
              <w:rPr>
                <w:rFonts w:ascii="Arial" w:cs="Arial" w:eastAsia="Arial" w:hAnsi="Arial"/>
                <w:sz w:val="16"/>
                <w:szCs w:val="16"/>
                <w:color w:val="auto"/>
              </w:rPr>
              <w:t>$0.08</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$0.11</w:t>
            </w:r>
          </w:p>
        </w:tc>
      </w:tr>
      <w:tr>
        <w:trPr>
          <w:trHeight w:val="216"/>
        </w:trPr>
        <w:tc>
          <w:tcPr>
            <w:tcW w:w="4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0"/>
        </w:trPr>
        <w:tc>
          <w:tcPr>
            <w:tcW w:w="4480" w:type="dxa"/>
            <w:vAlign w:val="bottom"/>
          </w:tcPr>
          <w:p>
            <w:pPr>
              <w:spacing w:after="0"/>
              <w:rPr>
                <w:sz w:val="20"/>
                <w:szCs w:val="20"/>
                <w:color w:val="auto"/>
              </w:rPr>
            </w:pPr>
            <w:r>
              <w:rPr>
                <w:rFonts w:ascii="Arial" w:cs="Arial" w:eastAsia="Arial" w:hAnsi="Arial"/>
                <w:sz w:val="16"/>
                <w:szCs w:val="16"/>
                <w:color w:val="auto"/>
              </w:rPr>
              <w:t>Diluted net earnings per share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$0.08</w:t>
            </w:r>
          </w:p>
        </w:tc>
        <w:tc>
          <w:tcPr>
            <w:tcW w:w="24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$0.11</w:t>
            </w:r>
          </w:p>
        </w:tc>
      </w:tr>
      <w:tr>
        <w:trPr>
          <w:trHeight w:val="20"/>
        </w:trPr>
        <w:tc>
          <w:tcPr>
            <w:tcW w:w="44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5" w:right="1439"/>
        <w:spacing w:after="0" w:line="252" w:lineRule="auto"/>
        <w:rPr>
          <w:sz w:val="20"/>
          <w:szCs w:val="20"/>
          <w:color w:val="auto"/>
        </w:rPr>
      </w:pPr>
      <w:r>
        <w:rPr>
          <w:rFonts w:ascii="Arial" w:cs="Arial" w:eastAsia="Arial" w:hAnsi="Arial"/>
          <w:sz w:val="17"/>
          <w:szCs w:val="17"/>
          <w:color w:val="auto"/>
        </w:rPr>
        <w:t>Net earnings per share amounts have been retroactively adjusted for the effect of annual stock dividends. For the three months March 31, 2020 and 2019, there were 1,316,506 and 984,415 of anti-dilutive employee stock option shares, respectively, that were not included in the computation of diluted net earnings per common share as their effect would be anti-dilutive.</w:t>
      </w:r>
    </w:p>
    <w:p>
      <w:pPr>
        <w:spacing w:after="0" w:line="173" w:lineRule="exact"/>
        <w:rPr>
          <w:sz w:val="20"/>
          <w:szCs w:val="20"/>
          <w:color w:val="auto"/>
        </w:rPr>
      </w:pPr>
    </w:p>
    <w:p>
      <w:pPr>
        <w:ind w:left="5" w:right="5899" w:hanging="5"/>
        <w:spacing w:after="0" w:line="553" w:lineRule="auto"/>
        <w:tabs>
          <w:tab w:leader="none" w:pos="426" w:val="left"/>
        </w:tabs>
        <w:numPr>
          <w:ilvl w:val="0"/>
          <w:numId w:val="29"/>
        </w:numPr>
        <w:rPr>
          <w:rFonts w:ascii="Arial" w:cs="Arial" w:eastAsia="Arial" w:hAnsi="Arial"/>
          <w:sz w:val="15"/>
          <w:szCs w:val="15"/>
          <w:color w:val="auto"/>
        </w:rPr>
      </w:pPr>
      <w:r>
        <w:rPr>
          <w:rFonts w:ascii="Arial" w:cs="Arial" w:eastAsia="Arial" w:hAnsi="Arial"/>
          <w:sz w:val="15"/>
          <w:szCs w:val="15"/>
          <w:u w:val="single" w:color="auto"/>
          <w:color w:val="auto"/>
        </w:rPr>
        <w:t>Business Segment Information Description of Products and Services by Segment</w:t>
      </w:r>
    </w:p>
    <w:p>
      <w:pPr>
        <w:jc w:val="both"/>
        <w:ind w:left="5" w:right="1439"/>
        <w:spacing w:after="0" w:line="264" w:lineRule="auto"/>
        <w:rPr>
          <w:sz w:val="20"/>
          <w:szCs w:val="20"/>
          <w:color w:val="auto"/>
        </w:rPr>
      </w:pPr>
      <w:r>
        <w:rPr>
          <w:rFonts w:ascii="Arial" w:cs="Arial" w:eastAsia="Arial" w:hAnsi="Arial"/>
          <w:sz w:val="16"/>
          <w:szCs w:val="16"/>
          <w:color w:val="auto"/>
        </w:rPr>
        <w:t>The Company has three reportable business segments: life insurance, cemetery and mortuary, and mortgage. The Company’s life insurance segment consists of life insurance premiums and operating expenses from the sale of insurance products sold by the Company’s independent agency force and net investment income derived from investing policyholder and segment surplus funds. The Company’s cemetery and mortuary segment consists of revenues and operating expenses from the sale of at-need cemetery and mortuary merchandise and services at its mortuaries and cemeteries, pre-need sales of cemetery spaces after collection of 10% or more of the purchase price and the net investment income from investing segment surplus funds. The Company’s mortgage segment consists of fee income and expenses from the originations of residential mortgage loans and interest earned and interest expenses from warehousing loans held for sale.</w:t>
      </w:r>
    </w:p>
    <w:p>
      <w:pPr>
        <w:spacing w:after="0" w:line="166" w:lineRule="exact"/>
        <w:rPr>
          <w:sz w:val="20"/>
          <w:szCs w:val="20"/>
          <w:color w:val="auto"/>
        </w:rPr>
      </w:pPr>
    </w:p>
    <w:p>
      <w:pPr>
        <w:ind w:left="5"/>
        <w:spacing w:after="0"/>
        <w:rPr>
          <w:sz w:val="20"/>
          <w:szCs w:val="20"/>
          <w:color w:val="auto"/>
        </w:rPr>
      </w:pPr>
      <w:r>
        <w:rPr>
          <w:rFonts w:ascii="Arial" w:cs="Arial" w:eastAsia="Arial" w:hAnsi="Arial"/>
          <w:sz w:val="17"/>
          <w:szCs w:val="17"/>
          <w:u w:val="single" w:color="auto"/>
          <w:color w:val="auto"/>
        </w:rPr>
        <w:t>Measurement of Segment Profit or Loss and Segment Assets</w:t>
      </w:r>
    </w:p>
    <w:p>
      <w:pPr>
        <w:spacing w:after="0" w:line="202" w:lineRule="exact"/>
        <w:rPr>
          <w:sz w:val="20"/>
          <w:szCs w:val="20"/>
          <w:color w:val="auto"/>
        </w:rPr>
      </w:pPr>
    </w:p>
    <w:p>
      <w:pPr>
        <w:jc w:val="both"/>
        <w:ind w:left="5" w:right="1459"/>
        <w:spacing w:after="0" w:line="257" w:lineRule="auto"/>
        <w:rPr>
          <w:sz w:val="20"/>
          <w:szCs w:val="20"/>
          <w:color w:val="auto"/>
        </w:rPr>
      </w:pPr>
      <w:r>
        <w:rPr>
          <w:rFonts w:ascii="Arial" w:cs="Arial" w:eastAsia="Arial" w:hAnsi="Arial"/>
          <w:sz w:val="17"/>
          <w:szCs w:val="17"/>
          <w:color w:val="auto"/>
        </w:rPr>
        <w:t>The accounting policies of the reportable segments are the same as those described in the Significant Accounting Principles of the Form 10-K for the year ended December 31, 2019. Intersegment revenues are recorded at cost plus an agreed upon intercompany profit, and are eliminated upon consolidation.</w:t>
      </w:r>
    </w:p>
    <w:p>
      <w:pPr>
        <w:spacing w:after="0" w:line="167" w:lineRule="exact"/>
        <w:rPr>
          <w:sz w:val="20"/>
          <w:szCs w:val="20"/>
          <w:color w:val="auto"/>
        </w:rPr>
      </w:pPr>
    </w:p>
    <w:p>
      <w:pPr>
        <w:ind w:left="5"/>
        <w:spacing w:after="0"/>
        <w:rPr>
          <w:sz w:val="20"/>
          <w:szCs w:val="20"/>
          <w:color w:val="auto"/>
        </w:rPr>
      </w:pPr>
      <w:r>
        <w:rPr>
          <w:rFonts w:ascii="Arial" w:cs="Arial" w:eastAsia="Arial" w:hAnsi="Arial"/>
          <w:sz w:val="17"/>
          <w:szCs w:val="17"/>
          <w:u w:val="single" w:color="auto"/>
          <w:color w:val="auto"/>
        </w:rPr>
        <w:t>Factors Management Used to Identify the Enterprise’s Reportable Segments</w:t>
      </w:r>
    </w:p>
    <w:p>
      <w:pPr>
        <w:spacing w:after="0" w:line="202" w:lineRule="exact"/>
        <w:rPr>
          <w:sz w:val="20"/>
          <w:szCs w:val="20"/>
          <w:color w:val="auto"/>
        </w:rPr>
      </w:pPr>
    </w:p>
    <w:p>
      <w:pPr>
        <w:jc w:val="both"/>
        <w:ind w:left="5" w:right="1439"/>
        <w:spacing w:after="0" w:line="307" w:lineRule="auto"/>
        <w:rPr>
          <w:sz w:val="20"/>
          <w:szCs w:val="20"/>
          <w:color w:val="auto"/>
        </w:rPr>
      </w:pPr>
      <w:r>
        <w:rPr>
          <w:rFonts w:ascii="Arial" w:cs="Arial" w:eastAsia="Arial" w:hAnsi="Arial"/>
          <w:sz w:val="15"/>
          <w:szCs w:val="15"/>
          <w:color w:val="auto"/>
        </w:rPr>
        <w:t>The Company’s reportable segments are business units that are managed separately due to the different products provided and the need to report separately to the various regulatory jurisdictions. The Company regularly reviews the quantitative thresholds and other criteria to determine when other business segments may need to be reported.</w:t>
      </w:r>
    </w:p>
    <w:p>
      <w:pPr>
        <w:spacing w:after="0" w:line="145" w:lineRule="exact"/>
        <w:rPr>
          <w:sz w:val="20"/>
          <w:szCs w:val="20"/>
          <w:color w:val="auto"/>
        </w:rPr>
      </w:pPr>
    </w:p>
    <w:p>
      <w:pPr>
        <w:ind w:left="3845"/>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498983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989830" cy="29845"/>
                    </a:xfrm>
                    <a:prstGeom prst="rect">
                      <a:avLst/>
                    </a:prstGeom>
                    <a:noFill/>
                  </pic:spPr>
                </pic:pic>
              </a:graphicData>
            </a:graphic>
          </wp:anchor>
        </w:drawing>
      </w:r>
    </w:p>
    <w:p>
      <w:pPr>
        <w:sectPr>
          <w:pgSz w:w="11900" w:h="16838" w:orient="portrait"/>
          <w:cols w:equalWidth="0" w:num="1">
            <w:col w:w="9304"/>
          </w:cols>
          <w:pgMar w:left="1155" w:top="382" w:right="1440" w:bottom="1440" w:gutter="0" w:footer="0" w:header="0"/>
        </w:sectPr>
      </w:pPr>
    </w:p>
    <w:bookmarkStart w:id="29" w:name="page30"/>
    <w:bookmarkEnd w:id="29"/>
    <w:p>
      <w:pPr>
        <w:jc w:val="center"/>
        <w:ind w:right="1519"/>
        <w:spacing w:after="0" w:line="257" w:lineRule="auto"/>
        <w:rPr>
          <w:sz w:val="20"/>
          <w:szCs w:val="20"/>
          <w:color w:val="auto"/>
        </w:rPr>
      </w:pPr>
      <w:r>
        <w:rPr>
          <w:rFonts w:ascii="Arial" w:cs="Arial" w:eastAsia="Arial" w:hAnsi="Arial"/>
          <w:sz w:val="17"/>
          <w:szCs w:val="17"/>
          <w:color w:val="auto"/>
        </w:rPr>
        <w:t>SECURITY NATIONAL FINANCIAL CORPORATION AND SUBSIDIARIES Notes to Condensed Consolidated Financial Statements March 31, 2020 (Unaudited)</w:t>
      </w:r>
    </w:p>
    <w:p>
      <w:pPr>
        <w:spacing w:after="0" w:line="75" w:lineRule="exact"/>
        <w:rPr>
          <w:sz w:val="20"/>
          <w:szCs w:val="20"/>
          <w:color w:val="auto"/>
        </w:rPr>
      </w:pPr>
    </w:p>
    <w:p>
      <w:pPr>
        <w:ind w:left="420" w:hanging="415"/>
        <w:spacing w:after="0"/>
        <w:tabs>
          <w:tab w:leader="none" w:pos="420"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Business Segment Information</w:t>
      </w:r>
      <w:r>
        <w:rPr>
          <w:rFonts w:ascii="Arial" w:cs="Arial" w:eastAsia="Arial" w:hAnsi="Arial"/>
          <w:sz w:val="17"/>
          <w:szCs w:val="17"/>
          <w:color w:val="auto"/>
        </w:rPr>
        <w:t xml:space="preserve"> (Continued)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2"/>
                <w:szCs w:val="12"/>
                <w:color w:val="auto"/>
                <w:w w:val="93"/>
              </w:rPr>
              <w:t>Cemetery/</w:t>
            </w: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18"/>
              <w:spacing w:after="0"/>
              <w:rPr>
                <w:sz w:val="20"/>
                <w:szCs w:val="20"/>
                <w:color w:val="auto"/>
              </w:rPr>
            </w:pPr>
            <w:r>
              <w:rPr>
                <w:rFonts w:ascii="Arial" w:cs="Arial" w:eastAsia="Arial" w:hAnsi="Arial"/>
                <w:sz w:val="12"/>
                <w:szCs w:val="12"/>
                <w:color w:val="auto"/>
              </w:rPr>
              <w:t>Intercompany</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gridSpan w:val="3"/>
          </w:tcPr>
          <w:p>
            <w:pPr>
              <w:ind w:left="160"/>
              <w:spacing w:after="0"/>
              <w:rPr>
                <w:sz w:val="20"/>
                <w:szCs w:val="20"/>
                <w:color w:val="auto"/>
              </w:rPr>
            </w:pPr>
            <w:r>
              <w:rPr>
                <w:rFonts w:ascii="Arial" w:cs="Arial" w:eastAsia="Arial" w:hAnsi="Arial"/>
                <w:sz w:val="12"/>
                <w:szCs w:val="12"/>
                <w:color w:val="auto"/>
              </w:rPr>
              <w:t>Life Insurance</w:t>
            </w:r>
          </w:p>
        </w:tc>
        <w:tc>
          <w:tcPr>
            <w:tcW w:w="1220" w:type="dxa"/>
            <w:vAlign w:val="bottom"/>
            <w:gridSpan w:val="3"/>
          </w:tcPr>
          <w:p>
            <w:pPr>
              <w:jc w:val="center"/>
              <w:ind w:right="220"/>
              <w:spacing w:after="0"/>
              <w:rPr>
                <w:sz w:val="20"/>
                <w:szCs w:val="20"/>
                <w:color w:val="auto"/>
              </w:rPr>
            </w:pPr>
            <w:r>
              <w:rPr>
                <w:rFonts w:ascii="Arial" w:cs="Arial" w:eastAsia="Arial" w:hAnsi="Arial"/>
                <w:sz w:val="12"/>
                <w:szCs w:val="12"/>
                <w:color w:val="auto"/>
              </w:rPr>
              <w:t>Mortuary</w:t>
            </w:r>
          </w:p>
        </w:tc>
        <w:tc>
          <w:tcPr>
            <w:tcW w:w="1260" w:type="dxa"/>
            <w:vAlign w:val="bottom"/>
            <w:gridSpan w:val="3"/>
          </w:tcPr>
          <w:p>
            <w:pPr>
              <w:ind w:left="280"/>
              <w:spacing w:after="0"/>
              <w:rPr>
                <w:sz w:val="20"/>
                <w:szCs w:val="20"/>
                <w:color w:val="auto"/>
              </w:rPr>
            </w:pPr>
            <w:r>
              <w:rPr>
                <w:rFonts w:ascii="Arial" w:cs="Arial" w:eastAsia="Arial" w:hAnsi="Arial"/>
                <w:sz w:val="12"/>
                <w:szCs w:val="12"/>
                <w:color w:val="auto"/>
              </w:rPr>
              <w:t>Mortgage</w:t>
            </w:r>
          </w:p>
        </w:tc>
        <w:tc>
          <w:tcPr>
            <w:tcW w:w="960" w:type="dxa"/>
            <w:vAlign w:val="bottom"/>
          </w:tcPr>
          <w:p>
            <w:pPr>
              <w:jc w:val="right"/>
              <w:ind w:right="38"/>
              <w:spacing w:after="0"/>
              <w:rPr>
                <w:sz w:val="20"/>
                <w:szCs w:val="20"/>
                <w:color w:val="auto"/>
              </w:rPr>
            </w:pPr>
            <w:r>
              <w:rPr>
                <w:rFonts w:ascii="Arial" w:cs="Arial" w:eastAsia="Arial" w:hAnsi="Arial"/>
                <w:sz w:val="12"/>
                <w:szCs w:val="12"/>
                <w:color w:val="auto"/>
              </w:rPr>
              <w:t>Eliminations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218"/>
              <w:spacing w:after="0"/>
              <w:rPr>
                <w:sz w:val="20"/>
                <w:szCs w:val="20"/>
                <w:color w:val="auto"/>
              </w:rPr>
            </w:pPr>
            <w:r>
              <w:rPr>
                <w:rFonts w:ascii="Arial" w:cs="Arial" w:eastAsia="Arial" w:hAnsi="Arial"/>
                <w:sz w:val="12"/>
                <w:szCs w:val="12"/>
                <w:color w:val="auto"/>
              </w:rPr>
              <w:t>Consolidated</w:t>
            </w:r>
          </w:p>
        </w:tc>
      </w:tr>
      <w:tr>
        <w:trPr>
          <w:trHeight w:val="214"/>
        </w:trPr>
        <w:tc>
          <w:tcPr>
            <w:tcW w:w="172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2"/>
                <w:szCs w:val="12"/>
                <w:color w:val="auto"/>
              </w:rPr>
              <w:t>For the Three Months Ended</w:t>
            </w:r>
          </w:p>
        </w:tc>
        <w:tc>
          <w:tcPr>
            <w:tcW w:w="4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r>
      <w:tr>
        <w:trPr>
          <w:trHeight w:val="257"/>
        </w:trPr>
        <w:tc>
          <w:tcPr>
            <w:tcW w:w="1720" w:type="dxa"/>
            <w:vAlign w:val="bottom"/>
            <w:gridSpan w:val="3"/>
          </w:tcPr>
          <w:p>
            <w:pPr>
              <w:ind w:left="20"/>
              <w:spacing w:after="0"/>
              <w:rPr>
                <w:sz w:val="20"/>
                <w:szCs w:val="20"/>
                <w:color w:val="auto"/>
              </w:rPr>
            </w:pPr>
            <w:r>
              <w:rPr>
                <w:rFonts w:ascii="Arial" w:cs="Arial" w:eastAsia="Arial" w:hAnsi="Arial"/>
                <w:sz w:val="12"/>
                <w:szCs w:val="12"/>
                <w:color w:val="auto"/>
              </w:rPr>
              <w:t>March 31, 2020</w:t>
            </w:r>
          </w:p>
        </w:tc>
        <w:tc>
          <w:tcPr>
            <w:tcW w:w="4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51"/>
        </w:trPr>
        <w:tc>
          <w:tcPr>
            <w:tcW w:w="17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Revenues from external</w:t>
            </w:r>
          </w:p>
        </w:tc>
        <w:tc>
          <w:tcPr>
            <w:tcW w:w="4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156"/>
        </w:trPr>
        <w:tc>
          <w:tcPr>
            <w:tcW w:w="17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customers</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33,205,762</w:t>
            </w: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4,013,696</w:t>
            </w: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42,389,491</w:t>
            </w: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378"/>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79,608,949</w:t>
            </w:r>
          </w:p>
        </w:tc>
      </w:tr>
      <w:tr>
        <w:trPr>
          <w:trHeight w:val="234"/>
        </w:trPr>
        <w:tc>
          <w:tcPr>
            <w:tcW w:w="1720" w:type="dxa"/>
            <w:vAlign w:val="bottom"/>
            <w:gridSpan w:val="3"/>
          </w:tcPr>
          <w:p>
            <w:pPr>
              <w:ind w:left="20"/>
              <w:spacing w:after="0"/>
              <w:rPr>
                <w:sz w:val="20"/>
                <w:szCs w:val="20"/>
                <w:color w:val="auto"/>
              </w:rPr>
            </w:pPr>
            <w:r>
              <w:rPr>
                <w:rFonts w:ascii="Arial" w:cs="Arial" w:eastAsia="Arial" w:hAnsi="Arial"/>
                <w:sz w:val="12"/>
                <w:szCs w:val="12"/>
                <w:color w:val="auto"/>
              </w:rPr>
              <w:t>Intersegment revenues</w:t>
            </w:r>
          </w:p>
        </w:tc>
        <w:tc>
          <w:tcPr>
            <w:tcW w:w="4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908,168</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103,514</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200,332</w:t>
            </w:r>
          </w:p>
        </w:tc>
        <w:tc>
          <w:tcPr>
            <w:tcW w:w="2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2"/>
                <w:szCs w:val="12"/>
                <w:color w:val="auto"/>
              </w:rPr>
              <w:t>(1,212,014)</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0"/>
        </w:trPr>
        <w:tc>
          <w:tcPr>
            <w:tcW w:w="17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Segment profit before</w:t>
            </w:r>
          </w:p>
        </w:tc>
        <w:tc>
          <w:tcPr>
            <w:tcW w:w="4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156"/>
        </w:trPr>
        <w:tc>
          <w:tcPr>
            <w:tcW w:w="17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income taxes</w:t>
            </w:r>
          </w:p>
        </w:tc>
        <w:tc>
          <w:tcPr>
            <w:tcW w:w="4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(3,069,167)</w:t>
            </w: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104,801</w:t>
            </w: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4,438,600</w:t>
            </w: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1,474,234</w:t>
            </w:r>
          </w:p>
        </w:tc>
      </w:tr>
      <w:tr>
        <w:trPr>
          <w:trHeight w:val="152"/>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34"/>
        </w:trPr>
        <w:tc>
          <w:tcPr>
            <w:tcW w:w="17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Identifiable Assets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1,124,244,140</w:t>
            </w: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79,695,043</w:t>
            </w: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278,195,425</w:t>
            </w: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(109,493,359)</w:t>
            </w: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1"/>
              </w:rPr>
              <w:t>1,372,641,249</w:t>
            </w:r>
          </w:p>
        </w:tc>
      </w:tr>
      <w:tr>
        <w:trPr>
          <w:trHeight w:val="234"/>
        </w:trPr>
        <w:tc>
          <w:tcPr>
            <w:tcW w:w="1720" w:type="dxa"/>
            <w:vAlign w:val="bottom"/>
            <w:tcBorders>
              <w:bottom w:val="single" w:sz="8" w:color="CCEEFF"/>
            </w:tcBorders>
            <w:gridSpan w:val="3"/>
          </w:tcPr>
          <w:p>
            <w:pPr>
              <w:ind w:left="20"/>
              <w:spacing w:after="0"/>
              <w:rPr>
                <w:sz w:val="20"/>
                <w:szCs w:val="20"/>
                <w:color w:val="auto"/>
              </w:rPr>
            </w:pPr>
            <w:r>
              <w:rPr>
                <w:rFonts w:ascii="Arial" w:cs="Arial" w:eastAsia="Arial" w:hAnsi="Arial"/>
                <w:sz w:val="12"/>
                <w:szCs w:val="12"/>
                <w:color w:val="auto"/>
              </w:rPr>
              <w:t>Goodwill</w:t>
            </w:r>
          </w:p>
        </w:tc>
        <w:tc>
          <w:tcPr>
            <w:tcW w:w="4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2,765,570</w:t>
            </w:r>
          </w:p>
        </w:tc>
        <w:tc>
          <w:tcPr>
            <w:tcW w:w="2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754,018</w:t>
            </w:r>
          </w:p>
        </w:tc>
        <w:tc>
          <w:tcPr>
            <w:tcW w:w="2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3,519,588</w:t>
            </w:r>
          </w:p>
        </w:tc>
      </w:tr>
      <w:tr>
        <w:trPr>
          <w:trHeight w:val="214"/>
        </w:trPr>
        <w:tc>
          <w:tcPr>
            <w:tcW w:w="17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2"/>
                <w:szCs w:val="12"/>
                <w:color w:val="auto"/>
              </w:rPr>
              <w:t>Total Assets</w:t>
            </w: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1,127,009,710</w:t>
            </w:r>
          </w:p>
        </w:tc>
        <w:tc>
          <w:tcPr>
            <w:tcW w:w="2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80,449,061</w:t>
            </w:r>
          </w:p>
        </w:tc>
        <w:tc>
          <w:tcPr>
            <w:tcW w:w="2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2"/>
              </w:rPr>
              <w:t>278,195,425</w:t>
            </w: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(109,493,359)</w:t>
            </w:r>
          </w:p>
        </w:tc>
        <w:tc>
          <w:tcPr>
            <w:tcW w:w="1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1"/>
              </w:rPr>
              <w:t>1,376,160,837</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234"/>
        </w:trPr>
        <w:tc>
          <w:tcPr>
            <w:tcW w:w="17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For the Three Months Ended</w:t>
            </w:r>
          </w:p>
        </w:tc>
        <w:tc>
          <w:tcPr>
            <w:tcW w:w="4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22"/>
        </w:trPr>
        <w:tc>
          <w:tcPr>
            <w:tcW w:w="1720" w:type="dxa"/>
            <w:vAlign w:val="bottom"/>
            <w:gridSpan w:val="3"/>
          </w:tcPr>
          <w:p>
            <w:pPr>
              <w:ind w:left="20"/>
              <w:spacing w:after="0"/>
              <w:rPr>
                <w:sz w:val="20"/>
                <w:szCs w:val="20"/>
                <w:color w:val="auto"/>
              </w:rPr>
            </w:pPr>
            <w:r>
              <w:rPr>
                <w:rFonts w:ascii="Arial" w:cs="Arial" w:eastAsia="Arial" w:hAnsi="Arial"/>
                <w:sz w:val="12"/>
                <w:szCs w:val="12"/>
                <w:color w:val="auto"/>
              </w:rPr>
              <w:t>March 31, 2019</w:t>
            </w: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75"/>
        </w:trPr>
        <w:tc>
          <w:tcPr>
            <w:tcW w:w="17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Revenues from external</w:t>
            </w:r>
          </w:p>
        </w:tc>
        <w:tc>
          <w:tcPr>
            <w:tcW w:w="4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56"/>
        </w:trPr>
        <w:tc>
          <w:tcPr>
            <w:tcW w:w="17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customers</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30,505,368</w:t>
            </w: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4,359,285</w:t>
            </w: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26,629,182</w:t>
            </w: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378"/>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61,493,835</w:t>
            </w:r>
          </w:p>
        </w:tc>
      </w:tr>
      <w:tr>
        <w:trPr>
          <w:trHeight w:val="234"/>
        </w:trPr>
        <w:tc>
          <w:tcPr>
            <w:tcW w:w="1720" w:type="dxa"/>
            <w:vAlign w:val="bottom"/>
            <w:gridSpan w:val="3"/>
          </w:tcPr>
          <w:p>
            <w:pPr>
              <w:ind w:left="20"/>
              <w:spacing w:after="0"/>
              <w:rPr>
                <w:sz w:val="20"/>
                <w:szCs w:val="20"/>
                <w:color w:val="auto"/>
              </w:rPr>
            </w:pPr>
            <w:r>
              <w:rPr>
                <w:rFonts w:ascii="Arial" w:cs="Arial" w:eastAsia="Arial" w:hAnsi="Arial"/>
                <w:sz w:val="12"/>
                <w:szCs w:val="12"/>
                <w:color w:val="auto"/>
              </w:rPr>
              <w:t>Intersegment revenues</w:t>
            </w:r>
          </w:p>
        </w:tc>
        <w:tc>
          <w:tcPr>
            <w:tcW w:w="4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895,372</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116,651</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126,358</w:t>
            </w:r>
          </w:p>
        </w:tc>
        <w:tc>
          <w:tcPr>
            <w:tcW w:w="2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2"/>
                <w:szCs w:val="12"/>
                <w:color w:val="auto"/>
              </w:rPr>
              <w:t>(1,138,381)</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71"/>
        </w:trPr>
        <w:tc>
          <w:tcPr>
            <w:tcW w:w="17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Segment profit before</w:t>
            </w:r>
          </w:p>
        </w:tc>
        <w:tc>
          <w:tcPr>
            <w:tcW w:w="4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56"/>
        </w:trPr>
        <w:tc>
          <w:tcPr>
            <w:tcW w:w="17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income taxes</w:t>
            </w:r>
          </w:p>
        </w:tc>
        <w:tc>
          <w:tcPr>
            <w:tcW w:w="4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2,085,341</w:t>
            </w: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1,184,865</w:t>
            </w: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(838,047)</w:t>
            </w: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2,432,159</w:t>
            </w:r>
          </w:p>
        </w:tc>
      </w:tr>
      <w:tr>
        <w:trPr>
          <w:trHeight w:val="152"/>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34"/>
        </w:trPr>
        <w:tc>
          <w:tcPr>
            <w:tcW w:w="17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Identifiable Assets</w:t>
            </w:r>
          </w:p>
        </w:tc>
        <w:tc>
          <w:tcPr>
            <w:tcW w:w="4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935,021,695</w:t>
            </w: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87,087,362</w:t>
            </w: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155,695,585</w:t>
            </w: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(125,548,998)</w:t>
            </w: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1"/>
              </w:rPr>
              <w:t>1,052,255,644</w:t>
            </w:r>
          </w:p>
        </w:tc>
      </w:tr>
      <w:tr>
        <w:trPr>
          <w:trHeight w:val="234"/>
        </w:trPr>
        <w:tc>
          <w:tcPr>
            <w:tcW w:w="1720" w:type="dxa"/>
            <w:vAlign w:val="bottom"/>
            <w:tcBorders>
              <w:bottom w:val="single" w:sz="8" w:color="CCEEFF"/>
            </w:tcBorders>
            <w:gridSpan w:val="3"/>
          </w:tcPr>
          <w:p>
            <w:pPr>
              <w:ind w:left="20"/>
              <w:spacing w:after="0"/>
              <w:rPr>
                <w:sz w:val="20"/>
                <w:szCs w:val="20"/>
                <w:color w:val="auto"/>
              </w:rPr>
            </w:pPr>
            <w:r>
              <w:rPr>
                <w:rFonts w:ascii="Arial" w:cs="Arial" w:eastAsia="Arial" w:hAnsi="Arial"/>
                <w:sz w:val="12"/>
                <w:szCs w:val="12"/>
                <w:color w:val="auto"/>
              </w:rPr>
              <w:t>Goodwill</w:t>
            </w:r>
          </w:p>
        </w:tc>
        <w:tc>
          <w:tcPr>
            <w:tcW w:w="4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2,765,570</w:t>
            </w:r>
          </w:p>
        </w:tc>
        <w:tc>
          <w:tcPr>
            <w:tcW w:w="2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750,745</w:t>
            </w:r>
          </w:p>
        </w:tc>
        <w:tc>
          <w:tcPr>
            <w:tcW w:w="2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3,516,315</w:t>
            </w:r>
          </w:p>
        </w:tc>
      </w:tr>
      <w:tr>
        <w:trPr>
          <w:trHeight w:val="214"/>
        </w:trPr>
        <w:tc>
          <w:tcPr>
            <w:tcW w:w="17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2"/>
                <w:szCs w:val="12"/>
                <w:color w:val="auto"/>
              </w:rPr>
              <w:t>Total Assets</w:t>
            </w:r>
          </w:p>
        </w:tc>
        <w:tc>
          <w:tcPr>
            <w:tcW w:w="4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2"/>
              </w:rPr>
              <w:t>937,787,265</w:t>
            </w:r>
          </w:p>
        </w:tc>
        <w:tc>
          <w:tcPr>
            <w:tcW w:w="2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87,838,107</w:t>
            </w:r>
          </w:p>
        </w:tc>
        <w:tc>
          <w:tcPr>
            <w:tcW w:w="2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2"/>
              </w:rPr>
              <w:t>155,695,585</w:t>
            </w: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(125,548,998)</w:t>
            </w:r>
          </w:p>
        </w:tc>
        <w:tc>
          <w:tcPr>
            <w:tcW w:w="1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1"/>
              </w:rPr>
              <w:t>1,055,771,959</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93345</wp:posOffset>
            </wp:positionV>
            <wp:extent cx="498983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989830" cy="29845"/>
                    </a:xfrm>
                    <a:prstGeom prst="rect">
                      <a:avLst/>
                    </a:prstGeom>
                    <a:noFill/>
                  </pic:spPr>
                </pic:pic>
              </a:graphicData>
            </a:graphic>
          </wp:anchor>
        </w:drawing>
      </w:r>
    </w:p>
    <w:p>
      <w:pPr>
        <w:sectPr>
          <w:pgSz w:w="11900" w:h="16838" w:orient="portrait"/>
          <w:cols w:equalWidth="0" w:num="1">
            <w:col w:w="9379"/>
          </w:cols>
          <w:pgMar w:left="1080" w:top="124" w:right="1440" w:bottom="1440" w:gutter="0" w:footer="0" w:header="0"/>
        </w:sectPr>
      </w:pPr>
    </w:p>
    <w:bookmarkStart w:id="30" w:name="page31"/>
    <w:bookmarkEnd w:id="30"/>
    <w:p>
      <w:pPr>
        <w:jc w:val="center"/>
        <w:ind w:right="1519"/>
        <w:spacing w:after="0" w:line="257" w:lineRule="auto"/>
        <w:rPr>
          <w:sz w:val="20"/>
          <w:szCs w:val="20"/>
          <w:color w:val="auto"/>
        </w:rPr>
      </w:pPr>
      <w:r>
        <w:rPr>
          <w:rFonts w:ascii="Arial" w:cs="Arial" w:eastAsia="Arial" w:hAnsi="Arial"/>
          <w:sz w:val="17"/>
          <w:szCs w:val="17"/>
          <w:color w:val="auto"/>
        </w:rPr>
        <w:t>SECURITY NATIONAL FINANCIAL CORPORATION AND SUBSIDIARIES Notes to Condensed Consolidated Financial Statements March 31, 2020 (Unaudited)</w:t>
      </w:r>
    </w:p>
    <w:p>
      <w:pPr>
        <w:spacing w:after="0" w:line="192" w:lineRule="exact"/>
        <w:rPr>
          <w:sz w:val="20"/>
          <w:szCs w:val="20"/>
          <w:color w:val="auto"/>
        </w:rPr>
      </w:pPr>
    </w:p>
    <w:p>
      <w:pPr>
        <w:ind w:left="420" w:hanging="415"/>
        <w:spacing w:after="0"/>
        <w:tabs>
          <w:tab w:leader="none" w:pos="420"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Fair Value of Financial Instruments</w:t>
      </w:r>
    </w:p>
    <w:p>
      <w:pPr>
        <w:spacing w:after="0" w:line="202" w:lineRule="exact"/>
        <w:rPr>
          <w:sz w:val="20"/>
          <w:szCs w:val="20"/>
          <w:color w:val="auto"/>
        </w:rPr>
      </w:pPr>
    </w:p>
    <w:p>
      <w:pPr>
        <w:jc w:val="both"/>
        <w:ind w:right="1519"/>
        <w:spacing w:after="0" w:line="249" w:lineRule="auto"/>
        <w:rPr>
          <w:sz w:val="20"/>
          <w:szCs w:val="20"/>
          <w:color w:val="auto"/>
        </w:rPr>
      </w:pPr>
      <w:r>
        <w:rPr>
          <w:rFonts w:ascii="Arial" w:cs="Arial" w:eastAsia="Arial" w:hAnsi="Arial"/>
          <w:sz w:val="17"/>
          <w:szCs w:val="17"/>
          <w:color w:val="auto"/>
        </w:rPr>
        <w:t>GAAP defines fair value as the exchange price that would be received for an asset or paid to transfer a liability (an exit price) in the principal or most advantageous market for the asset or liability in an orderly transaction between market participants. GAAP also specifies a fair value hierarchy based upon the observability of inputs used in valuation techniques. Observable inputs (highest level) reflect market data obtained from independent sources, while unobservable inputs (lowest level) reflect internally developed market assumptions. Fair value measurements are classified under the following hierarchy:</w:t>
      </w:r>
    </w:p>
    <w:p>
      <w:pPr>
        <w:spacing w:after="0" w:line="175" w:lineRule="exact"/>
        <w:rPr>
          <w:sz w:val="20"/>
          <w:szCs w:val="20"/>
          <w:color w:val="auto"/>
        </w:rPr>
      </w:pPr>
    </w:p>
    <w:p>
      <w:pPr>
        <w:jc w:val="both"/>
        <w:ind w:right="1519"/>
        <w:spacing w:after="0" w:line="270" w:lineRule="auto"/>
        <w:rPr>
          <w:sz w:val="20"/>
          <w:szCs w:val="20"/>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Financial assets and financial liabilities whose values are based on unadjusted quoted prices for identical</w:t>
      </w:r>
      <w:r>
        <w:rPr>
          <w:rFonts w:ascii="Arial" w:cs="Arial" w:eastAsia="Arial" w:hAnsi="Arial"/>
          <w:sz w:val="17"/>
          <w:szCs w:val="17"/>
          <w:i w:val="1"/>
          <w:iCs w:val="1"/>
          <w:color w:val="auto"/>
        </w:rPr>
        <w:t xml:space="preserve"> </w:t>
      </w:r>
      <w:r>
        <w:rPr>
          <w:rFonts w:ascii="Arial" w:cs="Arial" w:eastAsia="Arial" w:hAnsi="Arial"/>
          <w:sz w:val="17"/>
          <w:szCs w:val="17"/>
          <w:color w:val="auto"/>
        </w:rPr>
        <w:t>assets or liabilities in an active market that the Company can access.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Financial assets and financial liabilities whose values are based on the following:</w:t>
      </w:r>
    </w:p>
    <w:p>
      <w:pPr>
        <w:spacing w:after="0" w:line="17" w:lineRule="exact"/>
        <w:rPr>
          <w:sz w:val="20"/>
          <w:szCs w:val="20"/>
          <w:color w:val="auto"/>
        </w:rPr>
      </w:pPr>
    </w:p>
    <w:p>
      <w:pPr>
        <w:ind w:left="840" w:hanging="180"/>
        <w:spacing w:after="0"/>
        <w:tabs>
          <w:tab w:leader="none" w:pos="8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Quoted prices for similar assets or liabilities in active markets;</w:t>
      </w:r>
    </w:p>
    <w:p>
      <w:pPr>
        <w:spacing w:after="0" w:line="3" w:lineRule="exact"/>
        <w:rPr>
          <w:rFonts w:ascii="Arial" w:cs="Arial" w:eastAsia="Arial" w:hAnsi="Arial"/>
          <w:sz w:val="17"/>
          <w:szCs w:val="17"/>
          <w:color w:val="auto"/>
        </w:rPr>
      </w:pPr>
    </w:p>
    <w:p>
      <w:pPr>
        <w:ind w:left="840" w:hanging="180"/>
        <w:spacing w:after="0"/>
        <w:tabs>
          <w:tab w:leader="none" w:pos="8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Quoted prices for identical or similar assets or liabilities in non-active markets; or</w:t>
      </w:r>
    </w:p>
    <w:p>
      <w:pPr>
        <w:spacing w:after="0" w:line="3" w:lineRule="exact"/>
        <w:rPr>
          <w:rFonts w:ascii="Arial" w:cs="Arial" w:eastAsia="Arial" w:hAnsi="Arial"/>
          <w:sz w:val="17"/>
          <w:szCs w:val="17"/>
          <w:color w:val="auto"/>
        </w:rPr>
      </w:pPr>
    </w:p>
    <w:p>
      <w:pPr>
        <w:ind w:left="840" w:right="1519" w:hanging="180"/>
        <w:spacing w:after="0" w:line="252" w:lineRule="auto"/>
        <w:tabs>
          <w:tab w:leader="none" w:pos="8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Valuation models whose inputs are observable, directly or indirectly, for substantially the full term of the asset or liability.</w:t>
      </w:r>
    </w:p>
    <w:p>
      <w:pPr>
        <w:spacing w:after="0" w:line="172" w:lineRule="exact"/>
        <w:rPr>
          <w:sz w:val="20"/>
          <w:szCs w:val="20"/>
          <w:color w:val="auto"/>
        </w:rPr>
      </w:pPr>
    </w:p>
    <w:p>
      <w:pPr>
        <w:jc w:val="both"/>
        <w:ind w:right="1519"/>
        <w:spacing w:after="0" w:line="252" w:lineRule="auto"/>
        <w:rPr>
          <w:sz w:val="20"/>
          <w:szCs w:val="20"/>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Financial assets and financial liabilities whose values are based on prices or valuation techniques that</w:t>
      </w:r>
      <w:r>
        <w:rPr>
          <w:rFonts w:ascii="Arial" w:cs="Arial" w:eastAsia="Arial" w:hAnsi="Arial"/>
          <w:sz w:val="17"/>
          <w:szCs w:val="17"/>
          <w:i w:val="1"/>
          <w:iCs w:val="1"/>
          <w:color w:val="auto"/>
        </w:rPr>
        <w:t xml:space="preserve"> </w:t>
      </w:r>
      <w:r>
        <w:rPr>
          <w:rFonts w:ascii="Arial" w:cs="Arial" w:eastAsia="Arial" w:hAnsi="Arial"/>
          <w:sz w:val="17"/>
          <w:szCs w:val="17"/>
          <w:color w:val="auto"/>
        </w:rPr>
        <w:t>require inputs that are both unobservable and significant to the overall fair value measurement. These inputs may reflect the Company’s estimates of the assumptions that market participants would use in valuing the financial assets and financial liabilities.</w:t>
      </w:r>
    </w:p>
    <w:p>
      <w:pPr>
        <w:spacing w:after="0" w:line="173" w:lineRule="exact"/>
        <w:rPr>
          <w:sz w:val="20"/>
          <w:szCs w:val="20"/>
          <w:color w:val="auto"/>
        </w:rPr>
      </w:pPr>
    </w:p>
    <w:p>
      <w:pPr>
        <w:jc w:val="both"/>
        <w:ind w:right="1519"/>
        <w:spacing w:after="0" w:line="270" w:lineRule="auto"/>
        <w:rPr>
          <w:sz w:val="20"/>
          <w:szCs w:val="20"/>
          <w:color w:val="auto"/>
        </w:rPr>
      </w:pPr>
      <w:r>
        <w:rPr>
          <w:rFonts w:ascii="Arial" w:cs="Arial" w:eastAsia="Arial" w:hAnsi="Arial"/>
          <w:sz w:val="17"/>
          <w:szCs w:val="17"/>
          <w:color w:val="auto"/>
        </w:rPr>
        <w:t>The Company utilizes a combination of third-party valuation service providers, brokers, and internal valuation models to determine fair value.</w:t>
      </w:r>
    </w:p>
    <w:p>
      <w:pPr>
        <w:spacing w:after="0" w:line="157" w:lineRule="exact"/>
        <w:rPr>
          <w:sz w:val="20"/>
          <w:szCs w:val="20"/>
          <w:color w:val="auto"/>
        </w:rPr>
      </w:pPr>
    </w:p>
    <w:p>
      <w:pPr>
        <w:jc w:val="both"/>
        <w:ind w:right="1519"/>
        <w:spacing w:after="0" w:line="270" w:lineRule="auto"/>
        <w:rPr>
          <w:sz w:val="20"/>
          <w:szCs w:val="20"/>
          <w:color w:val="auto"/>
        </w:rPr>
      </w:pPr>
      <w:r>
        <w:rPr>
          <w:rFonts w:ascii="Arial" w:cs="Arial" w:eastAsia="Arial" w:hAnsi="Arial"/>
          <w:sz w:val="17"/>
          <w:szCs w:val="17"/>
          <w:color w:val="auto"/>
        </w:rPr>
        <w:t>The following methods and assumptions were used by the Company in estimating the fair value disclosures related to significant financial instruments.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The items shown under Level 1 and Level 2 are valued as follows:</w:t>
      </w:r>
    </w:p>
    <w:p>
      <w:pPr>
        <w:spacing w:after="0" w:line="202" w:lineRule="exact"/>
        <w:rPr>
          <w:sz w:val="20"/>
          <w:szCs w:val="20"/>
          <w:color w:val="auto"/>
        </w:rPr>
      </w:pPr>
    </w:p>
    <w:p>
      <w:pPr>
        <w:jc w:val="both"/>
        <w:ind w:right="1519"/>
        <w:spacing w:after="0" w:line="250" w:lineRule="auto"/>
        <w:rPr>
          <w:sz w:val="20"/>
          <w:szCs w:val="20"/>
          <w:color w:val="auto"/>
        </w:rPr>
      </w:pPr>
      <w:r>
        <w:rPr>
          <w:rFonts w:ascii="Arial" w:cs="Arial" w:eastAsia="Arial" w:hAnsi="Arial"/>
          <w:sz w:val="17"/>
          <w:szCs w:val="17"/>
          <w:i w:val="1"/>
          <w:iCs w:val="1"/>
          <w:u w:val="single" w:color="auto"/>
          <w:color w:val="auto"/>
        </w:rPr>
        <w:t>Fixed Maturity Securities Available for Sale:</w:t>
      </w:r>
      <w:r>
        <w:rPr>
          <w:rFonts w:ascii="Arial" w:cs="Arial" w:eastAsia="Arial" w:hAnsi="Arial"/>
          <w:sz w:val="17"/>
          <w:szCs w:val="17"/>
          <w:i w:val="1"/>
          <w:iCs w:val="1"/>
          <w:color w:val="auto"/>
        </w:rPr>
        <w:t xml:space="preserve"> </w:t>
      </w:r>
      <w:r>
        <w:rPr>
          <w:rFonts w:ascii="Arial" w:cs="Arial" w:eastAsia="Arial" w:hAnsi="Arial"/>
          <w:sz w:val="17"/>
          <w:szCs w:val="17"/>
          <w:color w:val="auto"/>
        </w:rPr>
        <w:t>The fair values of fixed maturity securities are based on quoted</w:t>
      </w:r>
      <w:r>
        <w:rPr>
          <w:rFonts w:ascii="Arial" w:cs="Arial" w:eastAsia="Arial" w:hAnsi="Arial"/>
          <w:sz w:val="17"/>
          <w:szCs w:val="17"/>
          <w:i w:val="1"/>
          <w:iCs w:val="1"/>
          <w:color w:val="auto"/>
        </w:rPr>
        <w:t xml:space="preserve"> </w:t>
      </w:r>
      <w:r>
        <w:rPr>
          <w:rFonts w:ascii="Arial" w:cs="Arial" w:eastAsia="Arial" w:hAnsi="Arial"/>
          <w:sz w:val="17"/>
          <w:szCs w:val="17"/>
          <w:color w:val="auto"/>
        </w:rPr>
        <w:t>market prices, when available. For fixed maturity securities not actively traded, fair values are estimated using values obtained from independent pricing services, or in the case of private placements (considered Level 3 investments), are estimated by discounting expected future cash flows using a current market value applicable to the coupon rate, credit and maturity of the investments.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Equity Securities</w:t>
      </w:r>
      <w:r>
        <w:rPr>
          <w:rFonts w:ascii="Arial" w:cs="Arial" w:eastAsia="Arial" w:hAnsi="Arial"/>
          <w:sz w:val="17"/>
          <w:szCs w:val="17"/>
          <w:i w:val="1"/>
          <w:iCs w:val="1"/>
          <w:color w:val="auto"/>
        </w:rPr>
        <w:t xml:space="preserve">: </w:t>
      </w:r>
      <w:r>
        <w:rPr>
          <w:rFonts w:ascii="Arial" w:cs="Arial" w:eastAsia="Arial" w:hAnsi="Arial"/>
          <w:sz w:val="17"/>
          <w:szCs w:val="17"/>
          <w:color w:val="auto"/>
        </w:rPr>
        <w:t>The fair values for equity securities are based on quoted market prices.</w:t>
      </w:r>
    </w:p>
    <w:p>
      <w:pPr>
        <w:spacing w:after="0" w:line="202" w:lineRule="exact"/>
        <w:rPr>
          <w:sz w:val="20"/>
          <w:szCs w:val="20"/>
          <w:color w:val="auto"/>
        </w:rPr>
      </w:pPr>
    </w:p>
    <w:p>
      <w:pPr>
        <w:jc w:val="both"/>
        <w:ind w:right="1519"/>
        <w:spacing w:after="0" w:line="257" w:lineRule="auto"/>
        <w:rPr>
          <w:sz w:val="20"/>
          <w:szCs w:val="20"/>
          <w:color w:val="auto"/>
        </w:rPr>
      </w:pPr>
      <w:r>
        <w:rPr>
          <w:rFonts w:ascii="Arial" w:cs="Arial" w:eastAsia="Arial" w:hAnsi="Arial"/>
          <w:sz w:val="17"/>
          <w:szCs w:val="17"/>
          <w:i w:val="1"/>
          <w:iCs w:val="1"/>
          <w:u w:val="single" w:color="auto"/>
          <w:color w:val="auto"/>
        </w:rPr>
        <w:t>Loans Held for Sale</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elected the fair value option for loans held for sale. The fair value is based on</w:t>
      </w:r>
      <w:r>
        <w:rPr>
          <w:rFonts w:ascii="Arial" w:cs="Arial" w:eastAsia="Arial" w:hAnsi="Arial"/>
          <w:sz w:val="17"/>
          <w:szCs w:val="17"/>
          <w:i w:val="1"/>
          <w:iCs w:val="1"/>
          <w:color w:val="auto"/>
        </w:rPr>
        <w:t xml:space="preserve"> </w:t>
      </w:r>
      <w:r>
        <w:rPr>
          <w:rFonts w:ascii="Arial" w:cs="Arial" w:eastAsia="Arial" w:hAnsi="Arial"/>
          <w:sz w:val="17"/>
          <w:szCs w:val="17"/>
          <w:color w:val="auto"/>
        </w:rPr>
        <w:t>quoted market prices, when available. When a quoted market price is not readily available, the Company uses the market price from its last sale of similar assets.</w:t>
      </w:r>
    </w:p>
    <w:p>
      <w:pPr>
        <w:spacing w:after="0" w:line="167" w:lineRule="exact"/>
        <w:rPr>
          <w:sz w:val="20"/>
          <w:szCs w:val="20"/>
          <w:color w:val="auto"/>
        </w:rPr>
      </w:pPr>
    </w:p>
    <w:p>
      <w:pPr>
        <w:jc w:val="both"/>
        <w:ind w:right="1519"/>
        <w:spacing w:after="0" w:line="250" w:lineRule="auto"/>
        <w:rPr>
          <w:sz w:val="20"/>
          <w:szCs w:val="20"/>
          <w:color w:val="auto"/>
        </w:rPr>
      </w:pPr>
      <w:r>
        <w:rPr>
          <w:rFonts w:ascii="Arial" w:cs="Arial" w:eastAsia="Arial" w:hAnsi="Arial"/>
          <w:sz w:val="17"/>
          <w:szCs w:val="17"/>
          <w:i w:val="1"/>
          <w:iCs w:val="1"/>
          <w:u w:val="single" w:color="auto"/>
          <w:color w:val="auto"/>
        </w:rPr>
        <w:t>Restricted Assets</w:t>
      </w:r>
      <w:r>
        <w:rPr>
          <w:rFonts w:ascii="Arial" w:cs="Arial" w:eastAsia="Arial" w:hAnsi="Arial"/>
          <w:sz w:val="17"/>
          <w:szCs w:val="17"/>
          <w:i w:val="1"/>
          <w:iCs w:val="1"/>
          <w:color w:val="auto"/>
        </w:rPr>
        <w:t xml:space="preserve">: </w:t>
      </w:r>
      <w:r>
        <w:rPr>
          <w:rFonts w:ascii="Arial" w:cs="Arial" w:eastAsia="Arial" w:hAnsi="Arial"/>
          <w:sz w:val="17"/>
          <w:szCs w:val="17"/>
          <w:color w:val="auto"/>
        </w:rPr>
        <w:t>A portion of these assets include mutual funds and equity securities and fixed maturity</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that have quoted market prices that are used to determine fair value. Also included are cash and cash equivalents and participations in mortgage loans. The carrying amounts reported in the accompanying condensed consolidated balance sheets for these financial instruments approximate their fair values due to their short-term nature.</w:t>
      </w:r>
    </w:p>
    <w:p>
      <w:pPr>
        <w:spacing w:after="0" w:line="81" w:lineRule="exact"/>
        <w:rPr>
          <w:sz w:val="20"/>
          <w:szCs w:val="20"/>
          <w:color w:val="auto"/>
        </w:rPr>
      </w:pPr>
    </w:p>
    <w:p>
      <w:pPr>
        <w:jc w:val="both"/>
        <w:ind w:right="1519"/>
        <w:spacing w:after="0" w:line="273" w:lineRule="auto"/>
        <w:rPr>
          <w:sz w:val="20"/>
          <w:szCs w:val="20"/>
          <w:color w:val="auto"/>
        </w:rPr>
      </w:pPr>
      <w:r>
        <w:rPr>
          <w:rFonts w:ascii="Arial" w:cs="Arial" w:eastAsia="Arial" w:hAnsi="Arial"/>
          <w:sz w:val="16"/>
          <w:szCs w:val="16"/>
          <w:i w:val="1"/>
          <w:iCs w:val="1"/>
          <w:u w:val="single" w:color="auto"/>
          <w:color w:val="auto"/>
        </w:rPr>
        <w:t>Cemetery Endowment Care Trust Investments</w:t>
      </w:r>
      <w:r>
        <w:rPr>
          <w:rFonts w:ascii="Arial" w:cs="Arial" w:eastAsia="Arial" w:hAnsi="Arial"/>
          <w:sz w:val="16"/>
          <w:szCs w:val="16"/>
          <w:i w:val="1"/>
          <w:iCs w:val="1"/>
          <w:color w:val="auto"/>
        </w:rPr>
        <w:t xml:space="preserve">: </w:t>
      </w:r>
      <w:r>
        <w:rPr>
          <w:rFonts w:ascii="Arial" w:cs="Arial" w:eastAsia="Arial" w:hAnsi="Arial"/>
          <w:sz w:val="16"/>
          <w:szCs w:val="16"/>
          <w:color w:val="auto"/>
        </w:rPr>
        <w:t>A portion of these assets include equity securities and fixed</w:t>
      </w:r>
      <w:r>
        <w:rPr>
          <w:rFonts w:ascii="Arial" w:cs="Arial" w:eastAsia="Arial" w:hAnsi="Arial"/>
          <w:sz w:val="16"/>
          <w:szCs w:val="16"/>
          <w:i w:val="1"/>
          <w:iCs w:val="1"/>
          <w:color w:val="auto"/>
        </w:rPr>
        <w:t xml:space="preserve"> </w:t>
      </w:r>
      <w:r>
        <w:rPr>
          <w:rFonts w:ascii="Arial" w:cs="Arial" w:eastAsia="Arial" w:hAnsi="Arial"/>
          <w:sz w:val="16"/>
          <w:szCs w:val="16"/>
          <w:color w:val="auto"/>
        </w:rPr>
        <w:t>maturity securities that have quoted market prices that are used to determine fair value. Also included are cash and cash equivalents. The carrying amounts reported in the accompanying condensed consolidated balance sheets for these financial instruments approximate their fair values due to their short-term nature.</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Call and Put Option Derivatives</w:t>
      </w:r>
      <w:r>
        <w:rPr>
          <w:rFonts w:ascii="Arial" w:cs="Arial" w:eastAsia="Arial" w:hAnsi="Arial"/>
          <w:sz w:val="16"/>
          <w:szCs w:val="16"/>
          <w:i w:val="1"/>
          <w:iCs w:val="1"/>
          <w:color w:val="auto"/>
        </w:rPr>
        <w:t xml:space="preserve">: </w:t>
      </w:r>
      <w:r>
        <w:rPr>
          <w:rFonts w:ascii="Arial" w:cs="Arial" w:eastAsia="Arial" w:hAnsi="Arial"/>
          <w:sz w:val="16"/>
          <w:szCs w:val="16"/>
          <w:color w:val="auto"/>
        </w:rPr>
        <w:t>The fair values for call and put options are based on quoted market prices.</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93345</wp:posOffset>
            </wp:positionV>
            <wp:extent cx="498983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989830" cy="29845"/>
                    </a:xfrm>
                    <a:prstGeom prst="rect">
                      <a:avLst/>
                    </a:prstGeom>
                    <a:noFill/>
                  </pic:spPr>
                </pic:pic>
              </a:graphicData>
            </a:graphic>
          </wp:anchor>
        </w:drawing>
      </w:r>
    </w:p>
    <w:p>
      <w:pPr>
        <w:sectPr>
          <w:pgSz w:w="11900" w:h="16838" w:orient="portrait"/>
          <w:cols w:equalWidth="0" w:num="1">
            <w:col w:w="9379"/>
          </w:cols>
          <w:pgMar w:left="1080" w:top="124" w:right="1440" w:bottom="1440" w:gutter="0" w:footer="0" w:header="0"/>
        </w:sectPr>
      </w:pPr>
    </w:p>
    <w:bookmarkStart w:id="31" w:name="page32"/>
    <w:bookmarkEnd w:id="31"/>
    <w:p>
      <w:pPr>
        <w:jc w:val="center"/>
        <w:ind w:right="1519"/>
        <w:spacing w:after="0" w:line="257" w:lineRule="auto"/>
        <w:rPr>
          <w:sz w:val="20"/>
          <w:szCs w:val="20"/>
          <w:color w:val="auto"/>
        </w:rPr>
      </w:pPr>
      <w:r>
        <w:rPr>
          <w:rFonts w:ascii="Arial" w:cs="Arial" w:eastAsia="Arial" w:hAnsi="Arial"/>
          <w:sz w:val="17"/>
          <w:szCs w:val="17"/>
          <w:color w:val="auto"/>
        </w:rPr>
        <w:t>SECURITY NATIONAL FINANCIAL CORPORATION AND SUBSIDIARIES Notes to Condensed Consolidated Financial Statements March 31, 2020 (Unaudited)</w:t>
      </w:r>
    </w:p>
    <w:p>
      <w:pPr>
        <w:spacing w:after="0" w:line="75" w:lineRule="exact"/>
        <w:rPr>
          <w:sz w:val="20"/>
          <w:szCs w:val="20"/>
          <w:color w:val="auto"/>
        </w:rPr>
      </w:pPr>
    </w:p>
    <w:p>
      <w:pPr>
        <w:jc w:val="both"/>
        <w:ind w:right="5659" w:firstLine="5"/>
        <w:spacing w:after="0" w:line="569" w:lineRule="auto"/>
        <w:tabs>
          <w:tab w:leader="none" w:pos="421" w:val="left"/>
        </w:tabs>
        <w:numPr>
          <w:ilvl w:val="0"/>
          <w:numId w:val="33"/>
        </w:numPr>
        <w:rPr>
          <w:rFonts w:ascii="Arial" w:cs="Arial" w:eastAsia="Arial" w:hAnsi="Arial"/>
          <w:sz w:val="15"/>
          <w:szCs w:val="15"/>
          <w:color w:val="auto"/>
        </w:rPr>
      </w:pPr>
      <w:r>
        <w:rPr>
          <w:rFonts w:ascii="Arial" w:cs="Arial" w:eastAsia="Arial" w:hAnsi="Arial"/>
          <w:sz w:val="15"/>
          <w:szCs w:val="15"/>
          <w:u w:val="single" w:color="auto"/>
          <w:color w:val="auto"/>
        </w:rPr>
        <w:t>Fair Value of Financial Instruments</w:t>
      </w:r>
      <w:r>
        <w:rPr>
          <w:rFonts w:ascii="Arial" w:cs="Arial" w:eastAsia="Arial" w:hAnsi="Arial"/>
          <w:sz w:val="15"/>
          <w:szCs w:val="15"/>
          <w:color w:val="auto"/>
        </w:rPr>
        <w:t xml:space="preserve"> (Continued) The items shown under Level 3 are valued as follows:</w:t>
      </w:r>
    </w:p>
    <w:p>
      <w:pPr>
        <w:spacing w:after="0" w:line="1" w:lineRule="exact"/>
        <w:rPr>
          <w:sz w:val="20"/>
          <w:szCs w:val="20"/>
          <w:color w:val="auto"/>
        </w:rPr>
      </w:pPr>
    </w:p>
    <w:p>
      <w:pPr>
        <w:jc w:val="both"/>
        <w:ind w:right="1519"/>
        <w:spacing w:after="0" w:line="248" w:lineRule="auto"/>
        <w:rPr>
          <w:sz w:val="20"/>
          <w:szCs w:val="20"/>
          <w:color w:val="auto"/>
        </w:rPr>
      </w:pPr>
      <w:r>
        <w:rPr>
          <w:rFonts w:ascii="Arial" w:cs="Arial" w:eastAsia="Arial" w:hAnsi="Arial"/>
          <w:sz w:val="17"/>
          <w:szCs w:val="17"/>
          <w:i w:val="1"/>
          <w:iCs w:val="1"/>
          <w:u w:val="single" w:color="auto"/>
          <w:color w:val="auto"/>
        </w:rPr>
        <w:t>Loan Commitments and Forward Sale Commitments</w:t>
      </w:r>
      <w:r>
        <w:rPr>
          <w:rFonts w:ascii="Arial" w:cs="Arial" w:eastAsia="Arial" w:hAnsi="Arial"/>
          <w:sz w:val="17"/>
          <w:szCs w:val="17"/>
          <w:color w:val="auto"/>
        </w:rPr>
        <w:t>: The Company’s mortgage segment enters into loan</w:t>
      </w:r>
      <w:r>
        <w:rPr>
          <w:rFonts w:ascii="Arial" w:cs="Arial" w:eastAsia="Arial" w:hAnsi="Arial"/>
          <w:sz w:val="17"/>
          <w:szCs w:val="17"/>
          <w:i w:val="1"/>
          <w:iCs w:val="1"/>
          <w:color w:val="auto"/>
        </w:rPr>
        <w:t xml:space="preserve"> </w:t>
      </w:r>
      <w:r>
        <w:rPr>
          <w:rFonts w:ascii="Arial" w:cs="Arial" w:eastAsia="Arial" w:hAnsi="Arial"/>
          <w:sz w:val="17"/>
          <w:szCs w:val="17"/>
          <w:color w:val="auto"/>
        </w:rPr>
        <w:t>commitments with potential borrowers and forward sale commitments to sell loans to third-party investors. The Company also uses a hedging strategy for these transactions. A loan commitment binds the Company to lend funds to a qualified borrower at a specified interest rate and within a specified period of time, generally up to 30 days after issuance of the loan commitment. Loan commitments are defined to be derivatives under GAAP and are recognized at fair value on the consolidated balance sheets with changes in their fair values recorded in current earnings.</w:t>
      </w:r>
    </w:p>
    <w:p>
      <w:pPr>
        <w:spacing w:after="0" w:line="176" w:lineRule="exact"/>
        <w:rPr>
          <w:sz w:val="20"/>
          <w:szCs w:val="20"/>
          <w:color w:val="auto"/>
        </w:rPr>
      </w:pPr>
    </w:p>
    <w:p>
      <w:pPr>
        <w:jc w:val="both"/>
        <w:ind w:right="1519"/>
        <w:spacing w:after="0" w:line="247" w:lineRule="auto"/>
        <w:rPr>
          <w:sz w:val="20"/>
          <w:szCs w:val="20"/>
          <w:color w:val="auto"/>
        </w:rPr>
      </w:pPr>
      <w:r>
        <w:rPr>
          <w:rFonts w:ascii="Arial" w:cs="Arial" w:eastAsia="Arial" w:hAnsi="Arial"/>
          <w:sz w:val="17"/>
          <w:szCs w:val="17"/>
          <w:color w:val="auto"/>
        </w:rPr>
        <w:t>The Company estimates the fair value of a loan commitment based on the change in estimated fair value of the underlying mortgage loan, quoted MBS prices, estimates of the fair value of mortgage servicing rights, and an estimate of the probability that the mortgage loan will fund within the terms of the commitment. The change in fair value of the underlying mortgage loan is measured from the date the loan commitment is issued. Following issuance, the value of a mortgage loan commitment can be either positive or negative depending upon the change in value of the underlying mortgage loans. Fallout rates and other factors from the Company’s recent historical data are used to estimate the quantity and value of mortgage loans that will fund within the terms of the commitments.</w:t>
      </w:r>
    </w:p>
    <w:p>
      <w:pPr>
        <w:spacing w:after="0" w:line="180" w:lineRule="exact"/>
        <w:rPr>
          <w:sz w:val="20"/>
          <w:szCs w:val="20"/>
          <w:color w:val="auto"/>
        </w:rPr>
      </w:pPr>
    </w:p>
    <w:p>
      <w:pPr>
        <w:jc w:val="both"/>
        <w:ind w:right="1519"/>
        <w:spacing w:after="0" w:line="266" w:lineRule="auto"/>
        <w:rPr>
          <w:sz w:val="20"/>
          <w:szCs w:val="20"/>
          <w:color w:val="auto"/>
        </w:rPr>
      </w:pPr>
      <w:r>
        <w:rPr>
          <w:rFonts w:ascii="Arial" w:cs="Arial" w:eastAsia="Arial" w:hAnsi="Arial"/>
          <w:sz w:val="16"/>
          <w:szCs w:val="16"/>
          <w:i w:val="1"/>
          <w:iCs w:val="1"/>
          <w:u w:val="single" w:color="auto"/>
          <w:color w:val="auto"/>
        </w:rPr>
        <w:t>Impaired Mortgage Loans Held for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believes that the fair value of these nonperforming</w:t>
      </w:r>
      <w:r>
        <w:rPr>
          <w:rFonts w:ascii="Arial" w:cs="Arial" w:eastAsia="Arial" w:hAnsi="Arial"/>
          <w:sz w:val="16"/>
          <w:szCs w:val="16"/>
          <w:i w:val="1"/>
          <w:iCs w:val="1"/>
          <w:color w:val="auto"/>
        </w:rPr>
        <w:t xml:space="preserve"> </w:t>
      </w:r>
      <w:r>
        <w:rPr>
          <w:rFonts w:ascii="Arial" w:cs="Arial" w:eastAsia="Arial" w:hAnsi="Arial"/>
          <w:sz w:val="16"/>
          <w:szCs w:val="16"/>
          <w:color w:val="auto"/>
        </w:rPr>
        <w:t>loans will approximate the unpaid principal balance expected to be recovered based on the fair value of the underlying collateral. For residential and commercial properties, the collateral value is estimated by obtaining an independent appraisal. The appraisal typically considers area comparables and property condition as well as potential rental income that could be generated (particularly for commercial properties). For residential construction loans, the collateral is typically incomplete, so fair value is estimated as the replacement cost using data from a provider of building cost information to the real estate construction.</w:t>
      </w:r>
    </w:p>
    <w:p>
      <w:pPr>
        <w:spacing w:after="0" w:line="163" w:lineRule="exact"/>
        <w:rPr>
          <w:sz w:val="20"/>
          <w:szCs w:val="20"/>
          <w:color w:val="auto"/>
        </w:rPr>
      </w:pPr>
    </w:p>
    <w:p>
      <w:pPr>
        <w:jc w:val="both"/>
        <w:ind w:right="1499"/>
        <w:spacing w:after="0" w:line="269" w:lineRule="auto"/>
        <w:rPr>
          <w:sz w:val="20"/>
          <w:szCs w:val="20"/>
          <w:color w:val="auto"/>
        </w:rPr>
      </w:pPr>
      <w:r>
        <w:rPr>
          <w:rFonts w:ascii="Arial" w:cs="Arial" w:eastAsia="Arial" w:hAnsi="Arial"/>
          <w:sz w:val="16"/>
          <w:szCs w:val="16"/>
          <w:i w:val="1"/>
          <w:iCs w:val="1"/>
          <w:u w:val="single" w:color="auto"/>
          <w:color w:val="auto"/>
        </w:rPr>
        <w:t>Real Estate Held for Investment</w:t>
      </w:r>
      <w:r>
        <w:rPr>
          <w:rFonts w:ascii="Arial" w:cs="Arial" w:eastAsia="Arial" w:hAnsi="Arial"/>
          <w:sz w:val="16"/>
          <w:szCs w:val="16"/>
          <w:color w:val="auto"/>
        </w:rPr>
        <w:t>: The Company believes that in an orderly market, fair value will approximate the</w:t>
      </w:r>
      <w:r>
        <w:rPr>
          <w:rFonts w:ascii="Arial" w:cs="Arial" w:eastAsia="Arial" w:hAnsi="Arial"/>
          <w:sz w:val="16"/>
          <w:szCs w:val="16"/>
          <w:i w:val="1"/>
          <w:iCs w:val="1"/>
          <w:color w:val="auto"/>
        </w:rPr>
        <w:t xml:space="preserve"> </w:t>
      </w:r>
      <w:r>
        <w:rPr>
          <w:rFonts w:ascii="Arial" w:cs="Arial" w:eastAsia="Arial" w:hAnsi="Arial"/>
          <w:sz w:val="16"/>
          <w:szCs w:val="16"/>
          <w:color w:val="auto"/>
        </w:rPr>
        <w:t>replacement cost of a home and the rental income provides a cash flow stream for investment analysis. The Company believes the highest and best use of the properties are as income producing assets since it is the Company’s intent to hold the properties as rental properties, matching the income from the investment in rental properties with the funds required for future estimated policy claims.</w:t>
      </w:r>
    </w:p>
    <w:p>
      <w:pPr>
        <w:spacing w:after="0" w:line="162" w:lineRule="exact"/>
        <w:rPr>
          <w:sz w:val="20"/>
          <w:szCs w:val="20"/>
          <w:color w:val="auto"/>
        </w:rPr>
      </w:pPr>
    </w:p>
    <w:p>
      <w:pPr>
        <w:jc w:val="both"/>
        <w:ind w:right="1499"/>
        <w:spacing w:after="0" w:line="250" w:lineRule="auto"/>
        <w:rPr>
          <w:sz w:val="20"/>
          <w:szCs w:val="20"/>
          <w:color w:val="auto"/>
        </w:rPr>
      </w:pPr>
      <w:r>
        <w:rPr>
          <w:rFonts w:ascii="Arial" w:cs="Arial" w:eastAsia="Arial" w:hAnsi="Arial"/>
          <w:sz w:val="17"/>
          <w:szCs w:val="17"/>
          <w:color w:val="auto"/>
        </w:rPr>
        <w:t>It should be noted that for replacement cost, when determining the fair value of real estate held for investment, the Company uses a provider of building cost information to the real estate construction industry. For the investment analysis, the Company uses market data based upon its real estate operation experience and projected the present value of the net rental income over seven years. The Company also considers area comparables and property condition when determining fair value.</w:t>
      </w:r>
    </w:p>
    <w:p>
      <w:pPr>
        <w:spacing w:after="0" w:line="175" w:lineRule="exact"/>
        <w:rPr>
          <w:sz w:val="20"/>
          <w:szCs w:val="20"/>
          <w:color w:val="auto"/>
        </w:rPr>
      </w:pPr>
    </w:p>
    <w:p>
      <w:pPr>
        <w:jc w:val="both"/>
        <w:ind w:right="1519"/>
        <w:spacing w:after="0" w:line="257" w:lineRule="auto"/>
        <w:rPr>
          <w:sz w:val="20"/>
          <w:szCs w:val="20"/>
          <w:color w:val="auto"/>
        </w:rPr>
      </w:pPr>
      <w:r>
        <w:rPr>
          <w:rFonts w:ascii="Arial" w:cs="Arial" w:eastAsia="Arial" w:hAnsi="Arial"/>
          <w:sz w:val="17"/>
          <w:szCs w:val="17"/>
          <w:color w:val="auto"/>
        </w:rPr>
        <w:t>In addition to this analysis performed by the Company, the Company depreciates Real Estate Held for Investment. This depreciation reduces the book value of these properties and lessens the exposure to the Company from further deterioration in real estate values.</w:t>
      </w:r>
    </w:p>
    <w:p>
      <w:pPr>
        <w:spacing w:after="0" w:line="167" w:lineRule="exact"/>
        <w:rPr>
          <w:sz w:val="20"/>
          <w:szCs w:val="20"/>
          <w:color w:val="auto"/>
        </w:rPr>
      </w:pPr>
    </w:p>
    <w:p>
      <w:pPr>
        <w:jc w:val="both"/>
        <w:ind w:right="1519"/>
        <w:spacing w:after="0" w:line="257" w:lineRule="auto"/>
        <w:rPr>
          <w:sz w:val="20"/>
          <w:szCs w:val="20"/>
          <w:color w:val="auto"/>
        </w:rPr>
      </w:pPr>
      <w:r>
        <w:rPr>
          <w:rFonts w:ascii="Arial" w:cs="Arial" w:eastAsia="Arial" w:hAnsi="Arial"/>
          <w:sz w:val="17"/>
          <w:szCs w:val="17"/>
          <w:i w:val="1"/>
          <w:iCs w:val="1"/>
          <w:u w:val="single" w:color="auto"/>
          <w:color w:val="auto"/>
        </w:rPr>
        <w:t>Mortgage Servicing Rights</w:t>
      </w:r>
      <w:r>
        <w:rPr>
          <w:rFonts w:ascii="Arial" w:cs="Arial" w:eastAsia="Arial" w:hAnsi="Arial"/>
          <w:sz w:val="17"/>
          <w:szCs w:val="17"/>
          <w:color w:val="auto"/>
        </w:rPr>
        <w:t>: The Company initially recognizes Mortgage Servicing Rights (“MSRs”) at their</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fair values derived from the net cash flows associated with the servicing contracts, where the Company assumes the obligation to service the loan in the sale transaction.</w:t>
      </w:r>
    </w:p>
    <w:p>
      <w:pPr>
        <w:spacing w:after="0" w:line="17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93345</wp:posOffset>
            </wp:positionV>
            <wp:extent cx="498983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89830" cy="29845"/>
                    </a:xfrm>
                    <a:prstGeom prst="rect">
                      <a:avLst/>
                    </a:prstGeom>
                    <a:noFill/>
                  </pic:spPr>
                </pic:pic>
              </a:graphicData>
            </a:graphic>
          </wp:anchor>
        </w:drawing>
      </w:r>
    </w:p>
    <w:p>
      <w:pPr>
        <w:sectPr>
          <w:pgSz w:w="11900" w:h="16838" w:orient="portrait"/>
          <w:cols w:equalWidth="0" w:num="1">
            <w:col w:w="9379"/>
          </w:cols>
          <w:pgMar w:left="1080" w:top="124" w:right="1440" w:bottom="1440" w:gutter="0" w:footer="0" w:header="0"/>
        </w:sectPr>
      </w:pPr>
    </w:p>
    <w:bookmarkStart w:id="32" w:name="page33"/>
    <w:bookmarkEnd w:id="32"/>
    <w:p>
      <w:pPr>
        <w:jc w:val="center"/>
        <w:ind w:right="1519"/>
        <w:spacing w:after="0" w:line="257" w:lineRule="auto"/>
        <w:rPr>
          <w:sz w:val="20"/>
          <w:szCs w:val="20"/>
          <w:color w:val="auto"/>
        </w:rPr>
      </w:pPr>
      <w:r>
        <w:rPr>
          <w:rFonts w:ascii="Arial" w:cs="Arial" w:eastAsia="Arial" w:hAnsi="Arial"/>
          <w:sz w:val="17"/>
          <w:szCs w:val="17"/>
          <w:color w:val="auto"/>
        </w:rPr>
        <w:t>SECURITY NATIONAL FINANCIAL CORPORATION AND SUBSIDIARIES Notes to Condensed Consolidated Financial Statements March 31, 2020 (Unaudited)</w:t>
      </w:r>
    </w:p>
    <w:p>
      <w:pPr>
        <w:spacing w:after="0" w:line="75" w:lineRule="exact"/>
        <w:rPr>
          <w:sz w:val="20"/>
          <w:szCs w:val="20"/>
          <w:color w:val="auto"/>
        </w:rPr>
      </w:pPr>
    </w:p>
    <w:p>
      <w:pPr>
        <w:ind w:left="420" w:hanging="415"/>
        <w:spacing w:after="0"/>
        <w:tabs>
          <w:tab w:leader="none" w:pos="420"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Fair Value of Financial Instruments</w:t>
      </w:r>
      <w:r>
        <w:rPr>
          <w:rFonts w:ascii="Arial" w:cs="Arial" w:eastAsia="Arial" w:hAnsi="Arial"/>
          <w:sz w:val="17"/>
          <w:szCs w:val="17"/>
          <w:color w:val="auto"/>
        </w:rPr>
        <w:t xml:space="preserve"> (Continued)</w:t>
      </w:r>
    </w:p>
    <w:p>
      <w:pPr>
        <w:spacing w:after="0" w:line="200" w:lineRule="exact"/>
        <w:rPr>
          <w:sz w:val="20"/>
          <w:szCs w:val="20"/>
          <w:color w:val="auto"/>
        </w:rPr>
      </w:pPr>
    </w:p>
    <w:p>
      <w:pPr>
        <w:spacing w:after="0" w:line="224" w:lineRule="exact"/>
        <w:rPr>
          <w:sz w:val="20"/>
          <w:szCs w:val="20"/>
          <w:color w:val="auto"/>
        </w:rPr>
      </w:pPr>
    </w:p>
    <w:p>
      <w:pPr>
        <w:ind w:right="1499"/>
        <w:spacing w:after="0" w:line="302" w:lineRule="auto"/>
        <w:rPr>
          <w:sz w:val="20"/>
          <w:szCs w:val="20"/>
          <w:color w:val="auto"/>
        </w:rPr>
      </w:pPr>
      <w:r>
        <w:rPr>
          <w:rFonts w:ascii="Arial" w:cs="Arial" w:eastAsia="Arial" w:hAnsi="Arial"/>
          <w:sz w:val="16"/>
          <w:szCs w:val="16"/>
          <w:color w:val="auto"/>
        </w:rPr>
        <w:t>The following tables summarize Level 1, 2 and 3 financial assets and financial liabilities measured at fair value on a recurring basis by their classification in the condensed consolidated balance sheet at March 31, 2020.</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3"/>
          </w:tcPr>
          <w:p>
            <w:pPr>
              <w:jc w:val="center"/>
              <w:ind w:right="180"/>
              <w:spacing w:after="0"/>
              <w:rPr>
                <w:sz w:val="20"/>
                <w:szCs w:val="20"/>
                <w:color w:val="auto"/>
              </w:rPr>
            </w:pPr>
            <w:r>
              <w:rPr>
                <w:rFonts w:ascii="Arial" w:cs="Arial" w:eastAsia="Arial" w:hAnsi="Arial"/>
                <w:sz w:val="12"/>
                <w:szCs w:val="12"/>
                <w:color w:val="auto"/>
                <w:w w:val="92"/>
              </w:rPr>
              <w:t>Quoted Prices in</w:t>
            </w: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3"/>
          </w:tcPr>
          <w:p>
            <w:pPr>
              <w:jc w:val="center"/>
              <w:ind w:right="180"/>
              <w:spacing w:after="0" w:line="129" w:lineRule="exact"/>
              <w:rPr>
                <w:sz w:val="20"/>
                <w:szCs w:val="20"/>
                <w:color w:val="auto"/>
              </w:rPr>
            </w:pPr>
            <w:r>
              <w:rPr>
                <w:rFonts w:ascii="Arial" w:cs="Arial" w:eastAsia="Arial" w:hAnsi="Arial"/>
                <w:sz w:val="12"/>
                <w:szCs w:val="12"/>
                <w:color w:val="auto"/>
                <w:w w:val="97"/>
              </w:rPr>
              <w:t>Active Markets for</w:t>
            </w:r>
          </w:p>
        </w:tc>
        <w:tc>
          <w:tcPr>
            <w:tcW w:w="1260" w:type="dxa"/>
            <w:vAlign w:val="bottom"/>
            <w:gridSpan w:val="3"/>
          </w:tcPr>
          <w:p>
            <w:pPr>
              <w:jc w:val="center"/>
              <w:ind w:right="180"/>
              <w:spacing w:after="0" w:line="129" w:lineRule="exact"/>
              <w:rPr>
                <w:sz w:val="20"/>
                <w:szCs w:val="20"/>
                <w:color w:val="auto"/>
              </w:rPr>
            </w:pPr>
            <w:r>
              <w:rPr>
                <w:rFonts w:ascii="Arial" w:cs="Arial" w:eastAsia="Arial" w:hAnsi="Arial"/>
                <w:sz w:val="12"/>
                <w:szCs w:val="12"/>
                <w:color w:val="auto"/>
              </w:rPr>
              <w:t>Significant</w:t>
            </w:r>
          </w:p>
        </w:tc>
        <w:tc>
          <w:tcPr>
            <w:tcW w:w="1120" w:type="dxa"/>
            <w:vAlign w:val="bottom"/>
            <w:gridSpan w:val="2"/>
          </w:tcPr>
          <w:p>
            <w:pPr>
              <w:jc w:val="right"/>
              <w:ind w:right="218"/>
              <w:spacing w:after="0" w:line="129" w:lineRule="exact"/>
              <w:rPr>
                <w:sz w:val="20"/>
                <w:szCs w:val="20"/>
                <w:color w:val="auto"/>
              </w:rPr>
            </w:pPr>
            <w:r>
              <w:rPr>
                <w:rFonts w:ascii="Arial" w:cs="Arial" w:eastAsia="Arial" w:hAnsi="Arial"/>
                <w:sz w:val="12"/>
                <w:szCs w:val="12"/>
                <w:color w:val="auto"/>
              </w:rPr>
              <w:t>Significant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3"/>
          </w:tcPr>
          <w:p>
            <w:pPr>
              <w:ind w:left="140"/>
              <w:spacing w:after="0" w:line="129" w:lineRule="exact"/>
              <w:rPr>
                <w:sz w:val="20"/>
                <w:szCs w:val="20"/>
                <w:color w:val="auto"/>
              </w:rPr>
            </w:pPr>
            <w:r>
              <w:rPr>
                <w:rFonts w:ascii="Arial" w:cs="Arial" w:eastAsia="Arial" w:hAnsi="Arial"/>
                <w:sz w:val="12"/>
                <w:szCs w:val="12"/>
                <w:color w:val="auto"/>
              </w:rPr>
              <w:t>Identical Assets</w:t>
            </w:r>
          </w:p>
        </w:tc>
        <w:tc>
          <w:tcPr>
            <w:tcW w:w="1260" w:type="dxa"/>
            <w:vAlign w:val="bottom"/>
            <w:gridSpan w:val="3"/>
          </w:tcPr>
          <w:p>
            <w:pPr>
              <w:ind w:left="80"/>
              <w:spacing w:after="0" w:line="129" w:lineRule="exact"/>
              <w:rPr>
                <w:sz w:val="20"/>
                <w:szCs w:val="20"/>
                <w:color w:val="auto"/>
              </w:rPr>
            </w:pPr>
            <w:r>
              <w:rPr>
                <w:rFonts w:ascii="Arial" w:cs="Arial" w:eastAsia="Arial" w:hAnsi="Arial"/>
                <w:sz w:val="12"/>
                <w:szCs w:val="12"/>
                <w:color w:val="auto"/>
              </w:rPr>
              <w:t>Observable Inputs</w:t>
            </w:r>
          </w:p>
        </w:tc>
        <w:tc>
          <w:tcPr>
            <w:tcW w:w="1120" w:type="dxa"/>
            <w:vAlign w:val="bottom"/>
            <w:gridSpan w:val="2"/>
          </w:tcPr>
          <w:p>
            <w:pPr>
              <w:jc w:val="right"/>
              <w:spacing w:after="0" w:line="129" w:lineRule="exact"/>
              <w:rPr>
                <w:sz w:val="20"/>
                <w:szCs w:val="20"/>
                <w:color w:val="auto"/>
              </w:rPr>
            </w:pPr>
            <w:r>
              <w:rPr>
                <w:rFonts w:ascii="Arial" w:cs="Arial" w:eastAsia="Arial" w:hAnsi="Arial"/>
                <w:sz w:val="12"/>
                <w:szCs w:val="12"/>
                <w:color w:val="auto"/>
                <w:w w:val="94"/>
              </w:rPr>
              <w:t>Unobservable Inputs</w:t>
            </w:r>
          </w:p>
        </w:tc>
        <w:tc>
          <w:tcPr>
            <w:tcW w:w="0" w:type="dxa"/>
            <w:vAlign w:val="bottom"/>
          </w:tcPr>
          <w:p>
            <w:pPr>
              <w:spacing w:after="0"/>
              <w:rPr>
                <w:sz w:val="1"/>
                <w:szCs w:val="1"/>
                <w:color w:val="auto"/>
              </w:rPr>
            </w:pPr>
          </w:p>
        </w:tc>
      </w:tr>
      <w:tr>
        <w:trPr>
          <w:trHeight w:val="156"/>
        </w:trPr>
        <w:tc>
          <w:tcPr>
            <w:tcW w:w="2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196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ind w:left="80"/>
              <w:spacing w:after="0"/>
              <w:rPr>
                <w:sz w:val="20"/>
                <w:szCs w:val="20"/>
                <w:color w:val="auto"/>
              </w:rPr>
            </w:pPr>
            <w:r>
              <w:rPr>
                <w:rFonts w:ascii="Arial" w:cs="Arial" w:eastAsia="Arial" w:hAnsi="Arial"/>
                <w:sz w:val="12"/>
                <w:szCs w:val="12"/>
                <w:color w:val="auto"/>
              </w:rPr>
              <w:t>Total</w:t>
            </w:r>
          </w:p>
        </w:tc>
        <w:tc>
          <w:tcPr>
            <w:tcW w:w="3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2"/>
                <w:szCs w:val="12"/>
                <w:color w:val="auto"/>
                <w:w w:val="98"/>
              </w:rPr>
              <w:t>(Level 1)</w:t>
            </w: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2"/>
                <w:szCs w:val="12"/>
                <w:color w:val="auto"/>
                <w:w w:val="98"/>
              </w:rPr>
              <w:t>(Level 2)</w:t>
            </w: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w w:val="98"/>
              </w:rPr>
              <w:t>(Level 3)</w:t>
            </w:r>
          </w:p>
        </w:tc>
        <w:tc>
          <w:tcPr>
            <w:tcW w:w="0" w:type="dxa"/>
            <w:vAlign w:val="bottom"/>
          </w:tcPr>
          <w:p>
            <w:pPr>
              <w:spacing w:after="0"/>
              <w:rPr>
                <w:sz w:val="1"/>
                <w:szCs w:val="1"/>
                <w:color w:val="auto"/>
              </w:rPr>
            </w:pPr>
          </w:p>
        </w:tc>
      </w:tr>
      <w:tr>
        <w:trPr>
          <w:trHeight w:val="163"/>
        </w:trPr>
        <w:tc>
          <w:tcPr>
            <w:tcW w:w="28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Assets accounted for at fair value on a</w:t>
            </w:r>
          </w:p>
        </w:tc>
        <w:tc>
          <w:tcPr>
            <w:tcW w:w="3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shd w:val="clear" w:color="auto" w:fill="CCEEFF"/>
          </w:tcPr>
          <w:p>
            <w:pPr>
              <w:spacing w:after="0"/>
              <w:rPr>
                <w:sz w:val="16"/>
                <w:szCs w:val="16"/>
                <w:color w:val="auto"/>
              </w:rPr>
            </w:pPr>
          </w:p>
        </w:tc>
        <w:tc>
          <w:tcPr>
            <w:tcW w:w="28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2"/>
                <w:szCs w:val="12"/>
                <w:color w:val="auto"/>
              </w:rPr>
              <w:t>recurring basis</w:t>
            </w:r>
          </w:p>
        </w:tc>
        <w:tc>
          <w:tcPr>
            <w:tcW w:w="3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880" w:type="dxa"/>
            <w:vAlign w:val="bottom"/>
            <w:gridSpan w:val="3"/>
          </w:tcPr>
          <w:p>
            <w:pPr>
              <w:ind w:left="20"/>
              <w:spacing w:after="0"/>
              <w:rPr>
                <w:sz w:val="20"/>
                <w:szCs w:val="20"/>
                <w:color w:val="auto"/>
              </w:rPr>
            </w:pPr>
            <w:r>
              <w:rPr>
                <w:rFonts w:ascii="Arial" w:cs="Arial" w:eastAsia="Arial" w:hAnsi="Arial"/>
                <w:sz w:val="12"/>
                <w:szCs w:val="12"/>
                <w:color w:val="auto"/>
              </w:rPr>
              <w:t>Fixed maturity securities available for sale</w:t>
            </w:r>
          </w:p>
        </w:tc>
        <w:tc>
          <w:tcPr>
            <w:tcW w:w="36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329,145,562</w:t>
            </w:r>
          </w:p>
        </w:tc>
        <w:tc>
          <w:tcPr>
            <w:tcW w:w="1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325,870,236</w:t>
            </w:r>
          </w:p>
        </w:tc>
        <w:tc>
          <w:tcPr>
            <w:tcW w:w="1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3,275,326</w:t>
            </w:r>
          </w:p>
        </w:tc>
        <w:tc>
          <w:tcPr>
            <w:tcW w:w="0" w:type="dxa"/>
            <w:vAlign w:val="bottom"/>
          </w:tcPr>
          <w:p>
            <w:pPr>
              <w:spacing w:after="0"/>
              <w:rPr>
                <w:sz w:val="1"/>
                <w:szCs w:val="1"/>
                <w:color w:val="auto"/>
              </w:rPr>
            </w:pPr>
          </w:p>
        </w:tc>
      </w:tr>
      <w:tr>
        <w:trPr>
          <w:trHeight w:val="199"/>
        </w:trPr>
        <w:tc>
          <w:tcPr>
            <w:tcW w:w="28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Equity securities</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8,235,945</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8,235,945</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9"/>
        </w:trPr>
        <w:tc>
          <w:tcPr>
            <w:tcW w:w="2880" w:type="dxa"/>
            <w:vAlign w:val="bottom"/>
            <w:gridSpan w:val="3"/>
          </w:tcPr>
          <w:p>
            <w:pPr>
              <w:ind w:left="20"/>
              <w:spacing w:after="0"/>
              <w:rPr>
                <w:sz w:val="20"/>
                <w:szCs w:val="20"/>
                <w:color w:val="auto"/>
              </w:rPr>
            </w:pPr>
            <w:r>
              <w:rPr>
                <w:rFonts w:ascii="Arial" w:cs="Arial" w:eastAsia="Arial" w:hAnsi="Arial"/>
                <w:sz w:val="12"/>
                <w:szCs w:val="12"/>
                <w:color w:val="auto"/>
              </w:rPr>
              <w:t>Loans held for sale</w:t>
            </w: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281,052,576</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281,052,576</w:t>
            </w:r>
          </w:p>
        </w:tc>
        <w:tc>
          <w:tcPr>
            <w:tcW w:w="0" w:type="dxa"/>
            <w:vAlign w:val="bottom"/>
          </w:tcPr>
          <w:p>
            <w:pPr>
              <w:spacing w:after="0"/>
              <w:rPr>
                <w:sz w:val="1"/>
                <w:szCs w:val="1"/>
                <w:color w:val="auto"/>
              </w:rPr>
            </w:pPr>
          </w:p>
        </w:tc>
      </w:tr>
      <w:tr>
        <w:trPr>
          <w:trHeight w:val="199"/>
        </w:trPr>
        <w:tc>
          <w:tcPr>
            <w:tcW w:w="28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Restricted assets (1)</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1,031,426</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1,031,426</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9"/>
        </w:trPr>
        <w:tc>
          <w:tcPr>
            <w:tcW w:w="2880" w:type="dxa"/>
            <w:vAlign w:val="bottom"/>
            <w:gridSpan w:val="3"/>
          </w:tcPr>
          <w:p>
            <w:pPr>
              <w:ind w:left="20"/>
              <w:spacing w:after="0"/>
              <w:rPr>
                <w:sz w:val="20"/>
                <w:szCs w:val="20"/>
                <w:color w:val="auto"/>
              </w:rPr>
            </w:pPr>
            <w:r>
              <w:rPr>
                <w:rFonts w:ascii="Arial" w:cs="Arial" w:eastAsia="Arial" w:hAnsi="Arial"/>
                <w:sz w:val="12"/>
                <w:szCs w:val="12"/>
                <w:color w:val="auto"/>
              </w:rPr>
              <w:t>Restricted assets (2)</w:t>
            </w: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1,684,621</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1,684,621</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9"/>
        </w:trPr>
        <w:tc>
          <w:tcPr>
            <w:tcW w:w="28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Cemetery perpetual care trust investments (1)</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991,447</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991,447</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9"/>
        </w:trPr>
        <w:tc>
          <w:tcPr>
            <w:tcW w:w="2880" w:type="dxa"/>
            <w:vAlign w:val="bottom"/>
            <w:gridSpan w:val="3"/>
          </w:tcPr>
          <w:p>
            <w:pPr>
              <w:ind w:left="20"/>
              <w:spacing w:after="0"/>
              <w:rPr>
                <w:sz w:val="20"/>
                <w:szCs w:val="20"/>
                <w:color w:val="auto"/>
              </w:rPr>
            </w:pPr>
            <w:r>
              <w:rPr>
                <w:rFonts w:ascii="Arial" w:cs="Arial" w:eastAsia="Arial" w:hAnsi="Arial"/>
                <w:sz w:val="12"/>
                <w:szCs w:val="12"/>
                <w:color w:val="auto"/>
              </w:rPr>
              <w:t>Cemetery perpetual care trust investments (2)</w:t>
            </w: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1,352,782</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1,352,782</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9"/>
        </w:trPr>
        <w:tc>
          <w:tcPr>
            <w:tcW w:w="28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Derivatives - loan commitments (3)</w:t>
            </w:r>
          </w:p>
        </w:tc>
        <w:tc>
          <w:tcPr>
            <w:tcW w:w="3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9,465,448</w:t>
            </w:r>
          </w:p>
        </w:tc>
        <w:tc>
          <w:tcPr>
            <w:tcW w:w="1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9,465,448</w:t>
            </w:r>
          </w:p>
        </w:tc>
        <w:tc>
          <w:tcPr>
            <w:tcW w:w="0" w:type="dxa"/>
            <w:vAlign w:val="bottom"/>
          </w:tcPr>
          <w:p>
            <w:pPr>
              <w:spacing w:after="0"/>
              <w:rPr>
                <w:sz w:val="1"/>
                <w:szCs w:val="1"/>
                <w:color w:val="auto"/>
              </w:rPr>
            </w:pPr>
          </w:p>
        </w:tc>
      </w:tr>
      <w:tr>
        <w:trPr>
          <w:trHeight w:val="163"/>
        </w:trPr>
        <w:tc>
          <w:tcPr>
            <w:tcW w:w="2880" w:type="dxa"/>
            <w:vAlign w:val="bottom"/>
            <w:gridSpan w:val="3"/>
          </w:tcPr>
          <w:p>
            <w:pPr>
              <w:ind w:left="20"/>
              <w:spacing w:after="0"/>
              <w:rPr>
                <w:sz w:val="20"/>
                <w:szCs w:val="20"/>
                <w:color w:val="auto"/>
              </w:rPr>
            </w:pPr>
            <w:r>
              <w:rPr>
                <w:rFonts w:ascii="Arial" w:cs="Arial" w:eastAsia="Arial" w:hAnsi="Arial"/>
                <w:sz w:val="12"/>
                <w:szCs w:val="12"/>
                <w:color w:val="auto"/>
              </w:rPr>
              <w:t>Total assets accounted for at fair value on a</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860" w:type="dxa"/>
            <w:vAlign w:val="bottom"/>
            <w:gridSpan w:val="2"/>
          </w:tcPr>
          <w:p>
            <w:pPr>
              <w:ind w:left="60"/>
              <w:spacing w:after="0"/>
              <w:rPr>
                <w:sz w:val="20"/>
                <w:szCs w:val="20"/>
                <w:color w:val="auto"/>
              </w:rPr>
            </w:pPr>
            <w:r>
              <w:rPr>
                <w:rFonts w:ascii="Arial" w:cs="Arial" w:eastAsia="Arial" w:hAnsi="Arial"/>
                <w:sz w:val="12"/>
                <w:szCs w:val="12"/>
                <w:color w:val="auto"/>
              </w:rPr>
              <w:t>recurring basis</w:t>
            </w:r>
          </w:p>
        </w:tc>
        <w:tc>
          <w:tcPr>
            <w:tcW w:w="360" w:type="dxa"/>
            <w:vAlign w:val="bottom"/>
            <w:vMerge w:val="restart"/>
          </w:tcPr>
          <w:p>
            <w:pPr>
              <w:jc w:val="right"/>
              <w:ind w:right="18"/>
              <w:spacing w:after="0"/>
              <w:rPr>
                <w:sz w:val="20"/>
                <w:szCs w:val="20"/>
                <w:color w:val="auto"/>
              </w:rPr>
            </w:pPr>
            <w:r>
              <w:rPr>
                <w:rFonts w:ascii="Arial" w:cs="Arial" w:eastAsia="Arial" w:hAnsi="Arial"/>
                <w:sz w:val="12"/>
                <w:szCs w:val="12"/>
                <w:color w:val="auto"/>
              </w:rPr>
              <w:t>$</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632,959,807</w:t>
            </w:r>
          </w:p>
        </w:tc>
        <w:tc>
          <w:tcPr>
            <w:tcW w:w="180" w:type="dxa"/>
            <w:vAlign w:val="bottom"/>
          </w:tcPr>
          <w:p>
            <w:pPr>
              <w:spacing w:after="0"/>
              <w:rPr>
                <w:sz w:val="13"/>
                <w:szCs w:val="13"/>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11,273,348</w:t>
            </w:r>
          </w:p>
        </w:tc>
        <w:tc>
          <w:tcPr>
            <w:tcW w:w="180" w:type="dxa"/>
            <w:vAlign w:val="bottom"/>
          </w:tcPr>
          <w:p>
            <w:pPr>
              <w:spacing w:after="0"/>
              <w:rPr>
                <w:sz w:val="13"/>
                <w:szCs w:val="13"/>
                <w:color w:val="auto"/>
              </w:rPr>
            </w:pPr>
          </w:p>
        </w:tc>
        <w:tc>
          <w:tcPr>
            <w:tcW w:w="3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327,893,109</w:t>
            </w:r>
          </w:p>
        </w:tc>
        <w:tc>
          <w:tcPr>
            <w:tcW w:w="180" w:type="dxa"/>
            <w:vAlign w:val="bottom"/>
          </w:tcPr>
          <w:p>
            <w:pPr>
              <w:spacing w:after="0"/>
              <w:rPr>
                <w:sz w:val="13"/>
                <w:szCs w:val="13"/>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293,793,350</w:t>
            </w:r>
          </w:p>
        </w:tc>
        <w:tc>
          <w:tcPr>
            <w:tcW w:w="0" w:type="dxa"/>
            <w:vAlign w:val="bottom"/>
          </w:tcPr>
          <w:p>
            <w:pPr>
              <w:spacing w:after="0"/>
              <w:rPr>
                <w:sz w:val="1"/>
                <w:szCs w:val="1"/>
                <w:color w:val="auto"/>
              </w:rPr>
            </w:pPr>
          </w:p>
        </w:tc>
      </w:tr>
      <w:tr>
        <w:trPr>
          <w:trHeight w:val="98"/>
        </w:trPr>
        <w:tc>
          <w:tcPr>
            <w:tcW w:w="20" w:type="dxa"/>
            <w:vAlign w:val="bottom"/>
            <w:tcBorders>
              <w:bottom w:val="single" w:sz="8" w:color="CCEEFF"/>
            </w:tcBorders>
          </w:tcPr>
          <w:p>
            <w:pPr>
              <w:spacing w:after="0"/>
              <w:rPr>
                <w:sz w:val="8"/>
                <w:szCs w:val="8"/>
                <w:color w:val="auto"/>
              </w:rPr>
            </w:pPr>
          </w:p>
        </w:tc>
        <w:tc>
          <w:tcPr>
            <w:tcW w:w="900" w:type="dxa"/>
            <w:vAlign w:val="bottom"/>
            <w:tcBorders>
              <w:bottom w:val="single" w:sz="8" w:color="CCEEFF"/>
            </w:tcBorders>
          </w:tcPr>
          <w:p>
            <w:pPr>
              <w:spacing w:after="0"/>
              <w:rPr>
                <w:sz w:val="8"/>
                <w:szCs w:val="8"/>
                <w:color w:val="auto"/>
              </w:rPr>
            </w:pPr>
          </w:p>
        </w:tc>
        <w:tc>
          <w:tcPr>
            <w:tcW w:w="1960" w:type="dxa"/>
            <w:vAlign w:val="bottom"/>
            <w:tcBorders>
              <w:bottom w:val="single" w:sz="8" w:color="CCEEFF"/>
            </w:tcBorders>
          </w:tcPr>
          <w:p>
            <w:pPr>
              <w:spacing w:after="0"/>
              <w:rPr>
                <w:sz w:val="8"/>
                <w:szCs w:val="8"/>
                <w:color w:val="auto"/>
              </w:rPr>
            </w:pPr>
          </w:p>
        </w:tc>
        <w:tc>
          <w:tcPr>
            <w:tcW w:w="360" w:type="dxa"/>
            <w:vAlign w:val="bottom"/>
            <w:tcBorders>
              <w:bottom w:val="single" w:sz="8" w:color="auto"/>
            </w:tcBorders>
            <w:vMerge w:val="continue"/>
          </w:tcPr>
          <w:p>
            <w:pPr>
              <w:spacing w:after="0"/>
              <w:rPr>
                <w:sz w:val="8"/>
                <w:szCs w:val="8"/>
                <w:color w:val="auto"/>
              </w:rPr>
            </w:pPr>
          </w:p>
        </w:tc>
        <w:tc>
          <w:tcPr>
            <w:tcW w:w="780" w:type="dxa"/>
            <w:vAlign w:val="bottom"/>
            <w:tcBorders>
              <w:bottom w:val="single" w:sz="8" w:color="auto"/>
            </w:tcBorders>
            <w:vMerge w:val="continue"/>
          </w:tcPr>
          <w:p>
            <w:pPr>
              <w:spacing w:after="0"/>
              <w:rPr>
                <w:sz w:val="8"/>
                <w:szCs w:val="8"/>
                <w:color w:val="auto"/>
              </w:rPr>
            </w:pPr>
          </w:p>
        </w:tc>
        <w:tc>
          <w:tcPr>
            <w:tcW w:w="18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vMerge w:val="continue"/>
          </w:tcPr>
          <w:p>
            <w:pPr>
              <w:spacing w:after="0"/>
              <w:rPr>
                <w:sz w:val="8"/>
                <w:szCs w:val="8"/>
                <w:color w:val="auto"/>
              </w:rPr>
            </w:pPr>
          </w:p>
        </w:tc>
        <w:tc>
          <w:tcPr>
            <w:tcW w:w="780" w:type="dxa"/>
            <w:vAlign w:val="bottom"/>
            <w:tcBorders>
              <w:bottom w:val="single" w:sz="8" w:color="auto"/>
            </w:tcBorders>
            <w:vMerge w:val="continue"/>
          </w:tcPr>
          <w:p>
            <w:pPr>
              <w:spacing w:after="0"/>
              <w:rPr>
                <w:sz w:val="8"/>
                <w:szCs w:val="8"/>
                <w:color w:val="auto"/>
              </w:rPr>
            </w:pPr>
          </w:p>
        </w:tc>
        <w:tc>
          <w:tcPr>
            <w:tcW w:w="18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vMerge w:val="continue"/>
          </w:tcPr>
          <w:p>
            <w:pPr>
              <w:spacing w:after="0"/>
              <w:rPr>
                <w:sz w:val="8"/>
                <w:szCs w:val="8"/>
                <w:color w:val="auto"/>
              </w:rPr>
            </w:pPr>
          </w:p>
        </w:tc>
        <w:tc>
          <w:tcPr>
            <w:tcW w:w="780" w:type="dxa"/>
            <w:vAlign w:val="bottom"/>
            <w:tcBorders>
              <w:bottom w:val="single" w:sz="8" w:color="auto"/>
            </w:tcBorders>
            <w:vMerge w:val="continue"/>
          </w:tcPr>
          <w:p>
            <w:pPr>
              <w:spacing w:after="0"/>
              <w:rPr>
                <w:sz w:val="8"/>
                <w:szCs w:val="8"/>
                <w:color w:val="auto"/>
              </w:rPr>
            </w:pPr>
          </w:p>
        </w:tc>
        <w:tc>
          <w:tcPr>
            <w:tcW w:w="18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vMerge w:val="continue"/>
          </w:tcPr>
          <w:p>
            <w:pPr>
              <w:spacing w:after="0"/>
              <w:rPr>
                <w:sz w:val="8"/>
                <w:szCs w:val="8"/>
                <w:color w:val="auto"/>
              </w:rPr>
            </w:pPr>
          </w:p>
        </w:tc>
        <w:tc>
          <w:tcPr>
            <w:tcW w:w="8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9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880" w:type="dxa"/>
            <w:vAlign w:val="bottom"/>
            <w:gridSpan w:val="3"/>
          </w:tcPr>
          <w:p>
            <w:pPr>
              <w:ind w:left="20"/>
              <w:spacing w:after="0"/>
              <w:rPr>
                <w:sz w:val="20"/>
                <w:szCs w:val="20"/>
                <w:color w:val="auto"/>
              </w:rPr>
            </w:pPr>
            <w:r>
              <w:rPr>
                <w:rFonts w:ascii="Arial" w:cs="Arial" w:eastAsia="Arial" w:hAnsi="Arial"/>
                <w:sz w:val="12"/>
                <w:szCs w:val="12"/>
                <w:color w:val="auto"/>
              </w:rPr>
              <w:t>Liabilities accounted for at fair value on a</w:t>
            </w: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860" w:type="dxa"/>
            <w:vAlign w:val="bottom"/>
            <w:gridSpan w:val="2"/>
          </w:tcPr>
          <w:p>
            <w:pPr>
              <w:ind w:left="60"/>
              <w:spacing w:after="0"/>
              <w:rPr>
                <w:sz w:val="20"/>
                <w:szCs w:val="20"/>
                <w:color w:val="auto"/>
              </w:rPr>
            </w:pPr>
            <w:r>
              <w:rPr>
                <w:rFonts w:ascii="Arial" w:cs="Arial" w:eastAsia="Arial" w:hAnsi="Arial"/>
                <w:sz w:val="12"/>
                <w:szCs w:val="12"/>
                <w:color w:val="auto"/>
              </w:rPr>
              <w:t>recurring basis</w:t>
            </w: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9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28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Derivatives - call options (4)</w:t>
            </w:r>
          </w:p>
        </w:tc>
        <w:tc>
          <w:tcPr>
            <w:tcW w:w="36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(8,972)</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(8,972)</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9"/>
        </w:trPr>
        <w:tc>
          <w:tcPr>
            <w:tcW w:w="2880" w:type="dxa"/>
            <w:vAlign w:val="bottom"/>
            <w:gridSpan w:val="3"/>
          </w:tcPr>
          <w:p>
            <w:pPr>
              <w:ind w:left="20"/>
              <w:spacing w:after="0"/>
              <w:rPr>
                <w:sz w:val="20"/>
                <w:szCs w:val="20"/>
                <w:color w:val="auto"/>
              </w:rPr>
            </w:pPr>
            <w:r>
              <w:rPr>
                <w:rFonts w:ascii="Arial" w:cs="Arial" w:eastAsia="Arial" w:hAnsi="Arial"/>
                <w:sz w:val="12"/>
                <w:szCs w:val="12"/>
                <w:color w:val="auto"/>
              </w:rPr>
              <w:t>Derivatives - put options (4)</w:t>
            </w: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(944,992)</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(944,992)</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9"/>
        </w:trPr>
        <w:tc>
          <w:tcPr>
            <w:tcW w:w="28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Derivatives - loan commitments (4)</w:t>
            </w:r>
          </w:p>
        </w:tc>
        <w:tc>
          <w:tcPr>
            <w:tcW w:w="3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(3,699,183)</w:t>
            </w:r>
          </w:p>
        </w:tc>
        <w:tc>
          <w:tcPr>
            <w:tcW w:w="1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(3,699,183)</w:t>
            </w:r>
          </w:p>
        </w:tc>
        <w:tc>
          <w:tcPr>
            <w:tcW w:w="0" w:type="dxa"/>
            <w:vAlign w:val="bottom"/>
          </w:tcPr>
          <w:p>
            <w:pPr>
              <w:spacing w:after="0"/>
              <w:rPr>
                <w:sz w:val="1"/>
                <w:szCs w:val="1"/>
                <w:color w:val="auto"/>
              </w:rPr>
            </w:pPr>
          </w:p>
        </w:tc>
      </w:tr>
      <w:tr>
        <w:trPr>
          <w:trHeight w:val="163"/>
        </w:trPr>
        <w:tc>
          <w:tcPr>
            <w:tcW w:w="2880" w:type="dxa"/>
            <w:vAlign w:val="bottom"/>
            <w:gridSpan w:val="3"/>
          </w:tcPr>
          <w:p>
            <w:pPr>
              <w:ind w:left="20"/>
              <w:spacing w:after="0"/>
              <w:rPr>
                <w:sz w:val="20"/>
                <w:szCs w:val="20"/>
                <w:color w:val="auto"/>
              </w:rPr>
            </w:pPr>
            <w:r>
              <w:rPr>
                <w:rFonts w:ascii="Arial" w:cs="Arial" w:eastAsia="Arial" w:hAnsi="Arial"/>
                <w:sz w:val="12"/>
                <w:szCs w:val="12"/>
                <w:color w:val="auto"/>
              </w:rPr>
              <w:t>Total liabilities accounted for at fair value</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860" w:type="dxa"/>
            <w:vAlign w:val="bottom"/>
            <w:gridSpan w:val="2"/>
          </w:tcPr>
          <w:p>
            <w:pPr>
              <w:ind w:left="60"/>
              <w:spacing w:after="0"/>
              <w:rPr>
                <w:sz w:val="20"/>
                <w:szCs w:val="20"/>
                <w:color w:val="auto"/>
              </w:rPr>
            </w:pPr>
            <w:r>
              <w:rPr>
                <w:rFonts w:ascii="Arial" w:cs="Arial" w:eastAsia="Arial" w:hAnsi="Arial"/>
                <w:sz w:val="12"/>
                <w:szCs w:val="12"/>
                <w:color w:val="auto"/>
              </w:rPr>
              <w:t>on a recurring basis</w:t>
            </w:r>
          </w:p>
        </w:tc>
        <w:tc>
          <w:tcPr>
            <w:tcW w:w="360" w:type="dxa"/>
            <w:vAlign w:val="bottom"/>
            <w:vMerge w:val="restart"/>
          </w:tcPr>
          <w:p>
            <w:pPr>
              <w:jc w:val="right"/>
              <w:ind w:right="38"/>
              <w:spacing w:after="0"/>
              <w:rPr>
                <w:sz w:val="20"/>
                <w:szCs w:val="20"/>
                <w:color w:val="auto"/>
              </w:rPr>
            </w:pPr>
            <w:r>
              <w:rPr>
                <w:rFonts w:ascii="Arial" w:cs="Arial" w:eastAsia="Arial" w:hAnsi="Arial"/>
                <w:sz w:val="12"/>
                <w:szCs w:val="12"/>
                <w:color w:val="auto"/>
              </w:rPr>
              <w:t>$</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(4,653,147)</w:t>
            </w:r>
          </w:p>
        </w:tc>
        <w:tc>
          <w:tcPr>
            <w:tcW w:w="180" w:type="dxa"/>
            <w:vAlign w:val="bottom"/>
          </w:tcPr>
          <w:p>
            <w:pPr>
              <w:spacing w:after="0"/>
              <w:rPr>
                <w:sz w:val="13"/>
                <w:szCs w:val="13"/>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(953,964)</w:t>
            </w:r>
          </w:p>
        </w:tc>
        <w:tc>
          <w:tcPr>
            <w:tcW w:w="180" w:type="dxa"/>
            <w:vAlign w:val="bottom"/>
          </w:tcPr>
          <w:p>
            <w:pPr>
              <w:spacing w:after="0"/>
              <w:rPr>
                <w:sz w:val="13"/>
                <w:szCs w:val="13"/>
                <w:color w:val="auto"/>
              </w:rPr>
            </w:pPr>
          </w:p>
        </w:tc>
        <w:tc>
          <w:tcPr>
            <w:tcW w:w="3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(3,699,183)</w:t>
            </w:r>
          </w:p>
        </w:tc>
        <w:tc>
          <w:tcPr>
            <w:tcW w:w="0" w:type="dxa"/>
            <w:vAlign w:val="bottom"/>
          </w:tcPr>
          <w:p>
            <w:pPr>
              <w:spacing w:after="0"/>
              <w:rPr>
                <w:sz w:val="1"/>
                <w:szCs w:val="1"/>
                <w:color w:val="auto"/>
              </w:rPr>
            </w:pPr>
          </w:p>
        </w:tc>
      </w:tr>
      <w:tr>
        <w:trPr>
          <w:trHeight w:val="98"/>
        </w:trPr>
        <w:tc>
          <w:tcPr>
            <w:tcW w:w="20" w:type="dxa"/>
            <w:vAlign w:val="bottom"/>
            <w:tcBorders>
              <w:bottom w:val="single" w:sz="8" w:color="CCEEFF"/>
            </w:tcBorders>
          </w:tcPr>
          <w:p>
            <w:pPr>
              <w:spacing w:after="0"/>
              <w:rPr>
                <w:sz w:val="8"/>
                <w:szCs w:val="8"/>
                <w:color w:val="auto"/>
              </w:rPr>
            </w:pPr>
          </w:p>
        </w:tc>
        <w:tc>
          <w:tcPr>
            <w:tcW w:w="900" w:type="dxa"/>
            <w:vAlign w:val="bottom"/>
            <w:tcBorders>
              <w:bottom w:val="single" w:sz="8" w:color="CCEEFF"/>
            </w:tcBorders>
          </w:tcPr>
          <w:p>
            <w:pPr>
              <w:spacing w:after="0"/>
              <w:rPr>
                <w:sz w:val="8"/>
                <w:szCs w:val="8"/>
                <w:color w:val="auto"/>
              </w:rPr>
            </w:pPr>
          </w:p>
        </w:tc>
        <w:tc>
          <w:tcPr>
            <w:tcW w:w="1960" w:type="dxa"/>
            <w:vAlign w:val="bottom"/>
            <w:tcBorders>
              <w:bottom w:val="single" w:sz="8" w:color="CCEEFF"/>
            </w:tcBorders>
          </w:tcPr>
          <w:p>
            <w:pPr>
              <w:spacing w:after="0"/>
              <w:rPr>
                <w:sz w:val="8"/>
                <w:szCs w:val="8"/>
                <w:color w:val="auto"/>
              </w:rPr>
            </w:pPr>
          </w:p>
        </w:tc>
        <w:tc>
          <w:tcPr>
            <w:tcW w:w="360" w:type="dxa"/>
            <w:vAlign w:val="bottom"/>
            <w:tcBorders>
              <w:bottom w:val="single" w:sz="8" w:color="auto"/>
            </w:tcBorders>
            <w:vMerge w:val="continue"/>
          </w:tcPr>
          <w:p>
            <w:pPr>
              <w:spacing w:after="0"/>
              <w:rPr>
                <w:sz w:val="8"/>
                <w:szCs w:val="8"/>
                <w:color w:val="auto"/>
              </w:rPr>
            </w:pPr>
          </w:p>
        </w:tc>
        <w:tc>
          <w:tcPr>
            <w:tcW w:w="780" w:type="dxa"/>
            <w:vAlign w:val="bottom"/>
            <w:tcBorders>
              <w:bottom w:val="single" w:sz="8" w:color="auto"/>
            </w:tcBorders>
            <w:vMerge w:val="continue"/>
          </w:tcPr>
          <w:p>
            <w:pPr>
              <w:spacing w:after="0"/>
              <w:rPr>
                <w:sz w:val="8"/>
                <w:szCs w:val="8"/>
                <w:color w:val="auto"/>
              </w:rPr>
            </w:pPr>
          </w:p>
        </w:tc>
        <w:tc>
          <w:tcPr>
            <w:tcW w:w="18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vMerge w:val="continue"/>
          </w:tcPr>
          <w:p>
            <w:pPr>
              <w:spacing w:after="0"/>
              <w:rPr>
                <w:sz w:val="8"/>
                <w:szCs w:val="8"/>
                <w:color w:val="auto"/>
              </w:rPr>
            </w:pPr>
          </w:p>
        </w:tc>
        <w:tc>
          <w:tcPr>
            <w:tcW w:w="780" w:type="dxa"/>
            <w:vAlign w:val="bottom"/>
            <w:tcBorders>
              <w:bottom w:val="single" w:sz="8" w:color="auto"/>
            </w:tcBorders>
            <w:vMerge w:val="continue"/>
          </w:tcPr>
          <w:p>
            <w:pPr>
              <w:spacing w:after="0"/>
              <w:rPr>
                <w:sz w:val="8"/>
                <w:szCs w:val="8"/>
                <w:color w:val="auto"/>
              </w:rPr>
            </w:pPr>
          </w:p>
        </w:tc>
        <w:tc>
          <w:tcPr>
            <w:tcW w:w="18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vMerge w:val="continue"/>
          </w:tcPr>
          <w:p>
            <w:pPr>
              <w:spacing w:after="0"/>
              <w:rPr>
                <w:sz w:val="8"/>
                <w:szCs w:val="8"/>
                <w:color w:val="auto"/>
              </w:rPr>
            </w:pPr>
          </w:p>
        </w:tc>
        <w:tc>
          <w:tcPr>
            <w:tcW w:w="780" w:type="dxa"/>
            <w:vAlign w:val="bottom"/>
            <w:tcBorders>
              <w:bottom w:val="single" w:sz="8" w:color="auto"/>
            </w:tcBorders>
            <w:vMerge w:val="continue"/>
          </w:tcPr>
          <w:p>
            <w:pPr>
              <w:spacing w:after="0"/>
              <w:rPr>
                <w:sz w:val="8"/>
                <w:szCs w:val="8"/>
                <w:color w:val="auto"/>
              </w:rPr>
            </w:pPr>
          </w:p>
        </w:tc>
        <w:tc>
          <w:tcPr>
            <w:tcW w:w="18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vMerge w:val="continue"/>
          </w:tcPr>
          <w:p>
            <w:pPr>
              <w:spacing w:after="0"/>
              <w:rPr>
                <w:sz w:val="8"/>
                <w:szCs w:val="8"/>
                <w:color w:val="auto"/>
              </w:rPr>
            </w:pPr>
          </w:p>
        </w:tc>
        <w:tc>
          <w:tcPr>
            <w:tcW w:w="8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spacing w:after="0"/>
              <w:rPr>
                <w:sz w:val="10"/>
                <w:szCs w:val="10"/>
                <w:color w:val="auto"/>
              </w:rPr>
            </w:pPr>
          </w:p>
        </w:tc>
        <w:tc>
          <w:tcPr>
            <w:tcW w:w="196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30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200" w:hanging="183"/>
        <w:spacing w:after="0"/>
        <w:tabs>
          <w:tab w:leader="none" w:pos="200" w:val="left"/>
        </w:tabs>
        <w:numPr>
          <w:ilvl w:val="0"/>
          <w:numId w:val="35"/>
        </w:numPr>
        <w:rPr>
          <w:rFonts w:ascii="Arial" w:cs="Arial" w:eastAsia="Arial" w:hAnsi="Arial"/>
          <w:sz w:val="12"/>
          <w:szCs w:val="12"/>
          <w:color w:val="auto"/>
        </w:rPr>
      </w:pPr>
      <w:r>
        <w:rPr>
          <w:rFonts w:ascii="Arial" w:cs="Arial" w:eastAsia="Arial" w:hAnsi="Arial"/>
          <w:sz w:val="12"/>
          <w:szCs w:val="12"/>
          <w:color w:val="auto"/>
        </w:rPr>
        <w:t>Fixed maturity securities available for sale</w:t>
      </w:r>
    </w:p>
    <w:p>
      <w:pPr>
        <w:spacing w:after="0" w:line="60" w:lineRule="exact"/>
        <w:rPr>
          <w:rFonts w:ascii="Arial" w:cs="Arial" w:eastAsia="Arial" w:hAnsi="Arial"/>
          <w:sz w:val="12"/>
          <w:szCs w:val="12"/>
          <w:color w:val="auto"/>
        </w:rPr>
      </w:pPr>
    </w:p>
    <w:p>
      <w:pPr>
        <w:ind w:left="200" w:hanging="183"/>
        <w:spacing w:after="0"/>
        <w:tabs>
          <w:tab w:leader="none" w:pos="200" w:val="left"/>
        </w:tabs>
        <w:numPr>
          <w:ilvl w:val="0"/>
          <w:numId w:val="35"/>
        </w:numPr>
        <w:rPr>
          <w:rFonts w:ascii="Arial" w:cs="Arial" w:eastAsia="Arial" w:hAnsi="Arial"/>
          <w:sz w:val="12"/>
          <w:szCs w:val="12"/>
          <w:color w:val="auto"/>
        </w:rPr>
      </w:pPr>
      <w:r>
        <w:rPr>
          <w:rFonts w:ascii="Arial" w:cs="Arial" w:eastAsia="Arial" w:hAnsi="Arial"/>
          <w:sz w:val="12"/>
          <w:szCs w:val="12"/>
          <w:color w:val="auto"/>
        </w:rPr>
        <w:t>Mutual funds and equity securities</w:t>
      </w:r>
    </w:p>
    <w:p>
      <w:pPr>
        <w:spacing w:after="0" w:line="60" w:lineRule="exact"/>
        <w:rPr>
          <w:rFonts w:ascii="Arial" w:cs="Arial" w:eastAsia="Arial" w:hAnsi="Arial"/>
          <w:sz w:val="12"/>
          <w:szCs w:val="12"/>
          <w:color w:val="auto"/>
        </w:rPr>
      </w:pPr>
    </w:p>
    <w:p>
      <w:pPr>
        <w:ind w:left="200" w:hanging="183"/>
        <w:spacing w:after="0"/>
        <w:tabs>
          <w:tab w:leader="none" w:pos="200" w:val="left"/>
        </w:tabs>
        <w:numPr>
          <w:ilvl w:val="0"/>
          <w:numId w:val="35"/>
        </w:numPr>
        <w:rPr>
          <w:rFonts w:ascii="Arial" w:cs="Arial" w:eastAsia="Arial" w:hAnsi="Arial"/>
          <w:sz w:val="12"/>
          <w:szCs w:val="12"/>
          <w:color w:val="auto"/>
        </w:rPr>
      </w:pPr>
      <w:r>
        <w:rPr>
          <w:rFonts w:ascii="Arial" w:cs="Arial" w:eastAsia="Arial" w:hAnsi="Arial"/>
          <w:sz w:val="12"/>
          <w:szCs w:val="12"/>
          <w:color w:val="auto"/>
        </w:rPr>
        <w:t>Included in other assets on the consolidated balance sheets</w:t>
      </w:r>
    </w:p>
    <w:p>
      <w:pPr>
        <w:spacing w:after="0" w:line="60" w:lineRule="exact"/>
        <w:rPr>
          <w:rFonts w:ascii="Arial" w:cs="Arial" w:eastAsia="Arial" w:hAnsi="Arial"/>
          <w:sz w:val="12"/>
          <w:szCs w:val="12"/>
          <w:color w:val="auto"/>
        </w:rPr>
      </w:pPr>
    </w:p>
    <w:p>
      <w:pPr>
        <w:ind w:left="200" w:hanging="183"/>
        <w:spacing w:after="0"/>
        <w:tabs>
          <w:tab w:leader="none" w:pos="200" w:val="left"/>
        </w:tabs>
        <w:numPr>
          <w:ilvl w:val="0"/>
          <w:numId w:val="35"/>
        </w:numPr>
        <w:rPr>
          <w:rFonts w:ascii="Arial" w:cs="Arial" w:eastAsia="Arial" w:hAnsi="Arial"/>
          <w:sz w:val="12"/>
          <w:szCs w:val="12"/>
          <w:color w:val="auto"/>
        </w:rPr>
      </w:pPr>
      <w:r>
        <w:rPr>
          <w:rFonts w:ascii="Arial" w:cs="Arial" w:eastAsia="Arial" w:hAnsi="Arial"/>
          <w:sz w:val="12"/>
          <w:szCs w:val="12"/>
          <w:color w:val="auto"/>
        </w:rPr>
        <w:t>Included in other liabilities and accrued expenses on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-366395</wp:posOffset>
            </wp:positionV>
            <wp:extent cx="4989830" cy="1263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89830" cy="1263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-114300</wp:posOffset>
            </wp:positionV>
            <wp:extent cx="4989830" cy="1263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89830" cy="126365"/>
                    </a:xfrm>
                    <a:prstGeom prst="rect">
                      <a:avLst/>
                    </a:prstGeom>
                    <a:noFill/>
                  </pic:spPr>
                </pic:pic>
              </a:graphicData>
            </a:graphic>
          </wp:anchor>
        </w:drawing>
      </w:r>
    </w:p>
    <w:p>
      <w:pPr>
        <w:spacing w:after="0" w:line="182" w:lineRule="exact"/>
        <w:rPr>
          <w:sz w:val="20"/>
          <w:szCs w:val="20"/>
          <w:color w:val="auto"/>
        </w:rPr>
      </w:pPr>
    </w:p>
    <w:p>
      <w:pPr>
        <w:ind w:right="1519"/>
        <w:spacing w:after="0" w:line="270" w:lineRule="auto"/>
        <w:rPr>
          <w:sz w:val="20"/>
          <w:szCs w:val="20"/>
          <w:color w:val="auto"/>
        </w:rPr>
      </w:pPr>
      <w:r>
        <w:rPr>
          <w:rFonts w:ascii="Arial" w:cs="Arial" w:eastAsia="Arial" w:hAnsi="Arial"/>
          <w:sz w:val="17"/>
          <w:szCs w:val="17"/>
          <w:color w:val="auto"/>
        </w:rPr>
        <w:t>For Level 3 assets and liabilities measured at fair value on a recurring basis as of March 31, 2020, the significant unobservable inputs used in the fair value measurements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2"/>
                <w:szCs w:val="12"/>
                <w:color w:val="auto"/>
              </w:rPr>
              <w:t>Significant</w:t>
            </w:r>
          </w:p>
        </w:tc>
        <w:tc>
          <w:tcPr>
            <w:tcW w:w="1340" w:type="dxa"/>
            <w:vAlign w:val="bottom"/>
            <w:tcBorders>
              <w:bottom w:val="single" w:sz="8" w:color="auto"/>
            </w:tcBorders>
            <w:gridSpan w:val="2"/>
          </w:tcPr>
          <w:p>
            <w:pPr>
              <w:jc w:val="right"/>
              <w:ind w:right="198"/>
              <w:spacing w:after="0"/>
              <w:rPr>
                <w:sz w:val="20"/>
                <w:szCs w:val="20"/>
                <w:color w:val="auto"/>
              </w:rPr>
            </w:pPr>
            <w:r>
              <w:rPr>
                <w:rFonts w:ascii="Arial" w:cs="Arial" w:eastAsia="Arial" w:hAnsi="Arial"/>
                <w:sz w:val="12"/>
                <w:szCs w:val="12"/>
                <w:color w:val="auto"/>
              </w:rPr>
              <w:t>Range of Inputs</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80"/>
        </w:trPr>
        <w:tc>
          <w:tcPr>
            <w:tcW w:w="2440" w:type="dxa"/>
            <w:vAlign w:val="bottom"/>
          </w:tcPr>
          <w:p>
            <w:pPr>
              <w:spacing w:after="0"/>
              <w:rPr>
                <w:sz w:val="15"/>
                <w:szCs w:val="15"/>
                <w:color w:val="auto"/>
              </w:rPr>
            </w:pPr>
          </w:p>
        </w:tc>
        <w:tc>
          <w:tcPr>
            <w:tcW w:w="980" w:type="dxa"/>
            <w:vAlign w:val="bottom"/>
            <w:gridSpan w:val="2"/>
          </w:tcPr>
          <w:p>
            <w:pPr>
              <w:ind w:left="100"/>
              <w:spacing w:after="0"/>
              <w:rPr>
                <w:sz w:val="20"/>
                <w:szCs w:val="20"/>
                <w:color w:val="auto"/>
              </w:rPr>
            </w:pPr>
            <w:r>
              <w:rPr>
                <w:rFonts w:ascii="Arial" w:cs="Arial" w:eastAsia="Arial" w:hAnsi="Arial"/>
                <w:sz w:val="12"/>
                <w:szCs w:val="12"/>
                <w:color w:val="auto"/>
              </w:rPr>
              <w:t>Fair Value at</w:t>
            </w:r>
          </w:p>
        </w:tc>
        <w:tc>
          <w:tcPr>
            <w:tcW w:w="1180" w:type="dxa"/>
            <w:vAlign w:val="bottom"/>
            <w:gridSpan w:val="2"/>
          </w:tcPr>
          <w:p>
            <w:pPr>
              <w:jc w:val="center"/>
              <w:ind w:right="180"/>
              <w:spacing w:after="0"/>
              <w:rPr>
                <w:sz w:val="20"/>
                <w:szCs w:val="20"/>
                <w:color w:val="auto"/>
              </w:rPr>
            </w:pPr>
            <w:r>
              <w:rPr>
                <w:rFonts w:ascii="Arial" w:cs="Arial" w:eastAsia="Arial" w:hAnsi="Arial"/>
                <w:sz w:val="12"/>
                <w:szCs w:val="12"/>
                <w:color w:val="auto"/>
                <w:w w:val="95"/>
              </w:rPr>
              <w:t>Valuation</w:t>
            </w:r>
          </w:p>
        </w:tc>
        <w:tc>
          <w:tcPr>
            <w:tcW w:w="1040" w:type="dxa"/>
            <w:vAlign w:val="bottom"/>
            <w:gridSpan w:val="2"/>
          </w:tcPr>
          <w:p>
            <w:pPr>
              <w:jc w:val="center"/>
              <w:ind w:right="160"/>
              <w:spacing w:after="0"/>
              <w:rPr>
                <w:sz w:val="20"/>
                <w:szCs w:val="20"/>
                <w:color w:val="auto"/>
              </w:rPr>
            </w:pPr>
            <w:r>
              <w:rPr>
                <w:rFonts w:ascii="Arial" w:cs="Arial" w:eastAsia="Arial" w:hAnsi="Arial"/>
                <w:sz w:val="12"/>
                <w:szCs w:val="12"/>
                <w:color w:val="auto"/>
                <w:w w:val="91"/>
              </w:rPr>
              <w:t>Unobservable</w:t>
            </w:r>
          </w:p>
        </w:tc>
        <w:tc>
          <w:tcPr>
            <w:tcW w:w="700" w:type="dxa"/>
            <w:vAlign w:val="bottom"/>
          </w:tcPr>
          <w:p>
            <w:pPr>
              <w:jc w:val="right"/>
              <w:ind w:right="58"/>
              <w:spacing w:after="0"/>
              <w:rPr>
                <w:sz w:val="20"/>
                <w:szCs w:val="20"/>
                <w:color w:val="auto"/>
              </w:rPr>
            </w:pPr>
            <w:r>
              <w:rPr>
                <w:rFonts w:ascii="Arial" w:cs="Arial" w:eastAsia="Arial" w:hAnsi="Arial"/>
                <w:sz w:val="12"/>
                <w:szCs w:val="12"/>
                <w:color w:val="auto"/>
              </w:rPr>
              <w:t>Minimum</w:t>
            </w:r>
          </w:p>
        </w:tc>
        <w:tc>
          <w:tcPr>
            <w:tcW w:w="820" w:type="dxa"/>
            <w:vAlign w:val="bottom"/>
            <w:gridSpan w:val="2"/>
          </w:tcPr>
          <w:p>
            <w:pPr>
              <w:jc w:val="center"/>
              <w:ind w:right="220"/>
              <w:spacing w:after="0"/>
              <w:rPr>
                <w:sz w:val="20"/>
                <w:szCs w:val="20"/>
                <w:color w:val="auto"/>
              </w:rPr>
            </w:pPr>
            <w:r>
              <w:rPr>
                <w:rFonts w:ascii="Arial" w:cs="Arial" w:eastAsia="Arial" w:hAnsi="Arial"/>
                <w:sz w:val="12"/>
                <w:szCs w:val="12"/>
                <w:color w:val="auto"/>
                <w:w w:val="99"/>
              </w:rPr>
              <w:t>Maximum</w:t>
            </w:r>
          </w:p>
        </w:tc>
        <w:tc>
          <w:tcPr>
            <w:tcW w:w="700" w:type="dxa"/>
            <w:vAlign w:val="bottom"/>
          </w:tcPr>
          <w:p>
            <w:pPr>
              <w:jc w:val="right"/>
              <w:ind w:right="58"/>
              <w:spacing w:after="0"/>
              <w:rPr>
                <w:sz w:val="20"/>
                <w:szCs w:val="20"/>
                <w:color w:val="auto"/>
              </w:rPr>
            </w:pPr>
            <w:r>
              <w:rPr>
                <w:rFonts w:ascii="Arial" w:cs="Arial" w:eastAsia="Arial" w:hAnsi="Arial"/>
                <w:sz w:val="12"/>
                <w:szCs w:val="12"/>
                <w:color w:val="auto"/>
              </w:rPr>
              <w:t>Weighted</w:t>
            </w:r>
          </w:p>
        </w:tc>
      </w:tr>
      <w:tr>
        <w:trPr>
          <w:trHeight w:val="198"/>
        </w:trPr>
        <w:tc>
          <w:tcPr>
            <w:tcW w:w="2440" w:type="dxa"/>
            <w:vAlign w:val="bottom"/>
          </w:tcPr>
          <w:p>
            <w:pPr>
              <w:spacing w:after="0"/>
              <w:rPr>
                <w:sz w:val="17"/>
                <w:szCs w:val="17"/>
                <w:color w:val="auto"/>
              </w:rPr>
            </w:pPr>
          </w:p>
        </w:tc>
        <w:tc>
          <w:tcPr>
            <w:tcW w:w="820" w:type="dxa"/>
            <w:vAlign w:val="bottom"/>
          </w:tcPr>
          <w:p>
            <w:pPr>
              <w:jc w:val="right"/>
              <w:ind w:right="98"/>
              <w:spacing w:after="0"/>
              <w:rPr>
                <w:sz w:val="20"/>
                <w:szCs w:val="20"/>
                <w:color w:val="auto"/>
              </w:rPr>
            </w:pPr>
            <w:r>
              <w:rPr>
                <w:rFonts w:ascii="Arial" w:cs="Arial" w:eastAsia="Arial" w:hAnsi="Arial"/>
                <w:sz w:val="12"/>
                <w:szCs w:val="12"/>
                <w:color w:val="auto"/>
              </w:rPr>
              <w:t>3/31/2020</w:t>
            </w:r>
          </w:p>
        </w:tc>
        <w:tc>
          <w:tcPr>
            <w:tcW w:w="160" w:type="dxa"/>
            <w:vAlign w:val="bottom"/>
          </w:tcPr>
          <w:p>
            <w:pPr>
              <w:spacing w:after="0"/>
              <w:rPr>
                <w:sz w:val="17"/>
                <w:szCs w:val="17"/>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2"/>
                <w:szCs w:val="12"/>
                <w:color w:val="auto"/>
                <w:w w:val="89"/>
              </w:rPr>
              <w:t>Technique</w:t>
            </w:r>
          </w:p>
        </w:tc>
        <w:tc>
          <w:tcPr>
            <w:tcW w:w="1040" w:type="dxa"/>
            <w:vAlign w:val="bottom"/>
            <w:gridSpan w:val="2"/>
          </w:tcPr>
          <w:p>
            <w:pPr>
              <w:jc w:val="center"/>
              <w:ind w:right="160"/>
              <w:spacing w:after="0"/>
              <w:rPr>
                <w:sz w:val="20"/>
                <w:szCs w:val="20"/>
                <w:color w:val="auto"/>
              </w:rPr>
            </w:pPr>
            <w:r>
              <w:rPr>
                <w:rFonts w:ascii="Arial" w:cs="Arial" w:eastAsia="Arial" w:hAnsi="Arial"/>
                <w:sz w:val="12"/>
                <w:szCs w:val="12"/>
                <w:color w:val="auto"/>
                <w:w w:val="98"/>
              </w:rPr>
              <w:t>Input(s)</w:t>
            </w:r>
          </w:p>
        </w:tc>
        <w:tc>
          <w:tcPr>
            <w:tcW w:w="700" w:type="dxa"/>
            <w:vAlign w:val="bottom"/>
          </w:tcPr>
          <w:p>
            <w:pPr>
              <w:jc w:val="right"/>
              <w:ind w:right="158"/>
              <w:spacing w:after="0"/>
              <w:rPr>
                <w:sz w:val="20"/>
                <w:szCs w:val="20"/>
                <w:color w:val="auto"/>
              </w:rPr>
            </w:pPr>
            <w:r>
              <w:rPr>
                <w:rFonts w:ascii="Arial" w:cs="Arial" w:eastAsia="Arial" w:hAnsi="Arial"/>
                <w:sz w:val="12"/>
                <w:szCs w:val="12"/>
                <w:color w:val="auto"/>
              </w:rPr>
              <w:t>Value</w:t>
            </w:r>
          </w:p>
        </w:tc>
        <w:tc>
          <w:tcPr>
            <w:tcW w:w="820" w:type="dxa"/>
            <w:vAlign w:val="bottom"/>
            <w:gridSpan w:val="2"/>
          </w:tcPr>
          <w:p>
            <w:pPr>
              <w:jc w:val="center"/>
              <w:ind w:right="220"/>
              <w:spacing w:after="0"/>
              <w:rPr>
                <w:sz w:val="20"/>
                <w:szCs w:val="20"/>
                <w:color w:val="auto"/>
              </w:rPr>
            </w:pPr>
            <w:r>
              <w:rPr>
                <w:rFonts w:ascii="Arial" w:cs="Arial" w:eastAsia="Arial" w:hAnsi="Arial"/>
                <w:sz w:val="12"/>
                <w:szCs w:val="12"/>
                <w:color w:val="auto"/>
                <w:w w:val="91"/>
              </w:rPr>
              <w:t>Value</w:t>
            </w:r>
          </w:p>
        </w:tc>
        <w:tc>
          <w:tcPr>
            <w:tcW w:w="700" w:type="dxa"/>
            <w:vAlign w:val="bottom"/>
          </w:tcPr>
          <w:p>
            <w:pPr>
              <w:jc w:val="right"/>
              <w:ind w:right="78"/>
              <w:spacing w:after="0"/>
              <w:rPr>
                <w:sz w:val="20"/>
                <w:szCs w:val="20"/>
                <w:color w:val="auto"/>
              </w:rPr>
            </w:pPr>
            <w:r>
              <w:rPr>
                <w:rFonts w:ascii="Arial" w:cs="Arial" w:eastAsia="Arial" w:hAnsi="Arial"/>
                <w:sz w:val="12"/>
                <w:szCs w:val="12"/>
                <w:color w:val="auto"/>
              </w:rPr>
              <w:t>Average</w:t>
            </w:r>
          </w:p>
        </w:tc>
      </w:tr>
      <w:tr>
        <w:trPr>
          <w:trHeight w:val="116"/>
        </w:trPr>
        <w:tc>
          <w:tcPr>
            <w:tcW w:w="244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ind w:left="20"/>
              <w:spacing w:after="0" w:line="117" w:lineRule="exact"/>
              <w:rPr>
                <w:sz w:val="20"/>
                <w:szCs w:val="20"/>
                <w:color w:val="auto"/>
              </w:rPr>
            </w:pPr>
            <w:r>
              <w:rPr>
                <w:rFonts w:ascii="Arial" w:cs="Arial" w:eastAsia="Arial" w:hAnsi="Arial"/>
                <w:sz w:val="12"/>
                <w:szCs w:val="12"/>
                <w:color w:val="auto"/>
                <w:w w:val="94"/>
              </w:rPr>
              <w:t>Investor contract</w:t>
            </w:r>
          </w:p>
        </w:tc>
        <w:tc>
          <w:tcPr>
            <w:tcW w:w="16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r>
      <w:tr>
        <w:trPr>
          <w:trHeight w:val="129"/>
        </w:trPr>
        <w:tc>
          <w:tcPr>
            <w:tcW w:w="2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2"/>
                <w:szCs w:val="12"/>
                <w:color w:val="auto"/>
              </w:rPr>
              <w:t>pricing as a</w:t>
            </w:r>
          </w:p>
        </w:tc>
        <w:tc>
          <w:tcPr>
            <w:tcW w:w="7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29"/>
        </w:trPr>
        <w:tc>
          <w:tcPr>
            <w:tcW w:w="2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2"/>
                <w:szCs w:val="12"/>
                <w:color w:val="auto"/>
              </w:rPr>
              <w:t>percentage of</w:t>
            </w:r>
          </w:p>
        </w:tc>
        <w:tc>
          <w:tcPr>
            <w:tcW w:w="7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29"/>
        </w:trPr>
        <w:tc>
          <w:tcPr>
            <w:tcW w:w="2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2"/>
                <w:szCs w:val="12"/>
                <w:color w:val="auto"/>
              </w:rPr>
              <w:t>unpaid principal</w:t>
            </w:r>
          </w:p>
        </w:tc>
        <w:tc>
          <w:tcPr>
            <w:tcW w:w="7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56"/>
        </w:trPr>
        <w:tc>
          <w:tcPr>
            <w:tcW w:w="2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Loans held for sale</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  281,052,576</w:t>
            </w:r>
          </w:p>
        </w:tc>
        <w:tc>
          <w:tcPr>
            <w:tcW w:w="16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Market approach</w:t>
            </w: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balance</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98.4%</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108.5%</w:t>
            </w: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103.4%</w:t>
            </w:r>
          </w:p>
        </w:tc>
      </w:tr>
      <w:tr>
        <w:trPr>
          <w:trHeight w:val="152"/>
        </w:trPr>
        <w:tc>
          <w:tcPr>
            <w:tcW w:w="2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99"/>
        </w:trPr>
        <w:tc>
          <w:tcPr>
            <w:tcW w:w="2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Derivatives - loan commitments (net)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5,766,265</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Market approach</w:t>
            </w: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Fall-out factor</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92.0%</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80.1%</w:t>
            </w:r>
          </w:p>
        </w:tc>
      </w:tr>
      <w:tr>
        <w:trPr>
          <w:trHeight w:val="199"/>
        </w:trPr>
        <w:tc>
          <w:tcPr>
            <w:tcW w:w="2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ind w:left="20"/>
              <w:spacing w:after="0"/>
              <w:rPr>
                <w:sz w:val="20"/>
                <w:szCs w:val="20"/>
                <w:color w:val="auto"/>
              </w:rPr>
            </w:pPr>
            <w:r>
              <w:rPr>
                <w:rFonts w:ascii="Arial" w:cs="Arial" w:eastAsia="Arial" w:hAnsi="Arial"/>
                <w:sz w:val="12"/>
                <w:szCs w:val="12"/>
                <w:color w:val="auto"/>
              </w:rPr>
              <w:t>Initial-Value</w:t>
            </w:r>
          </w:p>
        </w:tc>
        <w:tc>
          <w:tcPr>
            <w:tcW w:w="700" w:type="dxa"/>
            <w:vAlign w:val="bottom"/>
          </w:tcPr>
          <w:p>
            <w:pPr>
              <w:jc w:val="right"/>
              <w:spacing w:after="0"/>
              <w:rPr>
                <w:sz w:val="20"/>
                <w:szCs w:val="20"/>
                <w:color w:val="auto"/>
              </w:rPr>
            </w:pPr>
            <w:r>
              <w:rPr>
                <w:rFonts w:ascii="Arial" w:cs="Arial" w:eastAsia="Arial" w:hAnsi="Arial"/>
                <w:sz w:val="12"/>
                <w:szCs w:val="12"/>
                <w:color w:val="auto"/>
              </w:rPr>
              <w:t>N/A</w:t>
            </w: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N/A</w:t>
            </w:r>
          </w:p>
        </w:tc>
        <w:tc>
          <w:tcPr>
            <w:tcW w:w="700" w:type="dxa"/>
            <w:vAlign w:val="bottom"/>
          </w:tcPr>
          <w:p>
            <w:pPr>
              <w:jc w:val="right"/>
              <w:spacing w:after="0"/>
              <w:rPr>
                <w:sz w:val="20"/>
                <w:szCs w:val="20"/>
                <w:color w:val="auto"/>
              </w:rPr>
            </w:pPr>
            <w:r>
              <w:rPr>
                <w:rFonts w:ascii="Arial" w:cs="Arial" w:eastAsia="Arial" w:hAnsi="Arial"/>
                <w:sz w:val="12"/>
                <w:szCs w:val="12"/>
                <w:color w:val="auto"/>
              </w:rPr>
              <w:t>N/A</w:t>
            </w:r>
          </w:p>
        </w:tc>
      </w:tr>
      <w:tr>
        <w:trPr>
          <w:trHeight w:val="199"/>
        </w:trPr>
        <w:tc>
          <w:tcPr>
            <w:tcW w:w="2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Servicing</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 bps</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255 bps</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 bps</w:t>
            </w:r>
          </w:p>
        </w:tc>
      </w:tr>
      <w:tr>
        <w:trPr>
          <w:trHeight w:val="152"/>
        </w:trPr>
        <w:tc>
          <w:tcPr>
            <w:tcW w:w="2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99"/>
        </w:trPr>
        <w:tc>
          <w:tcPr>
            <w:tcW w:w="2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Fixed maturity securities available for sale</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3,275,326</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Broker quotes</w:t>
            </w: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Pricing quotes</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95.02</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$ 119.33</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110.40</w:t>
            </w:r>
          </w:p>
        </w:tc>
      </w:tr>
    </w:tbl>
    <w:p>
      <w:pPr>
        <w:spacing w:after="0" w:line="196"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93345</wp:posOffset>
            </wp:positionV>
            <wp:extent cx="498983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989830" cy="29845"/>
                    </a:xfrm>
                    <a:prstGeom prst="rect">
                      <a:avLst/>
                    </a:prstGeom>
                    <a:noFill/>
                  </pic:spPr>
                </pic:pic>
              </a:graphicData>
            </a:graphic>
          </wp:anchor>
        </w:drawing>
      </w:r>
    </w:p>
    <w:p>
      <w:pPr>
        <w:sectPr>
          <w:pgSz w:w="11900" w:h="16838" w:orient="portrait"/>
          <w:cols w:equalWidth="0" w:num="1">
            <w:col w:w="9379"/>
          </w:cols>
          <w:pgMar w:left="1080" w:top="124" w:right="1440" w:bottom="1440" w:gutter="0" w:footer="0" w:header="0"/>
        </w:sectPr>
      </w:pPr>
    </w:p>
    <w:bookmarkStart w:id="33" w:name="page34"/>
    <w:bookmarkEnd w:id="33"/>
    <w:p>
      <w:pPr>
        <w:jc w:val="center"/>
        <w:ind w:right="1519"/>
        <w:spacing w:after="0" w:line="257" w:lineRule="auto"/>
        <w:rPr>
          <w:sz w:val="20"/>
          <w:szCs w:val="20"/>
          <w:color w:val="auto"/>
        </w:rPr>
      </w:pPr>
      <w:r>
        <w:rPr>
          <w:rFonts w:ascii="Arial" w:cs="Arial" w:eastAsia="Arial" w:hAnsi="Arial"/>
          <w:sz w:val="17"/>
          <w:szCs w:val="17"/>
          <w:color w:val="auto"/>
        </w:rPr>
        <w:t>SECURITY NATIONAL FINANCIAL CORPORATION AND SUBSIDIARIES Notes to Condensed Consolidated Financial Statements March 31, 2020 (Unaudited)</w:t>
      </w:r>
    </w:p>
    <w:p>
      <w:pPr>
        <w:spacing w:after="0" w:line="75" w:lineRule="exact"/>
        <w:rPr>
          <w:sz w:val="20"/>
          <w:szCs w:val="20"/>
          <w:color w:val="auto"/>
        </w:rPr>
      </w:pPr>
    </w:p>
    <w:p>
      <w:pPr>
        <w:ind w:left="420" w:hanging="415"/>
        <w:spacing w:after="0"/>
        <w:tabs>
          <w:tab w:leader="none" w:pos="420"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Fair Value of Financial Instruments</w:t>
      </w:r>
      <w:r>
        <w:rPr>
          <w:rFonts w:ascii="Arial" w:cs="Arial" w:eastAsia="Arial" w:hAnsi="Arial"/>
          <w:sz w:val="17"/>
          <w:szCs w:val="17"/>
          <w:color w:val="auto"/>
        </w:rPr>
        <w:t xml:space="preserve"> (Continued)</w:t>
      </w:r>
    </w:p>
    <w:p>
      <w:pPr>
        <w:spacing w:after="0" w:line="225" w:lineRule="exact"/>
        <w:rPr>
          <w:sz w:val="20"/>
          <w:szCs w:val="20"/>
          <w:color w:val="auto"/>
        </w:rPr>
      </w:pPr>
    </w:p>
    <w:p>
      <w:pPr>
        <w:ind w:right="1519"/>
        <w:spacing w:after="0" w:line="270" w:lineRule="auto"/>
        <w:rPr>
          <w:sz w:val="20"/>
          <w:szCs w:val="20"/>
          <w:color w:val="auto"/>
        </w:rPr>
      </w:pPr>
      <w:r>
        <w:rPr>
          <w:rFonts w:ascii="Arial" w:cs="Arial" w:eastAsia="Arial" w:hAnsi="Arial"/>
          <w:sz w:val="17"/>
          <w:szCs w:val="17"/>
          <w:color w:val="auto"/>
        </w:rPr>
        <w:t>Following is a summary of changes in the condensed consolidated balance sheet line items measured using level 3 inputs: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right"/>
              <w:ind w:right="258"/>
              <w:spacing w:after="0"/>
              <w:rPr>
                <w:sz w:val="20"/>
                <w:szCs w:val="20"/>
                <w:color w:val="auto"/>
              </w:rPr>
            </w:pPr>
            <w:r>
              <w:rPr>
                <w:rFonts w:ascii="Arial" w:cs="Arial" w:eastAsia="Arial" w:hAnsi="Arial"/>
                <w:sz w:val="12"/>
                <w:szCs w:val="12"/>
                <w:color w:val="auto"/>
                <w:w w:val="90"/>
              </w:rPr>
              <w:t>Net Loan</w:t>
            </w: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2"/>
          </w:tcPr>
          <w:p>
            <w:pPr>
              <w:jc w:val="right"/>
              <w:spacing w:after="0"/>
              <w:rPr>
                <w:sz w:val="20"/>
                <w:szCs w:val="20"/>
                <w:color w:val="auto"/>
              </w:rPr>
            </w:pPr>
            <w:r>
              <w:rPr>
                <w:rFonts w:ascii="Arial" w:cs="Arial" w:eastAsia="Arial" w:hAnsi="Arial"/>
                <w:sz w:val="12"/>
                <w:szCs w:val="12"/>
                <w:color w:val="auto"/>
                <w:w w:val="98"/>
              </w:rPr>
              <w:t>Fixed Maturity Securities</w:t>
            </w:r>
          </w:p>
        </w:tc>
        <w:tc>
          <w:tcPr>
            <w:tcW w:w="340" w:type="dxa"/>
            <w:vAlign w:val="bottom"/>
          </w:tcPr>
          <w:p>
            <w:pPr>
              <w:spacing w:after="0"/>
              <w:rPr>
                <w:sz w:val="12"/>
                <w:szCs w:val="12"/>
                <w:color w:val="auto"/>
              </w:rPr>
            </w:pPr>
          </w:p>
        </w:tc>
      </w:tr>
      <w:tr>
        <w:trPr>
          <w:trHeight w:val="156"/>
        </w:trPr>
        <w:tc>
          <w:tcPr>
            <w:tcW w:w="316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gridSpan w:val="2"/>
          </w:tcPr>
          <w:p>
            <w:pPr>
              <w:jc w:val="right"/>
              <w:ind w:right="138"/>
              <w:spacing w:after="0"/>
              <w:rPr>
                <w:sz w:val="20"/>
                <w:szCs w:val="20"/>
                <w:color w:val="auto"/>
              </w:rPr>
            </w:pPr>
            <w:r>
              <w:rPr>
                <w:rFonts w:ascii="Arial" w:cs="Arial" w:eastAsia="Arial" w:hAnsi="Arial"/>
                <w:sz w:val="12"/>
                <w:szCs w:val="12"/>
                <w:color w:val="auto"/>
              </w:rPr>
              <w:t>Commitments</w:t>
            </w:r>
          </w:p>
        </w:tc>
        <w:tc>
          <w:tcPr>
            <w:tcW w:w="34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gridSpan w:val="2"/>
          </w:tcPr>
          <w:p>
            <w:pPr>
              <w:jc w:val="right"/>
              <w:ind w:right="58"/>
              <w:spacing w:after="0"/>
              <w:rPr>
                <w:sz w:val="20"/>
                <w:szCs w:val="20"/>
                <w:color w:val="auto"/>
              </w:rPr>
            </w:pPr>
            <w:r>
              <w:rPr>
                <w:rFonts w:ascii="Arial" w:cs="Arial" w:eastAsia="Arial" w:hAnsi="Arial"/>
                <w:sz w:val="12"/>
                <w:szCs w:val="12"/>
                <w:color w:val="auto"/>
              </w:rPr>
              <w:t>Loans Held for Sale</w:t>
            </w:r>
          </w:p>
        </w:tc>
        <w:tc>
          <w:tcPr>
            <w:tcW w:w="34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gridSpan w:val="2"/>
          </w:tcPr>
          <w:p>
            <w:pPr>
              <w:jc w:val="right"/>
              <w:ind w:right="178"/>
              <w:spacing w:after="0"/>
              <w:rPr>
                <w:sz w:val="20"/>
                <w:szCs w:val="20"/>
                <w:color w:val="auto"/>
              </w:rPr>
            </w:pPr>
            <w:r>
              <w:rPr>
                <w:rFonts w:ascii="Arial" w:cs="Arial" w:eastAsia="Arial" w:hAnsi="Arial"/>
                <w:sz w:val="12"/>
                <w:szCs w:val="12"/>
                <w:color w:val="auto"/>
              </w:rPr>
              <w:t>Available for Sale</w:t>
            </w:r>
          </w:p>
        </w:tc>
        <w:tc>
          <w:tcPr>
            <w:tcW w:w="340" w:type="dxa"/>
            <w:vAlign w:val="bottom"/>
            <w:tcBorders>
              <w:bottom w:val="single" w:sz="8" w:color="CCEEFF"/>
            </w:tcBorders>
          </w:tcPr>
          <w:p>
            <w:pPr>
              <w:spacing w:after="0"/>
              <w:rPr>
                <w:sz w:val="13"/>
                <w:szCs w:val="13"/>
                <w:color w:val="auto"/>
              </w:rPr>
            </w:pPr>
          </w:p>
        </w:tc>
      </w:tr>
      <w:tr>
        <w:trPr>
          <w:trHeight w:val="190"/>
        </w:trPr>
        <w:tc>
          <w:tcPr>
            <w:tcW w:w="3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 December 31, 2019</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2,491,233</w:t>
            </w:r>
          </w:p>
        </w:tc>
        <w:tc>
          <w:tcPr>
            <w:tcW w:w="3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213,457,632</w:t>
            </w:r>
          </w:p>
        </w:tc>
        <w:tc>
          <w:tcPr>
            <w:tcW w:w="3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3,216,382</w:t>
            </w:r>
          </w:p>
        </w:tc>
        <w:tc>
          <w:tcPr>
            <w:tcW w:w="340" w:type="dxa"/>
            <w:vAlign w:val="bottom"/>
            <w:shd w:val="clear" w:color="auto" w:fill="CCEEFF"/>
          </w:tcPr>
          <w:p>
            <w:pPr>
              <w:spacing w:after="0"/>
              <w:rPr>
                <w:sz w:val="16"/>
                <w:szCs w:val="16"/>
                <w:color w:val="auto"/>
              </w:rPr>
            </w:pPr>
          </w:p>
        </w:tc>
      </w:tr>
      <w:tr>
        <w:trPr>
          <w:trHeight w:val="210"/>
        </w:trPr>
        <w:tc>
          <w:tcPr>
            <w:tcW w:w="3160" w:type="dxa"/>
            <w:vAlign w:val="bottom"/>
          </w:tcPr>
          <w:p>
            <w:pPr>
              <w:ind w:left="20"/>
              <w:spacing w:after="0"/>
              <w:rPr>
                <w:sz w:val="20"/>
                <w:szCs w:val="20"/>
                <w:color w:val="auto"/>
              </w:rPr>
            </w:pPr>
            <w:r>
              <w:rPr>
                <w:rFonts w:ascii="Arial" w:cs="Arial" w:eastAsia="Arial" w:hAnsi="Arial"/>
                <w:sz w:val="12"/>
                <w:szCs w:val="12"/>
                <w:color w:val="auto"/>
              </w:rPr>
              <w:t>Originations and purchases</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792,193,592</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8"/>
                <w:szCs w:val="18"/>
                <w:color w:val="auto"/>
              </w:rPr>
            </w:pPr>
          </w:p>
        </w:tc>
      </w:tr>
      <w:tr>
        <w:trPr>
          <w:trHeight w:val="210"/>
        </w:trPr>
        <w:tc>
          <w:tcPr>
            <w:tcW w:w="3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Sales, maturities and paydowns</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(739,130,456)</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(10,300)</w:t>
            </w:r>
          </w:p>
        </w:tc>
        <w:tc>
          <w:tcPr>
            <w:tcW w:w="340" w:type="dxa"/>
            <w:vAlign w:val="bottom"/>
            <w:shd w:val="clear" w:color="auto" w:fill="CCEEFF"/>
          </w:tcPr>
          <w:p>
            <w:pPr>
              <w:spacing w:after="0"/>
              <w:rPr>
                <w:sz w:val="18"/>
                <w:szCs w:val="18"/>
                <w:color w:val="auto"/>
              </w:rPr>
            </w:pPr>
          </w:p>
        </w:tc>
      </w:tr>
      <w:tr>
        <w:trPr>
          <w:trHeight w:val="210"/>
        </w:trPr>
        <w:tc>
          <w:tcPr>
            <w:tcW w:w="3160" w:type="dxa"/>
            <w:vAlign w:val="bottom"/>
          </w:tcPr>
          <w:p>
            <w:pPr>
              <w:ind w:left="20"/>
              <w:spacing w:after="0"/>
              <w:rPr>
                <w:sz w:val="20"/>
                <w:szCs w:val="20"/>
                <w:color w:val="auto"/>
              </w:rPr>
            </w:pPr>
            <w:r>
              <w:rPr>
                <w:rFonts w:ascii="Arial" w:cs="Arial" w:eastAsia="Arial" w:hAnsi="Arial"/>
                <w:sz w:val="12"/>
                <w:szCs w:val="12"/>
                <w:color w:val="auto"/>
              </w:rPr>
              <w:t>Transfer to mortgage loans held for investment</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(8,933,676)</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8"/>
                <w:szCs w:val="18"/>
                <w:color w:val="auto"/>
              </w:rPr>
            </w:pPr>
          </w:p>
        </w:tc>
      </w:tr>
      <w:tr>
        <w:trPr>
          <w:trHeight w:val="199"/>
        </w:trPr>
        <w:tc>
          <w:tcPr>
            <w:tcW w:w="3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gains (losses):</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r>
      <w:tr>
        <w:trPr>
          <w:trHeight w:val="199"/>
        </w:trPr>
        <w:tc>
          <w:tcPr>
            <w:tcW w:w="3160" w:type="dxa"/>
            <w:vAlign w:val="bottom"/>
          </w:tcPr>
          <w:p>
            <w:pPr>
              <w:ind w:left="140"/>
              <w:spacing w:after="0"/>
              <w:rPr>
                <w:sz w:val="20"/>
                <w:szCs w:val="20"/>
                <w:color w:val="auto"/>
              </w:rPr>
            </w:pPr>
            <w:r>
              <w:rPr>
                <w:rFonts w:ascii="Arial" w:cs="Arial" w:eastAsia="Arial" w:hAnsi="Arial"/>
                <w:sz w:val="12"/>
                <w:szCs w:val="12"/>
                <w:color w:val="auto"/>
              </w:rPr>
              <w:t>Included in earnings</w:t>
            </w: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3,275,032</w:t>
            </w:r>
          </w:p>
        </w:tc>
        <w:tc>
          <w:tcPr>
            <w:tcW w:w="340" w:type="dxa"/>
            <w:vAlign w:val="bottom"/>
          </w:tcPr>
          <w:p>
            <w:pPr>
              <w:jc w:val="right"/>
              <w:spacing w:after="0"/>
              <w:rPr>
                <w:sz w:val="20"/>
                <w:szCs w:val="20"/>
                <w:color w:val="auto"/>
              </w:rPr>
            </w:pPr>
            <w:r>
              <w:rPr>
                <w:rFonts w:ascii="Arial" w:cs="Arial" w:eastAsia="Arial" w:hAnsi="Arial"/>
                <w:sz w:val="12"/>
                <w:szCs w:val="12"/>
                <w:color w:val="auto"/>
              </w:rPr>
              <w:t>(1)</w:t>
            </w:r>
          </w:p>
        </w:tc>
        <w:tc>
          <w:tcPr>
            <w:tcW w:w="4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23,465,484</w:t>
            </w:r>
          </w:p>
        </w:tc>
        <w:tc>
          <w:tcPr>
            <w:tcW w:w="340" w:type="dxa"/>
            <w:vAlign w:val="bottom"/>
          </w:tcPr>
          <w:p>
            <w:pPr>
              <w:jc w:val="right"/>
              <w:spacing w:after="0"/>
              <w:rPr>
                <w:sz w:val="20"/>
                <w:szCs w:val="20"/>
                <w:color w:val="auto"/>
              </w:rPr>
            </w:pPr>
            <w:r>
              <w:rPr>
                <w:rFonts w:ascii="Arial" w:cs="Arial" w:eastAsia="Arial" w:hAnsi="Arial"/>
                <w:sz w:val="12"/>
                <w:szCs w:val="12"/>
                <w:color w:val="auto"/>
              </w:rPr>
              <w:t>(1)</w:t>
            </w:r>
          </w:p>
        </w:tc>
        <w:tc>
          <w:tcPr>
            <w:tcW w:w="6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828</w:t>
            </w:r>
          </w:p>
        </w:tc>
        <w:tc>
          <w:tcPr>
            <w:tcW w:w="340" w:type="dxa"/>
            <w:vAlign w:val="bottom"/>
          </w:tcPr>
          <w:p>
            <w:pPr>
              <w:jc w:val="right"/>
              <w:ind w:right="118"/>
              <w:spacing w:after="0"/>
              <w:rPr>
                <w:sz w:val="20"/>
                <w:szCs w:val="20"/>
                <w:color w:val="auto"/>
              </w:rPr>
            </w:pPr>
            <w:r>
              <w:rPr>
                <w:rFonts w:ascii="Arial" w:cs="Arial" w:eastAsia="Arial" w:hAnsi="Arial"/>
                <w:sz w:val="12"/>
                <w:szCs w:val="12"/>
                <w:color w:val="auto"/>
                <w:w w:val="95"/>
              </w:rPr>
              <w:t>(2)</w:t>
            </w:r>
          </w:p>
        </w:tc>
      </w:tr>
      <w:tr>
        <w:trPr>
          <w:trHeight w:val="199"/>
        </w:trPr>
        <w:tc>
          <w:tcPr>
            <w:tcW w:w="31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Included in other comprehensive income</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68,416</w:t>
            </w:r>
          </w:p>
        </w:tc>
        <w:tc>
          <w:tcPr>
            <w:tcW w:w="340" w:type="dxa"/>
            <w:vAlign w:val="bottom"/>
            <w:shd w:val="clear" w:color="auto" w:fill="CCEEFF"/>
          </w:tcPr>
          <w:p>
            <w:pPr>
              <w:spacing w:after="0"/>
              <w:rPr>
                <w:sz w:val="17"/>
                <w:szCs w:val="17"/>
                <w:color w:val="auto"/>
              </w:rPr>
            </w:pPr>
          </w:p>
        </w:tc>
      </w:tr>
      <w:tr>
        <w:trPr>
          <w:trHeight w:val="152"/>
        </w:trPr>
        <w:tc>
          <w:tcPr>
            <w:tcW w:w="31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r>
      <w:tr>
        <w:trPr>
          <w:trHeight w:val="179"/>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 March 31, 2020</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5,766,265</w:t>
            </w:r>
          </w:p>
        </w:tc>
        <w:tc>
          <w:tcPr>
            <w:tcW w:w="3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281,052,576</w:t>
            </w:r>
          </w:p>
        </w:tc>
        <w:tc>
          <w:tcPr>
            <w:tcW w:w="3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3,275,326</w:t>
            </w:r>
          </w:p>
        </w:tc>
        <w:tc>
          <w:tcPr>
            <w:tcW w:w="340" w:type="dxa"/>
            <w:vAlign w:val="bottom"/>
            <w:tcBorders>
              <w:bottom w:val="single" w:sz="8" w:color="CCEEFF"/>
            </w:tcBorders>
            <w:shd w:val="clear" w:color="auto" w:fill="CCEEFF"/>
          </w:tcPr>
          <w:p>
            <w:pPr>
              <w:spacing w:after="0"/>
              <w:rPr>
                <w:sz w:val="15"/>
                <w:szCs w:val="15"/>
                <w:color w:val="auto"/>
              </w:rPr>
            </w:pPr>
          </w:p>
        </w:tc>
      </w:tr>
      <w:tr>
        <w:trPr>
          <w:trHeight w:val="20"/>
        </w:trPr>
        <w:tc>
          <w:tcPr>
            <w:tcW w:w="3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88900</wp:posOffset>
            </wp:positionV>
            <wp:extent cx="49720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97205" cy="7620"/>
                    </a:xfrm>
                    <a:prstGeom prst="rect">
                      <a:avLst/>
                    </a:prstGeom>
                    <a:noFill/>
                  </pic:spPr>
                </pic:pic>
              </a:graphicData>
            </a:graphic>
          </wp:anchor>
        </w:drawing>
      </w:r>
    </w:p>
    <w:p>
      <w:pPr>
        <w:spacing w:after="0" w:line="128" w:lineRule="exact"/>
        <w:rPr>
          <w:sz w:val="20"/>
          <w:szCs w:val="20"/>
          <w:color w:val="auto"/>
        </w:rPr>
      </w:pPr>
    </w:p>
    <w:p>
      <w:pPr>
        <w:ind w:left="200" w:hanging="183"/>
        <w:spacing w:after="0"/>
        <w:tabs>
          <w:tab w:leader="none" w:pos="200" w:val="left"/>
        </w:tabs>
        <w:numPr>
          <w:ilvl w:val="0"/>
          <w:numId w:val="37"/>
        </w:numPr>
        <w:rPr>
          <w:rFonts w:ascii="Arial" w:cs="Arial" w:eastAsia="Arial" w:hAnsi="Arial"/>
          <w:sz w:val="12"/>
          <w:szCs w:val="12"/>
          <w:color w:val="auto"/>
        </w:rPr>
      </w:pPr>
      <w:r>
        <w:rPr>
          <w:rFonts w:ascii="Arial" w:cs="Arial" w:eastAsia="Arial" w:hAnsi="Arial"/>
          <w:sz w:val="12"/>
          <w:szCs w:val="12"/>
          <w:color w:val="auto"/>
        </w:rPr>
        <w:t>As a component of Mortgage fee income on the condensed consolidated statements of earnings</w:t>
      </w:r>
    </w:p>
    <w:p>
      <w:pPr>
        <w:spacing w:after="0" w:line="60" w:lineRule="exact"/>
        <w:rPr>
          <w:rFonts w:ascii="Arial" w:cs="Arial" w:eastAsia="Arial" w:hAnsi="Arial"/>
          <w:sz w:val="12"/>
          <w:szCs w:val="12"/>
          <w:color w:val="auto"/>
        </w:rPr>
      </w:pPr>
    </w:p>
    <w:p>
      <w:pPr>
        <w:ind w:left="200" w:hanging="183"/>
        <w:spacing w:after="0"/>
        <w:tabs>
          <w:tab w:leader="none" w:pos="200" w:val="left"/>
        </w:tabs>
        <w:numPr>
          <w:ilvl w:val="0"/>
          <w:numId w:val="37"/>
        </w:numPr>
        <w:rPr>
          <w:rFonts w:ascii="Arial" w:cs="Arial" w:eastAsia="Arial" w:hAnsi="Arial"/>
          <w:sz w:val="12"/>
          <w:szCs w:val="12"/>
          <w:color w:val="auto"/>
        </w:rPr>
      </w:pPr>
      <w:r>
        <w:rPr>
          <w:rFonts w:ascii="Arial" w:cs="Arial" w:eastAsia="Arial" w:hAnsi="Arial"/>
          <w:sz w:val="12"/>
          <w:szCs w:val="12"/>
          <w:color w:val="auto"/>
        </w:rPr>
        <w:t>As a component of Net investment income on the condensed consolidated statements of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4989830" cy="1263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989830" cy="126365"/>
                    </a:xfrm>
                    <a:prstGeom prst="rect">
                      <a:avLst/>
                    </a:prstGeom>
                    <a:noFill/>
                  </pic:spPr>
                </pic:pic>
              </a:graphicData>
            </a:graphic>
          </wp:anchor>
        </w:drawing>
      </w:r>
    </w:p>
    <w:p>
      <w:pPr>
        <w:spacing w:after="0" w:line="229" w:lineRule="exact"/>
        <w:rPr>
          <w:sz w:val="20"/>
          <w:szCs w:val="20"/>
          <w:color w:val="auto"/>
        </w:rPr>
      </w:pPr>
    </w:p>
    <w:p>
      <w:pPr>
        <w:ind w:right="1539"/>
        <w:spacing w:after="0" w:line="302" w:lineRule="auto"/>
        <w:rPr>
          <w:sz w:val="20"/>
          <w:szCs w:val="20"/>
          <w:color w:val="auto"/>
        </w:rPr>
      </w:pPr>
      <w:r>
        <w:rPr>
          <w:rFonts w:ascii="Arial" w:cs="Arial" w:eastAsia="Arial" w:hAnsi="Arial"/>
          <w:sz w:val="16"/>
          <w:szCs w:val="16"/>
          <w:color w:val="auto"/>
        </w:rPr>
        <w:t>The following tables summarize Level 1, 2 and 3 financial assets and financial liabilities measured at fair value on a nonrecurring basis by their classification in the condensed consolidated balance sheet at March 31, 2020.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left="78"/>
              <w:spacing w:after="0"/>
              <w:rPr>
                <w:sz w:val="20"/>
                <w:szCs w:val="20"/>
                <w:color w:val="auto"/>
              </w:rPr>
            </w:pPr>
            <w:r>
              <w:rPr>
                <w:rFonts w:ascii="Arial" w:cs="Arial" w:eastAsia="Arial" w:hAnsi="Arial"/>
                <w:sz w:val="12"/>
                <w:szCs w:val="12"/>
                <w:color w:val="auto"/>
                <w:w w:val="92"/>
              </w:rPr>
              <w:t>Quoted Prices in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center"/>
              <w:ind w:left="98"/>
              <w:spacing w:after="0"/>
              <w:rPr>
                <w:sz w:val="20"/>
                <w:szCs w:val="20"/>
                <w:color w:val="auto"/>
              </w:rPr>
            </w:pPr>
            <w:r>
              <w:rPr>
                <w:rFonts w:ascii="Arial" w:cs="Arial" w:eastAsia="Arial" w:hAnsi="Arial"/>
                <w:sz w:val="12"/>
                <w:szCs w:val="12"/>
                <w:color w:val="auto"/>
                <w:w w:val="97"/>
              </w:rPr>
              <w:t>Significant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spacing w:after="0"/>
              <w:rPr>
                <w:sz w:val="20"/>
                <w:szCs w:val="20"/>
                <w:color w:val="auto"/>
              </w:rPr>
            </w:pPr>
            <w:r>
              <w:rPr>
                <w:rFonts w:ascii="Arial" w:cs="Arial" w:eastAsia="Arial" w:hAnsi="Arial"/>
                <w:sz w:val="12"/>
                <w:szCs w:val="12"/>
                <w:color w:val="auto"/>
              </w:rPr>
              <w:t>Significant</w:t>
            </w:r>
          </w:p>
        </w:tc>
      </w:tr>
      <w:tr>
        <w:trPr>
          <w:trHeight w:val="129"/>
        </w:trPr>
        <w:tc>
          <w:tcPr>
            <w:tcW w:w="3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jc w:val="center"/>
              <w:spacing w:after="0" w:line="129" w:lineRule="exact"/>
              <w:rPr>
                <w:sz w:val="20"/>
                <w:szCs w:val="20"/>
                <w:color w:val="auto"/>
              </w:rPr>
            </w:pPr>
            <w:r>
              <w:rPr>
                <w:rFonts w:ascii="Arial" w:cs="Arial" w:eastAsia="Arial" w:hAnsi="Arial"/>
                <w:sz w:val="12"/>
                <w:szCs w:val="12"/>
                <w:color w:val="auto"/>
                <w:w w:val="97"/>
              </w:rPr>
              <w:t>Active Markets for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center"/>
              <w:ind w:left="98"/>
              <w:spacing w:after="0" w:line="129" w:lineRule="exact"/>
              <w:rPr>
                <w:sz w:val="20"/>
                <w:szCs w:val="20"/>
                <w:color w:val="auto"/>
              </w:rPr>
            </w:pPr>
            <w:r>
              <w:rPr>
                <w:rFonts w:ascii="Arial" w:cs="Arial" w:eastAsia="Arial" w:hAnsi="Arial"/>
                <w:sz w:val="12"/>
                <w:szCs w:val="12"/>
                <w:color w:val="auto"/>
                <w:w w:val="94"/>
              </w:rPr>
              <w:t>Observable</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center"/>
              <w:spacing w:after="0" w:line="129" w:lineRule="exact"/>
              <w:rPr>
                <w:sz w:val="20"/>
                <w:szCs w:val="20"/>
                <w:color w:val="auto"/>
              </w:rPr>
            </w:pPr>
            <w:r>
              <w:rPr>
                <w:rFonts w:ascii="Arial" w:cs="Arial" w:eastAsia="Arial" w:hAnsi="Arial"/>
                <w:sz w:val="12"/>
                <w:szCs w:val="12"/>
                <w:color w:val="auto"/>
                <w:w w:val="91"/>
              </w:rPr>
              <w:t>Unobservable</w:t>
            </w:r>
          </w:p>
        </w:tc>
      </w:tr>
      <w:tr>
        <w:trPr>
          <w:trHeight w:val="129"/>
        </w:trPr>
        <w:tc>
          <w:tcPr>
            <w:tcW w:w="3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center"/>
              <w:ind w:left="58"/>
              <w:spacing w:after="0" w:line="129" w:lineRule="exact"/>
              <w:rPr>
                <w:sz w:val="20"/>
                <w:szCs w:val="20"/>
                <w:color w:val="auto"/>
              </w:rPr>
            </w:pPr>
            <w:r>
              <w:rPr>
                <w:rFonts w:ascii="Arial" w:cs="Arial" w:eastAsia="Arial" w:hAnsi="Arial"/>
                <w:sz w:val="12"/>
                <w:szCs w:val="12"/>
                <w:color w:val="auto"/>
                <w:w w:val="95"/>
              </w:rPr>
              <w:t>Identical Assets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280"/>
              <w:spacing w:after="0" w:line="129" w:lineRule="exact"/>
              <w:rPr>
                <w:sz w:val="20"/>
                <w:szCs w:val="20"/>
                <w:color w:val="auto"/>
              </w:rPr>
            </w:pPr>
            <w:r>
              <w:rPr>
                <w:rFonts w:ascii="Arial" w:cs="Arial" w:eastAsia="Arial" w:hAnsi="Arial"/>
                <w:sz w:val="12"/>
                <w:szCs w:val="12"/>
                <w:color w:val="auto"/>
              </w:rPr>
              <w:t>Inputs</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right"/>
              <w:ind w:right="318"/>
              <w:spacing w:after="0" w:line="129" w:lineRule="exact"/>
              <w:rPr>
                <w:sz w:val="20"/>
                <w:szCs w:val="20"/>
                <w:color w:val="auto"/>
              </w:rPr>
            </w:pPr>
            <w:r>
              <w:rPr>
                <w:rFonts w:ascii="Arial" w:cs="Arial" w:eastAsia="Arial" w:hAnsi="Arial"/>
                <w:sz w:val="12"/>
                <w:szCs w:val="12"/>
                <w:color w:val="auto"/>
              </w:rPr>
              <w:t>Inputs</w:t>
            </w:r>
          </w:p>
        </w:tc>
      </w:tr>
      <w:tr>
        <w:trPr>
          <w:trHeight w:val="156"/>
        </w:trPr>
        <w:tc>
          <w:tcPr>
            <w:tcW w:w="3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gridSpan w:val="2"/>
          </w:tcPr>
          <w:p>
            <w:pPr>
              <w:ind w:left="20"/>
              <w:spacing w:after="0"/>
              <w:rPr>
                <w:sz w:val="20"/>
                <w:szCs w:val="20"/>
                <w:color w:val="auto"/>
              </w:rPr>
            </w:pPr>
            <w:r>
              <w:rPr>
                <w:rFonts w:ascii="Arial" w:cs="Arial" w:eastAsia="Arial" w:hAnsi="Arial"/>
                <w:sz w:val="12"/>
                <w:szCs w:val="12"/>
                <w:color w:val="auto"/>
              </w:rPr>
              <w:t>Total</w:t>
            </w:r>
          </w:p>
        </w:tc>
        <w:tc>
          <w:tcPr>
            <w:tcW w:w="960" w:type="dxa"/>
            <w:vAlign w:val="bottom"/>
          </w:tcPr>
          <w:p>
            <w:pPr>
              <w:jc w:val="center"/>
              <w:ind w:left="78"/>
              <w:spacing w:after="0"/>
              <w:rPr>
                <w:sz w:val="20"/>
                <w:szCs w:val="20"/>
                <w:color w:val="auto"/>
              </w:rPr>
            </w:pPr>
            <w:r>
              <w:rPr>
                <w:rFonts w:ascii="Arial" w:cs="Arial" w:eastAsia="Arial" w:hAnsi="Arial"/>
                <w:sz w:val="12"/>
                <w:szCs w:val="12"/>
                <w:color w:val="auto"/>
                <w:w w:val="98"/>
              </w:rPr>
              <w:t>(Level 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center"/>
              <w:ind w:left="98"/>
              <w:spacing w:after="0"/>
              <w:rPr>
                <w:sz w:val="20"/>
                <w:szCs w:val="20"/>
                <w:color w:val="auto"/>
              </w:rPr>
            </w:pPr>
            <w:r>
              <w:rPr>
                <w:rFonts w:ascii="Arial" w:cs="Arial" w:eastAsia="Arial" w:hAnsi="Arial"/>
                <w:sz w:val="12"/>
                <w:szCs w:val="12"/>
                <w:color w:val="auto"/>
                <w:w w:val="98"/>
              </w:rPr>
              <w:t>(Level 2)</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center"/>
              <w:spacing w:after="0"/>
              <w:rPr>
                <w:sz w:val="20"/>
                <w:szCs w:val="20"/>
                <w:color w:val="auto"/>
              </w:rPr>
            </w:pPr>
            <w:r>
              <w:rPr>
                <w:rFonts w:ascii="Arial" w:cs="Arial" w:eastAsia="Arial" w:hAnsi="Arial"/>
                <w:sz w:val="12"/>
                <w:szCs w:val="12"/>
                <w:color w:val="auto"/>
                <w:w w:val="98"/>
              </w:rPr>
              <w:t>(Level 3)</w:t>
            </w:r>
          </w:p>
        </w:tc>
      </w:tr>
      <w:tr>
        <w:trPr>
          <w:trHeight w:val="179"/>
        </w:trPr>
        <w:tc>
          <w:tcPr>
            <w:tcW w:w="3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Assets accounted for at fair value on a nonrecurring basis</w:t>
            </w:r>
          </w:p>
        </w:tc>
        <w:tc>
          <w:tcPr>
            <w:tcW w:w="3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r>
      <w:tr>
        <w:trPr>
          <w:trHeight w:val="199"/>
        </w:trPr>
        <w:tc>
          <w:tcPr>
            <w:tcW w:w="32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Impaired mortgage loans held for investment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1,959,398</w:t>
            </w:r>
          </w:p>
        </w:tc>
        <w:tc>
          <w:tcPr>
            <w:tcW w:w="1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618"/>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jc w:val="right"/>
              <w:ind w:right="68"/>
              <w:spacing w:after="0"/>
              <w:rPr>
                <w:sz w:val="20"/>
                <w:szCs w:val="20"/>
                <w:color w:val="auto"/>
              </w:rPr>
            </w:pPr>
            <w:r>
              <w:rPr>
                <w:rFonts w:ascii="Arial" w:cs="Arial" w:eastAsia="Arial" w:hAnsi="Arial"/>
                <w:sz w:val="8"/>
                <w:szCs w:val="8"/>
                <w:color w:val="auto"/>
                <w:w w:val="73"/>
              </w:rPr>
              <w:t>-</w:t>
            </w:r>
          </w:p>
        </w:tc>
        <w:tc>
          <w:tcPr>
            <w:tcW w:w="2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1,959,398</w:t>
            </w:r>
          </w:p>
        </w:tc>
      </w:tr>
      <w:tr>
        <w:trPr>
          <w:trHeight w:val="261"/>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w w:val="94"/>
              </w:rPr>
              <w:t>Total assets accounted for at fair value on a nonrecurring basis</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1,959,398</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578"/>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1,959,398</w:t>
            </w:r>
          </w:p>
        </w:tc>
      </w:tr>
      <w:tr>
        <w:trPr>
          <w:trHeight w:val="20"/>
        </w:trPr>
        <w:tc>
          <w:tcPr>
            <w:tcW w:w="3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93345</wp:posOffset>
            </wp:positionV>
            <wp:extent cx="498983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989830" cy="29845"/>
                    </a:xfrm>
                    <a:prstGeom prst="rect">
                      <a:avLst/>
                    </a:prstGeom>
                    <a:noFill/>
                  </pic:spPr>
                </pic:pic>
              </a:graphicData>
            </a:graphic>
          </wp:anchor>
        </w:drawing>
      </w:r>
    </w:p>
    <w:p>
      <w:pPr>
        <w:sectPr>
          <w:pgSz w:w="11900" w:h="16838" w:orient="portrait"/>
          <w:cols w:equalWidth="0" w:num="1">
            <w:col w:w="9379"/>
          </w:cols>
          <w:pgMar w:left="1080" w:top="124" w:right="1440" w:bottom="1440" w:gutter="0" w:footer="0" w:header="0"/>
        </w:sectPr>
      </w:pPr>
    </w:p>
    <w:bookmarkStart w:id="34" w:name="page35"/>
    <w:bookmarkEnd w:id="34"/>
    <w:p>
      <w:pPr>
        <w:jc w:val="center"/>
        <w:ind w:right="1519"/>
        <w:spacing w:after="0" w:line="257" w:lineRule="auto"/>
        <w:rPr>
          <w:sz w:val="20"/>
          <w:szCs w:val="20"/>
          <w:color w:val="auto"/>
        </w:rPr>
      </w:pPr>
      <w:r>
        <w:rPr>
          <w:rFonts w:ascii="Arial" w:cs="Arial" w:eastAsia="Arial" w:hAnsi="Arial"/>
          <w:sz w:val="17"/>
          <w:szCs w:val="17"/>
          <w:color w:val="auto"/>
        </w:rPr>
        <w:t>SECURITY NATIONAL FINANCIAL CORPORATION AND SUBSIDIARIES Notes to Condensed Consolidated Financial Statements March 31, 2020 (Unaudited)</w:t>
      </w:r>
    </w:p>
    <w:p>
      <w:pPr>
        <w:spacing w:after="0" w:line="75" w:lineRule="exact"/>
        <w:rPr>
          <w:sz w:val="20"/>
          <w:szCs w:val="20"/>
          <w:color w:val="auto"/>
        </w:rPr>
      </w:pPr>
    </w:p>
    <w:p>
      <w:pPr>
        <w:ind w:left="420" w:hanging="415"/>
        <w:spacing w:after="0"/>
        <w:tabs>
          <w:tab w:leader="none" w:pos="420"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Fair Value of Financial Instruments</w:t>
      </w:r>
      <w:r>
        <w:rPr>
          <w:rFonts w:ascii="Arial" w:cs="Arial" w:eastAsia="Arial" w:hAnsi="Arial"/>
          <w:sz w:val="17"/>
          <w:szCs w:val="17"/>
          <w:color w:val="auto"/>
        </w:rPr>
        <w:t xml:space="preserve"> (Continued)</w:t>
      </w:r>
    </w:p>
    <w:p>
      <w:pPr>
        <w:spacing w:after="0" w:line="225" w:lineRule="exact"/>
        <w:rPr>
          <w:sz w:val="20"/>
          <w:szCs w:val="20"/>
          <w:color w:val="auto"/>
        </w:rPr>
      </w:pPr>
    </w:p>
    <w:p>
      <w:pPr>
        <w:ind w:right="1539"/>
        <w:spacing w:after="0" w:line="338" w:lineRule="auto"/>
        <w:rPr>
          <w:sz w:val="20"/>
          <w:szCs w:val="20"/>
          <w:color w:val="auto"/>
        </w:rPr>
      </w:pPr>
      <w:r>
        <w:rPr>
          <w:rFonts w:ascii="Arial" w:cs="Arial" w:eastAsia="Arial" w:hAnsi="Arial"/>
          <w:sz w:val="15"/>
          <w:szCs w:val="15"/>
          <w:color w:val="auto"/>
        </w:rPr>
        <w:t>The following tables summarize Level 1, 2 and 3 financial assets and financial liabilities measured at fair value on a recurring basis by their classification in the condensed consolidated balance sheet at December 31, 2019.</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3"/>
          </w:tcPr>
          <w:p>
            <w:pPr>
              <w:jc w:val="center"/>
              <w:ind w:right="180"/>
              <w:spacing w:after="0"/>
              <w:rPr>
                <w:sz w:val="20"/>
                <w:szCs w:val="20"/>
                <w:color w:val="auto"/>
              </w:rPr>
            </w:pPr>
            <w:r>
              <w:rPr>
                <w:rFonts w:ascii="Arial" w:cs="Arial" w:eastAsia="Arial" w:hAnsi="Arial"/>
                <w:sz w:val="12"/>
                <w:szCs w:val="12"/>
                <w:color w:val="auto"/>
                <w:w w:val="92"/>
              </w:rPr>
              <w:t>Quoted Prices in</w:t>
            </w: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3"/>
          </w:tcPr>
          <w:p>
            <w:pPr>
              <w:jc w:val="center"/>
              <w:ind w:right="180"/>
              <w:spacing w:after="0" w:line="129" w:lineRule="exact"/>
              <w:rPr>
                <w:sz w:val="20"/>
                <w:szCs w:val="20"/>
                <w:color w:val="auto"/>
              </w:rPr>
            </w:pPr>
            <w:r>
              <w:rPr>
                <w:rFonts w:ascii="Arial" w:cs="Arial" w:eastAsia="Arial" w:hAnsi="Arial"/>
                <w:sz w:val="12"/>
                <w:szCs w:val="12"/>
                <w:color w:val="auto"/>
                <w:w w:val="97"/>
              </w:rPr>
              <w:t>Active Markets for</w:t>
            </w:r>
          </w:p>
        </w:tc>
        <w:tc>
          <w:tcPr>
            <w:tcW w:w="1260" w:type="dxa"/>
            <w:vAlign w:val="bottom"/>
            <w:gridSpan w:val="3"/>
          </w:tcPr>
          <w:p>
            <w:pPr>
              <w:jc w:val="center"/>
              <w:ind w:right="180"/>
              <w:spacing w:after="0" w:line="129" w:lineRule="exact"/>
              <w:rPr>
                <w:sz w:val="20"/>
                <w:szCs w:val="20"/>
                <w:color w:val="auto"/>
              </w:rPr>
            </w:pPr>
            <w:r>
              <w:rPr>
                <w:rFonts w:ascii="Arial" w:cs="Arial" w:eastAsia="Arial" w:hAnsi="Arial"/>
                <w:sz w:val="12"/>
                <w:szCs w:val="12"/>
                <w:color w:val="auto"/>
              </w:rPr>
              <w:t>Significant</w:t>
            </w:r>
          </w:p>
        </w:tc>
        <w:tc>
          <w:tcPr>
            <w:tcW w:w="1120" w:type="dxa"/>
            <w:vAlign w:val="bottom"/>
            <w:gridSpan w:val="2"/>
          </w:tcPr>
          <w:p>
            <w:pPr>
              <w:jc w:val="right"/>
              <w:ind w:right="218"/>
              <w:spacing w:after="0" w:line="129" w:lineRule="exact"/>
              <w:rPr>
                <w:sz w:val="20"/>
                <w:szCs w:val="20"/>
                <w:color w:val="auto"/>
              </w:rPr>
            </w:pPr>
            <w:r>
              <w:rPr>
                <w:rFonts w:ascii="Arial" w:cs="Arial" w:eastAsia="Arial" w:hAnsi="Arial"/>
                <w:sz w:val="12"/>
                <w:szCs w:val="12"/>
                <w:color w:val="auto"/>
              </w:rPr>
              <w:t>Significant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3"/>
          </w:tcPr>
          <w:p>
            <w:pPr>
              <w:ind w:left="140"/>
              <w:spacing w:after="0" w:line="129" w:lineRule="exact"/>
              <w:rPr>
                <w:sz w:val="20"/>
                <w:szCs w:val="20"/>
                <w:color w:val="auto"/>
              </w:rPr>
            </w:pPr>
            <w:r>
              <w:rPr>
                <w:rFonts w:ascii="Arial" w:cs="Arial" w:eastAsia="Arial" w:hAnsi="Arial"/>
                <w:sz w:val="12"/>
                <w:szCs w:val="12"/>
                <w:color w:val="auto"/>
              </w:rPr>
              <w:t>Identical Assets</w:t>
            </w:r>
          </w:p>
        </w:tc>
        <w:tc>
          <w:tcPr>
            <w:tcW w:w="1260" w:type="dxa"/>
            <w:vAlign w:val="bottom"/>
            <w:gridSpan w:val="3"/>
          </w:tcPr>
          <w:p>
            <w:pPr>
              <w:ind w:left="80"/>
              <w:spacing w:after="0" w:line="129" w:lineRule="exact"/>
              <w:rPr>
                <w:sz w:val="20"/>
                <w:szCs w:val="20"/>
                <w:color w:val="auto"/>
              </w:rPr>
            </w:pPr>
            <w:r>
              <w:rPr>
                <w:rFonts w:ascii="Arial" w:cs="Arial" w:eastAsia="Arial" w:hAnsi="Arial"/>
                <w:sz w:val="12"/>
                <w:szCs w:val="12"/>
                <w:color w:val="auto"/>
              </w:rPr>
              <w:t>Observable Inputs</w:t>
            </w:r>
          </w:p>
        </w:tc>
        <w:tc>
          <w:tcPr>
            <w:tcW w:w="1120" w:type="dxa"/>
            <w:vAlign w:val="bottom"/>
            <w:gridSpan w:val="2"/>
          </w:tcPr>
          <w:p>
            <w:pPr>
              <w:jc w:val="right"/>
              <w:spacing w:after="0" w:line="129" w:lineRule="exact"/>
              <w:rPr>
                <w:sz w:val="20"/>
                <w:szCs w:val="20"/>
                <w:color w:val="auto"/>
              </w:rPr>
            </w:pPr>
            <w:r>
              <w:rPr>
                <w:rFonts w:ascii="Arial" w:cs="Arial" w:eastAsia="Arial" w:hAnsi="Arial"/>
                <w:sz w:val="12"/>
                <w:szCs w:val="12"/>
                <w:color w:val="auto"/>
                <w:w w:val="94"/>
              </w:rPr>
              <w:t>Unobservable Inputs</w:t>
            </w:r>
          </w:p>
        </w:tc>
        <w:tc>
          <w:tcPr>
            <w:tcW w:w="0" w:type="dxa"/>
            <w:vAlign w:val="bottom"/>
          </w:tcPr>
          <w:p>
            <w:pPr>
              <w:spacing w:after="0"/>
              <w:rPr>
                <w:sz w:val="1"/>
                <w:szCs w:val="1"/>
                <w:color w:val="auto"/>
              </w:rPr>
            </w:pPr>
          </w:p>
        </w:tc>
      </w:tr>
      <w:tr>
        <w:trPr>
          <w:trHeight w:val="156"/>
        </w:trPr>
        <w:tc>
          <w:tcPr>
            <w:tcW w:w="2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196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ind w:left="80"/>
              <w:spacing w:after="0"/>
              <w:rPr>
                <w:sz w:val="20"/>
                <w:szCs w:val="20"/>
                <w:color w:val="auto"/>
              </w:rPr>
            </w:pPr>
            <w:r>
              <w:rPr>
                <w:rFonts w:ascii="Arial" w:cs="Arial" w:eastAsia="Arial" w:hAnsi="Arial"/>
                <w:sz w:val="12"/>
                <w:szCs w:val="12"/>
                <w:color w:val="auto"/>
              </w:rPr>
              <w:t>Total</w:t>
            </w:r>
          </w:p>
        </w:tc>
        <w:tc>
          <w:tcPr>
            <w:tcW w:w="3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2"/>
                <w:szCs w:val="12"/>
                <w:color w:val="auto"/>
                <w:w w:val="98"/>
              </w:rPr>
              <w:t>(Level 1)</w:t>
            </w: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2"/>
                <w:szCs w:val="12"/>
                <w:color w:val="auto"/>
                <w:w w:val="98"/>
              </w:rPr>
              <w:t>(Level 2)</w:t>
            </w: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w w:val="98"/>
              </w:rPr>
              <w:t>(Level 3)</w:t>
            </w:r>
          </w:p>
        </w:tc>
        <w:tc>
          <w:tcPr>
            <w:tcW w:w="0" w:type="dxa"/>
            <w:vAlign w:val="bottom"/>
          </w:tcPr>
          <w:p>
            <w:pPr>
              <w:spacing w:after="0"/>
              <w:rPr>
                <w:sz w:val="1"/>
                <w:szCs w:val="1"/>
                <w:color w:val="auto"/>
              </w:rPr>
            </w:pPr>
          </w:p>
        </w:tc>
      </w:tr>
      <w:tr>
        <w:trPr>
          <w:trHeight w:val="221"/>
        </w:trPr>
        <w:tc>
          <w:tcPr>
            <w:tcW w:w="28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Assets accounted for at fair value on a</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286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recurring basis</w:t>
            </w: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880" w:type="dxa"/>
            <w:vAlign w:val="bottom"/>
            <w:gridSpan w:val="3"/>
          </w:tcPr>
          <w:p>
            <w:pPr>
              <w:ind w:left="20"/>
              <w:spacing w:after="0"/>
              <w:rPr>
                <w:sz w:val="20"/>
                <w:szCs w:val="20"/>
                <w:color w:val="auto"/>
              </w:rPr>
            </w:pPr>
            <w:r>
              <w:rPr>
                <w:rFonts w:ascii="Arial" w:cs="Arial" w:eastAsia="Arial" w:hAnsi="Arial"/>
                <w:sz w:val="12"/>
                <w:szCs w:val="12"/>
                <w:color w:val="auto"/>
              </w:rPr>
              <w:t>Fixed maturity securities available for sale</w:t>
            </w:r>
          </w:p>
        </w:tc>
        <w:tc>
          <w:tcPr>
            <w:tcW w:w="36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355,977,820</w:t>
            </w:r>
          </w:p>
        </w:tc>
        <w:tc>
          <w:tcPr>
            <w:tcW w:w="1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352,761,438</w:t>
            </w:r>
          </w:p>
        </w:tc>
        <w:tc>
          <w:tcPr>
            <w:tcW w:w="1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3,216,382</w:t>
            </w:r>
          </w:p>
        </w:tc>
        <w:tc>
          <w:tcPr>
            <w:tcW w:w="0" w:type="dxa"/>
            <w:vAlign w:val="bottom"/>
          </w:tcPr>
          <w:p>
            <w:pPr>
              <w:spacing w:after="0"/>
              <w:rPr>
                <w:sz w:val="1"/>
                <w:szCs w:val="1"/>
                <w:color w:val="auto"/>
              </w:rPr>
            </w:pPr>
          </w:p>
        </w:tc>
      </w:tr>
      <w:tr>
        <w:trPr>
          <w:trHeight w:val="199"/>
        </w:trPr>
        <w:tc>
          <w:tcPr>
            <w:tcW w:w="28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Equity securities</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7,271,165</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7,271,165</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9"/>
        </w:trPr>
        <w:tc>
          <w:tcPr>
            <w:tcW w:w="2880" w:type="dxa"/>
            <w:vAlign w:val="bottom"/>
            <w:gridSpan w:val="3"/>
          </w:tcPr>
          <w:p>
            <w:pPr>
              <w:ind w:left="20"/>
              <w:spacing w:after="0"/>
              <w:rPr>
                <w:sz w:val="20"/>
                <w:szCs w:val="20"/>
                <w:color w:val="auto"/>
              </w:rPr>
            </w:pPr>
            <w:r>
              <w:rPr>
                <w:rFonts w:ascii="Arial" w:cs="Arial" w:eastAsia="Arial" w:hAnsi="Arial"/>
                <w:sz w:val="12"/>
                <w:szCs w:val="12"/>
                <w:color w:val="auto"/>
              </w:rPr>
              <w:t>Loans held for sale</w:t>
            </w: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213,457,632</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213,457,632</w:t>
            </w:r>
          </w:p>
        </w:tc>
        <w:tc>
          <w:tcPr>
            <w:tcW w:w="0" w:type="dxa"/>
            <w:vAlign w:val="bottom"/>
          </w:tcPr>
          <w:p>
            <w:pPr>
              <w:spacing w:after="0"/>
              <w:rPr>
                <w:sz w:val="1"/>
                <w:szCs w:val="1"/>
                <w:color w:val="auto"/>
              </w:rPr>
            </w:pPr>
          </w:p>
        </w:tc>
      </w:tr>
      <w:tr>
        <w:trPr>
          <w:trHeight w:val="199"/>
        </w:trPr>
        <w:tc>
          <w:tcPr>
            <w:tcW w:w="28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Restricted assets (1)</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1,008,867</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1,008,867</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9"/>
        </w:trPr>
        <w:tc>
          <w:tcPr>
            <w:tcW w:w="2880" w:type="dxa"/>
            <w:vAlign w:val="bottom"/>
            <w:gridSpan w:val="3"/>
          </w:tcPr>
          <w:p>
            <w:pPr>
              <w:ind w:left="20"/>
              <w:spacing w:after="0"/>
              <w:rPr>
                <w:sz w:val="20"/>
                <w:szCs w:val="20"/>
                <w:color w:val="auto"/>
              </w:rPr>
            </w:pPr>
            <w:r>
              <w:rPr>
                <w:rFonts w:ascii="Arial" w:cs="Arial" w:eastAsia="Arial" w:hAnsi="Arial"/>
                <w:sz w:val="12"/>
                <w:szCs w:val="12"/>
                <w:color w:val="auto"/>
              </w:rPr>
              <w:t>Restricted assets (2)</w:t>
            </w: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1,976,480</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1,976,480</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9"/>
        </w:trPr>
        <w:tc>
          <w:tcPr>
            <w:tcW w:w="28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Cemetery perpetual care trust investments (1)</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975,673</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975,673</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9"/>
        </w:trPr>
        <w:tc>
          <w:tcPr>
            <w:tcW w:w="2880" w:type="dxa"/>
            <w:vAlign w:val="bottom"/>
            <w:gridSpan w:val="3"/>
          </w:tcPr>
          <w:p>
            <w:pPr>
              <w:ind w:left="20"/>
              <w:spacing w:after="0"/>
              <w:rPr>
                <w:sz w:val="20"/>
                <w:szCs w:val="20"/>
                <w:color w:val="auto"/>
              </w:rPr>
            </w:pPr>
            <w:r>
              <w:rPr>
                <w:rFonts w:ascii="Arial" w:cs="Arial" w:eastAsia="Arial" w:hAnsi="Arial"/>
                <w:sz w:val="12"/>
                <w:szCs w:val="12"/>
                <w:color w:val="auto"/>
              </w:rPr>
              <w:t>Cemetery perpetual care trust investments (2)</w:t>
            </w: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1,605,451</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1,605,451</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9"/>
        </w:trPr>
        <w:tc>
          <w:tcPr>
            <w:tcW w:w="28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Derivatives - loan commitments (3)</w:t>
            </w:r>
          </w:p>
        </w:tc>
        <w:tc>
          <w:tcPr>
            <w:tcW w:w="3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2,722,580</w:t>
            </w:r>
          </w:p>
        </w:tc>
        <w:tc>
          <w:tcPr>
            <w:tcW w:w="1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2,722,580</w:t>
            </w:r>
          </w:p>
        </w:tc>
        <w:tc>
          <w:tcPr>
            <w:tcW w:w="0" w:type="dxa"/>
            <w:vAlign w:val="bottom"/>
          </w:tcPr>
          <w:p>
            <w:pPr>
              <w:spacing w:after="0"/>
              <w:rPr>
                <w:sz w:val="1"/>
                <w:szCs w:val="1"/>
                <w:color w:val="auto"/>
              </w:rPr>
            </w:pPr>
          </w:p>
        </w:tc>
      </w:tr>
      <w:tr>
        <w:trPr>
          <w:trHeight w:val="233"/>
        </w:trPr>
        <w:tc>
          <w:tcPr>
            <w:tcW w:w="2880" w:type="dxa"/>
            <w:vAlign w:val="bottom"/>
            <w:gridSpan w:val="3"/>
          </w:tcPr>
          <w:p>
            <w:pPr>
              <w:ind w:left="20"/>
              <w:spacing w:after="0"/>
              <w:rPr>
                <w:sz w:val="20"/>
                <w:szCs w:val="20"/>
                <w:color w:val="auto"/>
              </w:rPr>
            </w:pPr>
            <w:r>
              <w:rPr>
                <w:rFonts w:ascii="Arial" w:cs="Arial" w:eastAsia="Arial" w:hAnsi="Arial"/>
                <w:sz w:val="12"/>
                <w:szCs w:val="12"/>
                <w:color w:val="auto"/>
              </w:rPr>
              <w:t>Total assets accounted for at fair value on a</w:t>
            </w:r>
          </w:p>
        </w:tc>
        <w:tc>
          <w:tcPr>
            <w:tcW w:w="360" w:type="dxa"/>
            <w:vAlign w:val="bottom"/>
            <w:vMerge w:val="restart"/>
          </w:tcPr>
          <w:p>
            <w:pPr>
              <w:jc w:val="right"/>
              <w:ind w:right="18"/>
              <w:spacing w:after="0"/>
              <w:rPr>
                <w:sz w:val="20"/>
                <w:szCs w:val="20"/>
                <w:color w:val="auto"/>
              </w:rPr>
            </w:pPr>
            <w:r>
              <w:rPr>
                <w:rFonts w:ascii="Arial" w:cs="Arial" w:eastAsia="Arial" w:hAnsi="Arial"/>
                <w:sz w:val="12"/>
                <w:szCs w:val="12"/>
                <w:color w:val="auto"/>
              </w:rPr>
              <w:t>$</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584,995,668</w:t>
            </w:r>
          </w:p>
        </w:tc>
        <w:tc>
          <w:tcPr>
            <w:tcW w:w="180" w:type="dxa"/>
            <w:vAlign w:val="bottom"/>
          </w:tcPr>
          <w:p>
            <w:pPr>
              <w:spacing w:after="0"/>
              <w:rPr>
                <w:sz w:val="20"/>
                <w:szCs w:val="20"/>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10,853,096</w:t>
            </w:r>
          </w:p>
        </w:tc>
        <w:tc>
          <w:tcPr>
            <w:tcW w:w="180" w:type="dxa"/>
            <w:vAlign w:val="bottom"/>
          </w:tcPr>
          <w:p>
            <w:pPr>
              <w:spacing w:after="0"/>
              <w:rPr>
                <w:sz w:val="20"/>
                <w:szCs w:val="20"/>
                <w:color w:val="auto"/>
              </w:rPr>
            </w:pPr>
          </w:p>
        </w:tc>
        <w:tc>
          <w:tcPr>
            <w:tcW w:w="3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354,745,978</w:t>
            </w:r>
          </w:p>
        </w:tc>
        <w:tc>
          <w:tcPr>
            <w:tcW w:w="180" w:type="dxa"/>
            <w:vAlign w:val="bottom"/>
          </w:tcPr>
          <w:p>
            <w:pPr>
              <w:spacing w:after="0"/>
              <w:rPr>
                <w:sz w:val="20"/>
                <w:szCs w:val="20"/>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219,396,594</w:t>
            </w:r>
          </w:p>
        </w:tc>
        <w:tc>
          <w:tcPr>
            <w:tcW w:w="0" w:type="dxa"/>
            <w:vAlign w:val="bottom"/>
          </w:tcPr>
          <w:p>
            <w:pPr>
              <w:spacing w:after="0"/>
              <w:rPr>
                <w:sz w:val="1"/>
                <w:szCs w:val="1"/>
                <w:color w:val="auto"/>
              </w:rPr>
            </w:pPr>
          </w:p>
        </w:tc>
      </w:tr>
      <w:tr>
        <w:trPr>
          <w:trHeight w:val="184"/>
        </w:trPr>
        <w:tc>
          <w:tcPr>
            <w:tcW w:w="20" w:type="dxa"/>
            <w:vAlign w:val="bottom"/>
            <w:tcBorders>
              <w:bottom w:val="single" w:sz="8" w:color="CCEEFF"/>
            </w:tcBorders>
          </w:tcPr>
          <w:p>
            <w:pPr>
              <w:spacing w:after="0"/>
              <w:rPr>
                <w:sz w:val="16"/>
                <w:szCs w:val="16"/>
                <w:color w:val="auto"/>
              </w:rPr>
            </w:pPr>
          </w:p>
        </w:tc>
        <w:tc>
          <w:tcPr>
            <w:tcW w:w="2860" w:type="dxa"/>
            <w:vAlign w:val="bottom"/>
            <w:tcBorders>
              <w:bottom w:val="single" w:sz="8" w:color="CCEEFF"/>
            </w:tcBorders>
            <w:gridSpan w:val="2"/>
          </w:tcPr>
          <w:p>
            <w:pPr>
              <w:ind w:left="60"/>
              <w:spacing w:after="0"/>
              <w:rPr>
                <w:sz w:val="20"/>
                <w:szCs w:val="20"/>
                <w:color w:val="auto"/>
              </w:rPr>
            </w:pPr>
            <w:r>
              <w:rPr>
                <w:rFonts w:ascii="Arial" w:cs="Arial" w:eastAsia="Arial" w:hAnsi="Arial"/>
                <w:sz w:val="12"/>
                <w:szCs w:val="12"/>
                <w:color w:val="auto"/>
              </w:rPr>
              <w:t>recurring basis</w:t>
            </w:r>
          </w:p>
        </w:tc>
        <w:tc>
          <w:tcPr>
            <w:tcW w:w="36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9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2880" w:type="dxa"/>
            <w:vAlign w:val="bottom"/>
            <w:gridSpan w:val="3"/>
          </w:tcPr>
          <w:p>
            <w:pPr>
              <w:ind w:left="20"/>
              <w:spacing w:after="0"/>
              <w:rPr>
                <w:sz w:val="20"/>
                <w:szCs w:val="20"/>
                <w:color w:val="auto"/>
              </w:rPr>
            </w:pPr>
            <w:r>
              <w:rPr>
                <w:rFonts w:ascii="Arial" w:cs="Arial" w:eastAsia="Arial" w:hAnsi="Arial"/>
                <w:sz w:val="12"/>
                <w:szCs w:val="12"/>
                <w:color w:val="auto"/>
              </w:rPr>
              <w:t>Liabilities accounted for at fair value on a</w:t>
            </w: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60" w:type="dxa"/>
            <w:vAlign w:val="bottom"/>
            <w:gridSpan w:val="2"/>
          </w:tcPr>
          <w:p>
            <w:pPr>
              <w:ind w:left="60"/>
              <w:spacing w:after="0"/>
              <w:rPr>
                <w:sz w:val="20"/>
                <w:szCs w:val="20"/>
                <w:color w:val="auto"/>
              </w:rPr>
            </w:pPr>
            <w:r>
              <w:rPr>
                <w:rFonts w:ascii="Arial" w:cs="Arial" w:eastAsia="Arial" w:hAnsi="Arial"/>
                <w:sz w:val="12"/>
                <w:szCs w:val="12"/>
                <w:color w:val="auto"/>
              </w:rPr>
              <w:t>recurring basis</w:t>
            </w: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8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Derivatives - call options (4)</w:t>
            </w:r>
          </w:p>
        </w:tc>
        <w:tc>
          <w:tcPr>
            <w:tcW w:w="36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(62,265)</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(62,265)</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9"/>
        </w:trPr>
        <w:tc>
          <w:tcPr>
            <w:tcW w:w="2880" w:type="dxa"/>
            <w:vAlign w:val="bottom"/>
            <w:gridSpan w:val="3"/>
          </w:tcPr>
          <w:p>
            <w:pPr>
              <w:ind w:left="20"/>
              <w:spacing w:after="0"/>
              <w:rPr>
                <w:sz w:val="20"/>
                <w:szCs w:val="20"/>
                <w:color w:val="auto"/>
              </w:rPr>
            </w:pPr>
            <w:r>
              <w:rPr>
                <w:rFonts w:ascii="Arial" w:cs="Arial" w:eastAsia="Arial" w:hAnsi="Arial"/>
                <w:sz w:val="12"/>
                <w:szCs w:val="12"/>
                <w:color w:val="auto"/>
              </w:rPr>
              <w:t>Derivatives - put options (4)</w:t>
            </w: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(22,282)</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(22,282)</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9"/>
        </w:trPr>
        <w:tc>
          <w:tcPr>
            <w:tcW w:w="28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Derivatives - loan commitments (4)</w:t>
            </w:r>
          </w:p>
        </w:tc>
        <w:tc>
          <w:tcPr>
            <w:tcW w:w="3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(231,347)</w:t>
            </w:r>
          </w:p>
        </w:tc>
        <w:tc>
          <w:tcPr>
            <w:tcW w:w="1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(231,347)</w:t>
            </w:r>
          </w:p>
        </w:tc>
        <w:tc>
          <w:tcPr>
            <w:tcW w:w="0" w:type="dxa"/>
            <w:vAlign w:val="bottom"/>
          </w:tcPr>
          <w:p>
            <w:pPr>
              <w:spacing w:after="0"/>
              <w:rPr>
                <w:sz w:val="1"/>
                <w:szCs w:val="1"/>
                <w:color w:val="auto"/>
              </w:rPr>
            </w:pPr>
          </w:p>
        </w:tc>
      </w:tr>
      <w:tr>
        <w:trPr>
          <w:trHeight w:val="233"/>
        </w:trPr>
        <w:tc>
          <w:tcPr>
            <w:tcW w:w="2880" w:type="dxa"/>
            <w:vAlign w:val="bottom"/>
            <w:gridSpan w:val="3"/>
          </w:tcPr>
          <w:p>
            <w:pPr>
              <w:ind w:left="20"/>
              <w:spacing w:after="0"/>
              <w:rPr>
                <w:sz w:val="20"/>
                <w:szCs w:val="20"/>
                <w:color w:val="auto"/>
              </w:rPr>
            </w:pPr>
            <w:r>
              <w:rPr>
                <w:rFonts w:ascii="Arial" w:cs="Arial" w:eastAsia="Arial" w:hAnsi="Arial"/>
                <w:sz w:val="12"/>
                <w:szCs w:val="12"/>
                <w:color w:val="auto"/>
              </w:rPr>
              <w:t>Total liabilities accounted for at fair value</w:t>
            </w:r>
          </w:p>
        </w:tc>
        <w:tc>
          <w:tcPr>
            <w:tcW w:w="360" w:type="dxa"/>
            <w:vAlign w:val="bottom"/>
            <w:vMerge w:val="restart"/>
          </w:tcPr>
          <w:p>
            <w:pPr>
              <w:jc w:val="right"/>
              <w:ind w:right="38"/>
              <w:spacing w:after="0"/>
              <w:rPr>
                <w:sz w:val="20"/>
                <w:szCs w:val="20"/>
                <w:color w:val="auto"/>
              </w:rPr>
            </w:pPr>
            <w:r>
              <w:rPr>
                <w:rFonts w:ascii="Arial" w:cs="Arial" w:eastAsia="Arial" w:hAnsi="Arial"/>
                <w:sz w:val="12"/>
                <w:szCs w:val="12"/>
                <w:color w:val="auto"/>
              </w:rPr>
              <w:t>$</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(315,894)</w:t>
            </w:r>
          </w:p>
        </w:tc>
        <w:tc>
          <w:tcPr>
            <w:tcW w:w="180" w:type="dxa"/>
            <w:vAlign w:val="bottom"/>
          </w:tcPr>
          <w:p>
            <w:pPr>
              <w:spacing w:after="0"/>
              <w:rPr>
                <w:sz w:val="20"/>
                <w:szCs w:val="20"/>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(84,547)</w:t>
            </w:r>
          </w:p>
        </w:tc>
        <w:tc>
          <w:tcPr>
            <w:tcW w:w="180" w:type="dxa"/>
            <w:vAlign w:val="bottom"/>
          </w:tcPr>
          <w:p>
            <w:pPr>
              <w:spacing w:after="0"/>
              <w:rPr>
                <w:sz w:val="20"/>
                <w:szCs w:val="20"/>
                <w:color w:val="auto"/>
              </w:rPr>
            </w:pPr>
          </w:p>
        </w:tc>
        <w:tc>
          <w:tcPr>
            <w:tcW w:w="3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0"/>
                <w:szCs w:val="20"/>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(231,347)</w:t>
            </w:r>
          </w:p>
        </w:tc>
        <w:tc>
          <w:tcPr>
            <w:tcW w:w="0" w:type="dxa"/>
            <w:vAlign w:val="bottom"/>
          </w:tcPr>
          <w:p>
            <w:pPr>
              <w:spacing w:after="0"/>
              <w:rPr>
                <w:sz w:val="1"/>
                <w:szCs w:val="1"/>
                <w:color w:val="auto"/>
              </w:rPr>
            </w:pPr>
          </w:p>
        </w:tc>
      </w:tr>
      <w:tr>
        <w:trPr>
          <w:trHeight w:val="184"/>
        </w:trPr>
        <w:tc>
          <w:tcPr>
            <w:tcW w:w="20" w:type="dxa"/>
            <w:vAlign w:val="bottom"/>
            <w:tcBorders>
              <w:bottom w:val="single" w:sz="8" w:color="CCEEFF"/>
            </w:tcBorders>
          </w:tcPr>
          <w:p>
            <w:pPr>
              <w:spacing w:after="0"/>
              <w:rPr>
                <w:sz w:val="16"/>
                <w:szCs w:val="16"/>
                <w:color w:val="auto"/>
              </w:rPr>
            </w:pPr>
          </w:p>
        </w:tc>
        <w:tc>
          <w:tcPr>
            <w:tcW w:w="2860" w:type="dxa"/>
            <w:vAlign w:val="bottom"/>
            <w:tcBorders>
              <w:bottom w:val="single" w:sz="8" w:color="CCEEFF"/>
            </w:tcBorders>
            <w:gridSpan w:val="2"/>
          </w:tcPr>
          <w:p>
            <w:pPr>
              <w:ind w:left="60"/>
              <w:spacing w:after="0"/>
              <w:rPr>
                <w:sz w:val="20"/>
                <w:szCs w:val="20"/>
                <w:color w:val="auto"/>
              </w:rPr>
            </w:pPr>
            <w:r>
              <w:rPr>
                <w:rFonts w:ascii="Arial" w:cs="Arial" w:eastAsia="Arial" w:hAnsi="Arial"/>
                <w:sz w:val="12"/>
                <w:szCs w:val="12"/>
                <w:color w:val="auto"/>
              </w:rPr>
              <w:t>on a recurring basis</w:t>
            </w:r>
          </w:p>
        </w:tc>
        <w:tc>
          <w:tcPr>
            <w:tcW w:w="36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spacing w:after="0"/>
              <w:rPr>
                <w:sz w:val="10"/>
                <w:szCs w:val="10"/>
                <w:color w:val="auto"/>
              </w:rPr>
            </w:pPr>
          </w:p>
        </w:tc>
        <w:tc>
          <w:tcPr>
            <w:tcW w:w="196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30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200" w:hanging="183"/>
        <w:spacing w:after="0"/>
        <w:tabs>
          <w:tab w:leader="none" w:pos="200" w:val="left"/>
        </w:tabs>
        <w:numPr>
          <w:ilvl w:val="0"/>
          <w:numId w:val="39"/>
        </w:numPr>
        <w:rPr>
          <w:rFonts w:ascii="Arial" w:cs="Arial" w:eastAsia="Arial" w:hAnsi="Arial"/>
          <w:sz w:val="12"/>
          <w:szCs w:val="12"/>
          <w:color w:val="auto"/>
        </w:rPr>
      </w:pPr>
      <w:r>
        <w:rPr>
          <w:rFonts w:ascii="Arial" w:cs="Arial" w:eastAsia="Arial" w:hAnsi="Arial"/>
          <w:sz w:val="12"/>
          <w:szCs w:val="12"/>
          <w:color w:val="auto"/>
        </w:rPr>
        <w:t>Fixed maturity securities available for sale</w:t>
      </w:r>
    </w:p>
    <w:p>
      <w:pPr>
        <w:spacing w:after="0" w:line="60" w:lineRule="exact"/>
        <w:rPr>
          <w:rFonts w:ascii="Arial" w:cs="Arial" w:eastAsia="Arial" w:hAnsi="Arial"/>
          <w:sz w:val="12"/>
          <w:szCs w:val="12"/>
          <w:color w:val="auto"/>
        </w:rPr>
      </w:pPr>
    </w:p>
    <w:p>
      <w:pPr>
        <w:ind w:left="200" w:hanging="183"/>
        <w:spacing w:after="0"/>
        <w:tabs>
          <w:tab w:leader="none" w:pos="200" w:val="left"/>
        </w:tabs>
        <w:numPr>
          <w:ilvl w:val="0"/>
          <w:numId w:val="39"/>
        </w:numPr>
        <w:rPr>
          <w:rFonts w:ascii="Arial" w:cs="Arial" w:eastAsia="Arial" w:hAnsi="Arial"/>
          <w:sz w:val="12"/>
          <w:szCs w:val="12"/>
          <w:color w:val="auto"/>
        </w:rPr>
      </w:pPr>
      <w:r>
        <w:rPr>
          <w:rFonts w:ascii="Arial" w:cs="Arial" w:eastAsia="Arial" w:hAnsi="Arial"/>
          <w:sz w:val="12"/>
          <w:szCs w:val="12"/>
          <w:color w:val="auto"/>
        </w:rPr>
        <w:t>Mutual funds and equity securities</w:t>
      </w:r>
    </w:p>
    <w:p>
      <w:pPr>
        <w:spacing w:after="0" w:line="60" w:lineRule="exact"/>
        <w:rPr>
          <w:rFonts w:ascii="Arial" w:cs="Arial" w:eastAsia="Arial" w:hAnsi="Arial"/>
          <w:sz w:val="12"/>
          <w:szCs w:val="12"/>
          <w:color w:val="auto"/>
        </w:rPr>
      </w:pPr>
    </w:p>
    <w:p>
      <w:pPr>
        <w:ind w:left="200" w:hanging="183"/>
        <w:spacing w:after="0"/>
        <w:tabs>
          <w:tab w:leader="none" w:pos="200" w:val="left"/>
        </w:tabs>
        <w:numPr>
          <w:ilvl w:val="0"/>
          <w:numId w:val="39"/>
        </w:numPr>
        <w:rPr>
          <w:rFonts w:ascii="Arial" w:cs="Arial" w:eastAsia="Arial" w:hAnsi="Arial"/>
          <w:sz w:val="12"/>
          <w:szCs w:val="12"/>
          <w:color w:val="auto"/>
        </w:rPr>
      </w:pPr>
      <w:r>
        <w:rPr>
          <w:rFonts w:ascii="Arial" w:cs="Arial" w:eastAsia="Arial" w:hAnsi="Arial"/>
          <w:sz w:val="12"/>
          <w:szCs w:val="12"/>
          <w:color w:val="auto"/>
        </w:rPr>
        <w:t>Included in other assets on the condensed consolidated balance sheets</w:t>
      </w:r>
    </w:p>
    <w:p>
      <w:pPr>
        <w:spacing w:after="0" w:line="60" w:lineRule="exact"/>
        <w:rPr>
          <w:rFonts w:ascii="Arial" w:cs="Arial" w:eastAsia="Arial" w:hAnsi="Arial"/>
          <w:sz w:val="12"/>
          <w:szCs w:val="12"/>
          <w:color w:val="auto"/>
        </w:rPr>
      </w:pPr>
    </w:p>
    <w:p>
      <w:pPr>
        <w:ind w:left="200" w:hanging="183"/>
        <w:spacing w:after="0"/>
        <w:tabs>
          <w:tab w:leader="none" w:pos="200" w:val="left"/>
        </w:tabs>
        <w:numPr>
          <w:ilvl w:val="0"/>
          <w:numId w:val="39"/>
        </w:numPr>
        <w:rPr>
          <w:rFonts w:ascii="Arial" w:cs="Arial" w:eastAsia="Arial" w:hAnsi="Arial"/>
          <w:sz w:val="12"/>
          <w:szCs w:val="12"/>
          <w:color w:val="auto"/>
        </w:rPr>
      </w:pPr>
      <w:r>
        <w:rPr>
          <w:rFonts w:ascii="Arial" w:cs="Arial" w:eastAsia="Arial" w:hAnsi="Arial"/>
          <w:sz w:val="12"/>
          <w:szCs w:val="12"/>
          <w:color w:val="auto"/>
        </w:rPr>
        <w:t>Included in other liabilities and accrued expenses on the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-366395</wp:posOffset>
            </wp:positionV>
            <wp:extent cx="4989830" cy="1263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989830" cy="1263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-114300</wp:posOffset>
            </wp:positionV>
            <wp:extent cx="4989830" cy="1263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989830" cy="126365"/>
                    </a:xfrm>
                    <a:prstGeom prst="rect">
                      <a:avLst/>
                    </a:prstGeom>
                    <a:noFill/>
                  </pic:spPr>
                </pic:pic>
              </a:graphicData>
            </a:graphic>
          </wp:anchor>
        </w:drawing>
      </w:r>
    </w:p>
    <w:p>
      <w:pPr>
        <w:spacing w:after="0" w:line="182" w:lineRule="exact"/>
        <w:rPr>
          <w:sz w:val="20"/>
          <w:szCs w:val="20"/>
          <w:color w:val="auto"/>
        </w:rPr>
      </w:pPr>
    </w:p>
    <w:p>
      <w:pPr>
        <w:ind w:right="1519"/>
        <w:spacing w:after="0" w:line="270" w:lineRule="auto"/>
        <w:rPr>
          <w:sz w:val="20"/>
          <w:szCs w:val="20"/>
          <w:color w:val="auto"/>
        </w:rPr>
      </w:pPr>
      <w:r>
        <w:rPr>
          <w:rFonts w:ascii="Arial" w:cs="Arial" w:eastAsia="Arial" w:hAnsi="Arial"/>
          <w:sz w:val="17"/>
          <w:szCs w:val="17"/>
          <w:color w:val="auto"/>
        </w:rPr>
        <w:t>For Level 3 assets and liabilities measured at fair value on a recurring basis as of December 31, 2019, the significant unobservable inputs used in the fair value measurements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2"/>
                <w:szCs w:val="12"/>
                <w:color w:val="auto"/>
              </w:rPr>
              <w:t>Significant</w:t>
            </w:r>
          </w:p>
        </w:tc>
        <w:tc>
          <w:tcPr>
            <w:tcW w:w="1240" w:type="dxa"/>
            <w:vAlign w:val="bottom"/>
            <w:tcBorders>
              <w:bottom w:val="single" w:sz="8" w:color="auto"/>
            </w:tcBorders>
            <w:gridSpan w:val="2"/>
          </w:tcPr>
          <w:p>
            <w:pPr>
              <w:jc w:val="right"/>
              <w:ind w:right="158"/>
              <w:spacing w:after="0"/>
              <w:rPr>
                <w:sz w:val="20"/>
                <w:szCs w:val="20"/>
                <w:color w:val="auto"/>
              </w:rPr>
            </w:pPr>
            <w:r>
              <w:rPr>
                <w:rFonts w:ascii="Arial" w:cs="Arial" w:eastAsia="Arial" w:hAnsi="Arial"/>
                <w:sz w:val="12"/>
                <w:szCs w:val="12"/>
                <w:color w:val="auto"/>
              </w:rPr>
              <w:t>Range of Inputs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80"/>
        </w:trPr>
        <w:tc>
          <w:tcPr>
            <w:tcW w:w="2260" w:type="dxa"/>
            <w:vAlign w:val="bottom"/>
          </w:tcPr>
          <w:p>
            <w:pPr>
              <w:spacing w:after="0"/>
              <w:rPr>
                <w:sz w:val="15"/>
                <w:szCs w:val="15"/>
                <w:color w:val="auto"/>
              </w:rPr>
            </w:pPr>
          </w:p>
        </w:tc>
        <w:tc>
          <w:tcPr>
            <w:tcW w:w="920" w:type="dxa"/>
            <w:vAlign w:val="bottom"/>
            <w:gridSpan w:val="2"/>
          </w:tcPr>
          <w:p>
            <w:pPr>
              <w:ind w:left="80"/>
              <w:spacing w:after="0"/>
              <w:rPr>
                <w:sz w:val="20"/>
                <w:szCs w:val="20"/>
                <w:color w:val="auto"/>
              </w:rPr>
            </w:pPr>
            <w:r>
              <w:rPr>
                <w:rFonts w:ascii="Arial" w:cs="Arial" w:eastAsia="Arial" w:hAnsi="Arial"/>
                <w:sz w:val="12"/>
                <w:szCs w:val="12"/>
                <w:color w:val="auto"/>
              </w:rPr>
              <w:t>Fair Value at</w:t>
            </w:r>
          </w:p>
        </w:tc>
        <w:tc>
          <w:tcPr>
            <w:tcW w:w="1020" w:type="dxa"/>
            <w:vAlign w:val="bottom"/>
            <w:gridSpan w:val="2"/>
          </w:tcPr>
          <w:p>
            <w:pPr>
              <w:jc w:val="center"/>
              <w:ind w:right="120"/>
              <w:spacing w:after="0"/>
              <w:rPr>
                <w:sz w:val="20"/>
                <w:szCs w:val="20"/>
                <w:color w:val="auto"/>
              </w:rPr>
            </w:pPr>
            <w:r>
              <w:rPr>
                <w:rFonts w:ascii="Arial" w:cs="Arial" w:eastAsia="Arial" w:hAnsi="Arial"/>
                <w:sz w:val="12"/>
                <w:szCs w:val="12"/>
                <w:color w:val="auto"/>
                <w:w w:val="91"/>
              </w:rPr>
              <w:t>Valuation</w:t>
            </w:r>
          </w:p>
        </w:tc>
        <w:tc>
          <w:tcPr>
            <w:tcW w:w="1680" w:type="dxa"/>
            <w:vAlign w:val="bottom"/>
            <w:gridSpan w:val="2"/>
          </w:tcPr>
          <w:p>
            <w:pPr>
              <w:jc w:val="center"/>
              <w:ind w:right="120"/>
              <w:spacing w:after="0"/>
              <w:rPr>
                <w:sz w:val="20"/>
                <w:szCs w:val="20"/>
                <w:color w:val="auto"/>
              </w:rPr>
            </w:pPr>
            <w:r>
              <w:rPr>
                <w:rFonts w:ascii="Arial" w:cs="Arial" w:eastAsia="Arial" w:hAnsi="Arial"/>
                <w:sz w:val="12"/>
                <w:szCs w:val="12"/>
                <w:color w:val="auto"/>
                <w:w w:val="91"/>
              </w:rPr>
              <w:t>Unobservable</w:t>
            </w:r>
          </w:p>
        </w:tc>
        <w:tc>
          <w:tcPr>
            <w:tcW w:w="640" w:type="dxa"/>
            <w:vAlign w:val="bottom"/>
          </w:tcPr>
          <w:p>
            <w:pPr>
              <w:jc w:val="right"/>
              <w:ind w:right="18"/>
              <w:spacing w:after="0"/>
              <w:rPr>
                <w:sz w:val="20"/>
                <w:szCs w:val="20"/>
                <w:color w:val="auto"/>
              </w:rPr>
            </w:pPr>
            <w:r>
              <w:rPr>
                <w:rFonts w:ascii="Arial" w:cs="Arial" w:eastAsia="Arial" w:hAnsi="Arial"/>
                <w:sz w:val="12"/>
                <w:szCs w:val="12"/>
                <w:color w:val="auto"/>
              </w:rPr>
              <w:t>Minimum</w:t>
            </w:r>
          </w:p>
        </w:tc>
        <w:tc>
          <w:tcPr>
            <w:tcW w:w="740" w:type="dxa"/>
            <w:vAlign w:val="bottom"/>
            <w:gridSpan w:val="2"/>
          </w:tcPr>
          <w:p>
            <w:pPr>
              <w:ind w:left="40"/>
              <w:spacing w:after="0"/>
              <w:rPr>
                <w:sz w:val="20"/>
                <w:szCs w:val="20"/>
                <w:color w:val="auto"/>
              </w:rPr>
            </w:pPr>
            <w:r>
              <w:rPr>
                <w:rFonts w:ascii="Arial" w:cs="Arial" w:eastAsia="Arial" w:hAnsi="Arial"/>
                <w:sz w:val="12"/>
                <w:szCs w:val="12"/>
                <w:color w:val="auto"/>
              </w:rPr>
              <w:t>Maximum</w:t>
            </w:r>
          </w:p>
        </w:tc>
        <w:tc>
          <w:tcPr>
            <w:tcW w:w="600" w:type="dxa"/>
            <w:vAlign w:val="bottom"/>
          </w:tcPr>
          <w:p>
            <w:pPr>
              <w:jc w:val="right"/>
              <w:spacing w:after="0"/>
              <w:rPr>
                <w:sz w:val="20"/>
                <w:szCs w:val="20"/>
                <w:color w:val="auto"/>
              </w:rPr>
            </w:pPr>
            <w:r>
              <w:rPr>
                <w:rFonts w:ascii="Arial" w:cs="Arial" w:eastAsia="Arial" w:hAnsi="Arial"/>
                <w:sz w:val="12"/>
                <w:szCs w:val="12"/>
                <w:color w:val="auto"/>
              </w:rPr>
              <w:t>Weighted</w:t>
            </w:r>
          </w:p>
        </w:tc>
      </w:tr>
      <w:tr>
        <w:trPr>
          <w:trHeight w:val="198"/>
        </w:trPr>
        <w:tc>
          <w:tcPr>
            <w:tcW w:w="226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12/31/2019</w:t>
            </w: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9"/>
              </w:rPr>
              <w:t>Technique</w:t>
            </w:r>
          </w:p>
        </w:tc>
        <w:tc>
          <w:tcPr>
            <w:tcW w:w="12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8"/>
              </w:rPr>
              <w:t>Input(s)</w:t>
            </w:r>
          </w:p>
        </w:tc>
        <w:tc>
          <w:tcPr>
            <w:tcW w:w="12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Value</w:t>
            </w:r>
          </w:p>
        </w:tc>
        <w:tc>
          <w:tcPr>
            <w:tcW w:w="60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Value</w:t>
            </w:r>
          </w:p>
        </w:tc>
        <w:tc>
          <w:tcPr>
            <w:tcW w:w="14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Average</w:t>
            </w:r>
          </w:p>
        </w:tc>
      </w:tr>
      <w:tr>
        <w:trPr>
          <w:trHeight w:val="292"/>
        </w:trPr>
        <w:tc>
          <w:tcPr>
            <w:tcW w:w="22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Investor contract pricing as a</w:t>
            </w:r>
          </w:p>
        </w:tc>
        <w:tc>
          <w:tcPr>
            <w:tcW w:w="6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r>
      <w:tr>
        <w:trPr>
          <w:trHeight w:val="129"/>
        </w:trPr>
        <w:tc>
          <w:tcPr>
            <w:tcW w:w="22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8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2"/>
                <w:szCs w:val="12"/>
                <w:color w:val="auto"/>
              </w:rPr>
              <w:t>percentage of unpaid principal</w:t>
            </w:r>
          </w:p>
        </w:tc>
        <w:tc>
          <w:tcPr>
            <w:tcW w:w="6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r>
      <w:tr>
        <w:trPr>
          <w:trHeight w:val="156"/>
        </w:trPr>
        <w:tc>
          <w:tcPr>
            <w:tcW w:w="2260" w:type="dxa"/>
            <w:vAlign w:val="bottom"/>
            <w:shd w:val="clear" w:color="auto" w:fill="CCEEFF"/>
          </w:tcPr>
          <w:p>
            <w:pPr>
              <w:ind w:left="20"/>
              <w:spacing w:after="0"/>
              <w:rPr>
                <w:sz w:val="20"/>
                <w:szCs w:val="20"/>
                <w:color w:val="auto"/>
              </w:rPr>
            </w:pPr>
            <w:r>
              <w:rPr>
                <w:rFonts w:ascii="Arial" w:cs="Arial" w:eastAsia="Arial" w:hAnsi="Arial"/>
                <w:sz w:val="12"/>
                <w:szCs w:val="12"/>
                <w:color w:val="auto"/>
              </w:rPr>
              <w:t>Loans held for sale</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4"/>
              </w:rPr>
              <w:t>$  213,457,632</w:t>
            </w:r>
          </w:p>
        </w:tc>
        <w:tc>
          <w:tcPr>
            <w:tcW w:w="1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center"/>
              <w:ind w:right="140"/>
              <w:spacing w:after="0"/>
              <w:rPr>
                <w:sz w:val="20"/>
                <w:szCs w:val="20"/>
                <w:color w:val="auto"/>
              </w:rPr>
            </w:pPr>
            <w:r>
              <w:rPr>
                <w:rFonts w:ascii="Arial" w:cs="Arial" w:eastAsia="Arial" w:hAnsi="Arial"/>
                <w:sz w:val="12"/>
                <w:szCs w:val="12"/>
                <w:color w:val="auto"/>
                <w:w w:val="93"/>
              </w:rPr>
              <w:t>Market approach</w:t>
            </w:r>
          </w:p>
        </w:tc>
        <w:tc>
          <w:tcPr>
            <w:tcW w:w="16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balance</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98.0%</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109.0%</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103.0%</w:t>
            </w:r>
          </w:p>
        </w:tc>
      </w:tr>
      <w:tr>
        <w:trPr>
          <w:trHeight w:val="152"/>
        </w:trPr>
        <w:tc>
          <w:tcPr>
            <w:tcW w:w="2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99"/>
        </w:trPr>
        <w:tc>
          <w:tcPr>
            <w:tcW w:w="226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Derivatives - loan commitments (net)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2,491,233</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right="140"/>
              <w:spacing w:after="0"/>
              <w:rPr>
                <w:sz w:val="20"/>
                <w:szCs w:val="20"/>
                <w:color w:val="auto"/>
              </w:rPr>
            </w:pPr>
            <w:r>
              <w:rPr>
                <w:rFonts w:ascii="Arial" w:cs="Arial" w:eastAsia="Arial" w:hAnsi="Arial"/>
                <w:sz w:val="12"/>
                <w:szCs w:val="12"/>
                <w:color w:val="auto"/>
                <w:w w:val="93"/>
              </w:rPr>
              <w:t>Market approach</w:t>
            </w:r>
          </w:p>
        </w:tc>
        <w:tc>
          <w:tcPr>
            <w:tcW w:w="16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Fall-out factor</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92.0%</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81.0%</w:t>
            </w:r>
          </w:p>
        </w:tc>
      </w:tr>
      <w:tr>
        <w:trPr>
          <w:trHeight w:val="199"/>
        </w:trPr>
        <w:tc>
          <w:tcPr>
            <w:tcW w:w="2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ind w:left="20"/>
              <w:spacing w:after="0"/>
              <w:rPr>
                <w:sz w:val="20"/>
                <w:szCs w:val="20"/>
                <w:color w:val="auto"/>
              </w:rPr>
            </w:pPr>
            <w:r>
              <w:rPr>
                <w:rFonts w:ascii="Arial" w:cs="Arial" w:eastAsia="Arial" w:hAnsi="Arial"/>
                <w:sz w:val="12"/>
                <w:szCs w:val="12"/>
                <w:color w:val="auto"/>
              </w:rPr>
              <w:t>Initial-Value</w:t>
            </w:r>
          </w:p>
        </w:tc>
        <w:tc>
          <w:tcPr>
            <w:tcW w:w="640" w:type="dxa"/>
            <w:vAlign w:val="bottom"/>
          </w:tcPr>
          <w:p>
            <w:pPr>
              <w:jc w:val="right"/>
              <w:spacing w:after="0"/>
              <w:rPr>
                <w:sz w:val="20"/>
                <w:szCs w:val="20"/>
                <w:color w:val="auto"/>
              </w:rPr>
            </w:pPr>
            <w:r>
              <w:rPr>
                <w:rFonts w:ascii="Arial" w:cs="Arial" w:eastAsia="Arial" w:hAnsi="Arial"/>
                <w:sz w:val="12"/>
                <w:szCs w:val="12"/>
                <w:color w:val="auto"/>
              </w:rPr>
              <w:t>N/A</w:t>
            </w: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N/A</w:t>
            </w:r>
          </w:p>
        </w:tc>
        <w:tc>
          <w:tcPr>
            <w:tcW w:w="600" w:type="dxa"/>
            <w:vAlign w:val="bottom"/>
          </w:tcPr>
          <w:p>
            <w:pPr>
              <w:jc w:val="right"/>
              <w:spacing w:after="0"/>
              <w:rPr>
                <w:sz w:val="20"/>
                <w:szCs w:val="20"/>
                <w:color w:val="auto"/>
              </w:rPr>
            </w:pPr>
            <w:r>
              <w:rPr>
                <w:rFonts w:ascii="Arial" w:cs="Arial" w:eastAsia="Arial" w:hAnsi="Arial"/>
                <w:sz w:val="12"/>
                <w:szCs w:val="12"/>
                <w:color w:val="auto"/>
              </w:rPr>
              <w:t>N/A</w:t>
            </w:r>
          </w:p>
        </w:tc>
      </w:tr>
      <w:tr>
        <w:trPr>
          <w:trHeight w:val="199"/>
        </w:trPr>
        <w:tc>
          <w:tcPr>
            <w:tcW w:w="2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Servicing</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 bps</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318 bps</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 bps</w:t>
            </w:r>
          </w:p>
        </w:tc>
      </w:tr>
      <w:tr>
        <w:trPr>
          <w:trHeight w:val="152"/>
        </w:trPr>
        <w:tc>
          <w:tcPr>
            <w:tcW w:w="2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24"/>
        </w:trPr>
        <w:tc>
          <w:tcPr>
            <w:tcW w:w="2260" w:type="dxa"/>
            <w:vAlign w:val="bottom"/>
            <w:shd w:val="clear" w:color="auto" w:fill="CCEEFF"/>
          </w:tcPr>
          <w:p>
            <w:pPr>
              <w:ind w:left="20"/>
              <w:spacing w:after="0" w:line="125" w:lineRule="exact"/>
              <w:rPr>
                <w:sz w:val="20"/>
                <w:szCs w:val="20"/>
                <w:color w:val="auto"/>
              </w:rPr>
            </w:pPr>
            <w:r>
              <w:rPr>
                <w:rFonts w:ascii="Arial" w:cs="Arial" w:eastAsia="Arial" w:hAnsi="Arial"/>
                <w:sz w:val="12"/>
                <w:szCs w:val="12"/>
                <w:color w:val="auto"/>
              </w:rPr>
              <w:t>Fixed maturity securities available for</w:t>
            </w: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r>
      <w:tr>
        <w:trPr>
          <w:trHeight w:val="156"/>
        </w:trPr>
        <w:tc>
          <w:tcPr>
            <w:tcW w:w="2260" w:type="dxa"/>
            <w:vAlign w:val="bottom"/>
            <w:shd w:val="clear" w:color="auto" w:fill="CCEEFF"/>
          </w:tcPr>
          <w:p>
            <w:pPr>
              <w:ind w:left="20"/>
              <w:spacing w:after="0"/>
              <w:rPr>
                <w:sz w:val="20"/>
                <w:szCs w:val="20"/>
                <w:color w:val="auto"/>
              </w:rPr>
            </w:pPr>
            <w:r>
              <w:rPr>
                <w:rFonts w:ascii="Arial" w:cs="Arial" w:eastAsia="Arial" w:hAnsi="Arial"/>
                <w:sz w:val="12"/>
                <w:szCs w:val="12"/>
                <w:color w:val="auto"/>
              </w:rPr>
              <w:t>sale</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3,216,382</w:t>
            </w:r>
          </w:p>
        </w:tc>
        <w:tc>
          <w:tcPr>
            <w:tcW w:w="1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Broker quotes</w:t>
            </w:r>
          </w:p>
        </w:tc>
        <w:tc>
          <w:tcPr>
            <w:tcW w:w="16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Pricing quotes</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95.02</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$ 115.80</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107.98</w:t>
            </w:r>
          </w:p>
        </w:tc>
      </w:tr>
    </w:tbl>
    <w:p>
      <w:pPr>
        <w:spacing w:after="0" w:line="196"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93345</wp:posOffset>
            </wp:positionV>
            <wp:extent cx="498983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989830" cy="29845"/>
                    </a:xfrm>
                    <a:prstGeom prst="rect">
                      <a:avLst/>
                    </a:prstGeom>
                    <a:noFill/>
                  </pic:spPr>
                </pic:pic>
              </a:graphicData>
            </a:graphic>
          </wp:anchor>
        </w:drawing>
      </w:r>
    </w:p>
    <w:p>
      <w:pPr>
        <w:sectPr>
          <w:pgSz w:w="11900" w:h="16838" w:orient="portrait"/>
          <w:cols w:equalWidth="0" w:num="1">
            <w:col w:w="9379"/>
          </w:cols>
          <w:pgMar w:left="1080" w:top="124" w:right="1440" w:bottom="1440" w:gutter="0" w:footer="0" w:header="0"/>
        </w:sectPr>
      </w:pPr>
    </w:p>
    <w:bookmarkStart w:id="35" w:name="page36"/>
    <w:bookmarkEnd w:id="35"/>
    <w:p>
      <w:pPr>
        <w:jc w:val="center"/>
        <w:ind w:right="1519"/>
        <w:spacing w:after="0" w:line="257" w:lineRule="auto"/>
        <w:rPr>
          <w:sz w:val="20"/>
          <w:szCs w:val="20"/>
          <w:color w:val="auto"/>
        </w:rPr>
      </w:pPr>
      <w:r>
        <w:rPr>
          <w:rFonts w:ascii="Arial" w:cs="Arial" w:eastAsia="Arial" w:hAnsi="Arial"/>
          <w:sz w:val="17"/>
          <w:szCs w:val="17"/>
          <w:color w:val="auto"/>
        </w:rPr>
        <w:t>SECURITY NATIONAL FINANCIAL CORPORATION AND SUBSIDIARIES Notes to Condensed Consolidated Financial Statements March 31, 2020 (Unaudited)</w:t>
      </w:r>
    </w:p>
    <w:p>
      <w:pPr>
        <w:spacing w:after="0" w:line="75" w:lineRule="exact"/>
        <w:rPr>
          <w:sz w:val="20"/>
          <w:szCs w:val="20"/>
          <w:color w:val="auto"/>
        </w:rPr>
      </w:pPr>
    </w:p>
    <w:p>
      <w:pPr>
        <w:ind w:left="420" w:hanging="415"/>
        <w:spacing w:after="0"/>
        <w:tabs>
          <w:tab w:leader="none" w:pos="420"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Fair Value of Financial Instruments</w:t>
      </w:r>
      <w:r>
        <w:rPr>
          <w:rFonts w:ascii="Arial" w:cs="Arial" w:eastAsia="Arial" w:hAnsi="Arial"/>
          <w:sz w:val="17"/>
          <w:szCs w:val="17"/>
          <w:color w:val="auto"/>
        </w:rPr>
        <w:t xml:space="preserve"> (Continued)</w:t>
      </w:r>
    </w:p>
    <w:p>
      <w:pPr>
        <w:spacing w:after="0" w:line="225" w:lineRule="exact"/>
        <w:rPr>
          <w:sz w:val="20"/>
          <w:szCs w:val="20"/>
          <w:color w:val="auto"/>
        </w:rPr>
      </w:pPr>
    </w:p>
    <w:p>
      <w:pPr>
        <w:ind w:right="1519"/>
        <w:spacing w:after="0" w:line="270" w:lineRule="auto"/>
        <w:rPr>
          <w:sz w:val="20"/>
          <w:szCs w:val="20"/>
          <w:color w:val="auto"/>
        </w:rPr>
      </w:pPr>
      <w:r>
        <w:rPr>
          <w:rFonts w:ascii="Arial" w:cs="Arial" w:eastAsia="Arial" w:hAnsi="Arial"/>
          <w:sz w:val="17"/>
          <w:szCs w:val="17"/>
          <w:color w:val="auto"/>
        </w:rPr>
        <w:t>Following is a summary of changes in the condensed consolidated balance sheet line items measured using level 3 inputs: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740" w:type="dxa"/>
            <w:vAlign w:val="bottom"/>
          </w:tcPr>
          <w:p>
            <w:pPr>
              <w:spacing w:after="0"/>
              <w:rPr>
                <w:sz w:val="12"/>
                <w:szCs w:val="12"/>
                <w:color w:val="auto"/>
              </w:rPr>
            </w:pPr>
          </w:p>
        </w:tc>
        <w:tc>
          <w:tcPr>
            <w:tcW w:w="1380" w:type="dxa"/>
            <w:vAlign w:val="bottom"/>
            <w:gridSpan w:val="3"/>
          </w:tcPr>
          <w:p>
            <w:pPr>
              <w:jc w:val="center"/>
              <w:ind w:right="180"/>
              <w:spacing w:after="0"/>
              <w:rPr>
                <w:sz w:val="20"/>
                <w:szCs w:val="20"/>
                <w:color w:val="auto"/>
              </w:rPr>
            </w:pPr>
            <w:r>
              <w:rPr>
                <w:rFonts w:ascii="Arial" w:cs="Arial" w:eastAsia="Arial" w:hAnsi="Arial"/>
                <w:sz w:val="12"/>
                <w:szCs w:val="12"/>
                <w:color w:val="auto"/>
                <w:w w:val="96"/>
              </w:rPr>
              <w:t>Net Derivatives Loan</w:t>
            </w: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right"/>
              <w:spacing w:after="0"/>
              <w:rPr>
                <w:sz w:val="20"/>
                <w:szCs w:val="20"/>
                <w:color w:val="auto"/>
              </w:rPr>
            </w:pPr>
            <w:r>
              <w:rPr>
                <w:rFonts w:ascii="Arial" w:cs="Arial" w:eastAsia="Arial" w:hAnsi="Arial"/>
                <w:sz w:val="12"/>
                <w:szCs w:val="12"/>
                <w:color w:val="auto"/>
                <w:w w:val="97"/>
              </w:rPr>
              <w:t>Fixed Maturity Securities</w:t>
            </w:r>
          </w:p>
        </w:tc>
      </w:tr>
      <w:tr>
        <w:trPr>
          <w:trHeight w:val="156"/>
        </w:trPr>
        <w:tc>
          <w:tcPr>
            <w:tcW w:w="3740" w:type="dxa"/>
            <w:vAlign w:val="bottom"/>
          </w:tcPr>
          <w:p>
            <w:pPr>
              <w:spacing w:after="0"/>
              <w:rPr>
                <w:sz w:val="13"/>
                <w:szCs w:val="13"/>
                <w:color w:val="auto"/>
              </w:rPr>
            </w:pPr>
          </w:p>
        </w:tc>
        <w:tc>
          <w:tcPr>
            <w:tcW w:w="1380" w:type="dxa"/>
            <w:vAlign w:val="bottom"/>
            <w:gridSpan w:val="3"/>
          </w:tcPr>
          <w:p>
            <w:pPr>
              <w:jc w:val="center"/>
              <w:ind w:right="160"/>
              <w:spacing w:after="0"/>
              <w:rPr>
                <w:sz w:val="20"/>
                <w:szCs w:val="20"/>
                <w:color w:val="auto"/>
              </w:rPr>
            </w:pPr>
            <w:r>
              <w:rPr>
                <w:rFonts w:ascii="Arial" w:cs="Arial" w:eastAsia="Arial" w:hAnsi="Arial"/>
                <w:sz w:val="12"/>
                <w:szCs w:val="12"/>
                <w:color w:val="auto"/>
                <w:w w:val="94"/>
              </w:rPr>
              <w:t>Commitments</w:t>
            </w:r>
          </w:p>
        </w:tc>
        <w:tc>
          <w:tcPr>
            <w:tcW w:w="1420" w:type="dxa"/>
            <w:vAlign w:val="bottom"/>
            <w:gridSpan w:val="3"/>
          </w:tcPr>
          <w:p>
            <w:pPr>
              <w:ind w:left="120"/>
              <w:spacing w:after="0"/>
              <w:rPr>
                <w:sz w:val="20"/>
                <w:szCs w:val="20"/>
                <w:color w:val="auto"/>
              </w:rPr>
            </w:pPr>
            <w:r>
              <w:rPr>
                <w:rFonts w:ascii="Arial" w:cs="Arial" w:eastAsia="Arial" w:hAnsi="Arial"/>
                <w:sz w:val="12"/>
                <w:szCs w:val="12"/>
                <w:color w:val="auto"/>
              </w:rPr>
              <w:t>Loans Held for Sale</w:t>
            </w:r>
          </w:p>
        </w:tc>
        <w:tc>
          <w:tcPr>
            <w:tcW w:w="1320" w:type="dxa"/>
            <w:vAlign w:val="bottom"/>
            <w:gridSpan w:val="2"/>
          </w:tcPr>
          <w:p>
            <w:pPr>
              <w:jc w:val="right"/>
              <w:ind w:right="158"/>
              <w:spacing w:after="0"/>
              <w:rPr>
                <w:sz w:val="20"/>
                <w:szCs w:val="20"/>
                <w:color w:val="auto"/>
              </w:rPr>
            </w:pPr>
            <w:r>
              <w:rPr>
                <w:rFonts w:ascii="Arial" w:cs="Arial" w:eastAsia="Arial" w:hAnsi="Arial"/>
                <w:sz w:val="12"/>
                <w:szCs w:val="12"/>
                <w:color w:val="auto"/>
              </w:rPr>
              <w:t>Available for Sale</w:t>
            </w:r>
          </w:p>
        </w:tc>
      </w:tr>
      <w:tr>
        <w:trPr>
          <w:trHeight w:val="179"/>
        </w:trPr>
        <w:tc>
          <w:tcPr>
            <w:tcW w:w="374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r>
      <w:tr>
        <w:trPr>
          <w:trHeight w:val="199"/>
        </w:trPr>
        <w:tc>
          <w:tcPr>
            <w:tcW w:w="3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 December 31, 2018</w:t>
            </w:r>
          </w:p>
        </w:tc>
        <w:tc>
          <w:tcPr>
            <w:tcW w:w="54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1,591,816</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136,210,853</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99"/>
        </w:trPr>
        <w:tc>
          <w:tcPr>
            <w:tcW w:w="3740" w:type="dxa"/>
            <w:vAlign w:val="bottom"/>
          </w:tcPr>
          <w:p>
            <w:pPr>
              <w:ind w:left="20"/>
              <w:spacing w:after="0"/>
              <w:rPr>
                <w:sz w:val="20"/>
                <w:szCs w:val="20"/>
                <w:color w:val="auto"/>
              </w:rPr>
            </w:pPr>
            <w:r>
              <w:rPr>
                <w:rFonts w:ascii="Arial" w:cs="Arial" w:eastAsia="Arial" w:hAnsi="Arial"/>
                <w:sz w:val="12"/>
                <w:szCs w:val="12"/>
                <w:color w:val="auto"/>
              </w:rPr>
              <w:t>Originations/purchases</w:t>
            </w:r>
          </w:p>
        </w:tc>
        <w:tc>
          <w:tcPr>
            <w:tcW w:w="5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2,606,839,175</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99"/>
        </w:trPr>
        <w:tc>
          <w:tcPr>
            <w:tcW w:w="3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Sales</w:t>
            </w: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(2,580,875,055)</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99"/>
        </w:trPr>
        <w:tc>
          <w:tcPr>
            <w:tcW w:w="3740" w:type="dxa"/>
            <w:vAlign w:val="bottom"/>
          </w:tcPr>
          <w:p>
            <w:pPr>
              <w:ind w:left="20"/>
              <w:spacing w:after="0"/>
              <w:rPr>
                <w:sz w:val="20"/>
                <w:szCs w:val="20"/>
                <w:color w:val="auto"/>
              </w:rPr>
            </w:pPr>
            <w:r>
              <w:rPr>
                <w:rFonts w:ascii="Arial" w:cs="Arial" w:eastAsia="Arial" w:hAnsi="Arial"/>
                <w:sz w:val="12"/>
                <w:szCs w:val="12"/>
                <w:color w:val="auto"/>
              </w:rPr>
              <w:t>Transfer to mortgage loans held for investment</w:t>
            </w:r>
          </w:p>
        </w:tc>
        <w:tc>
          <w:tcPr>
            <w:tcW w:w="5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(31,881,851)</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99"/>
        </w:trPr>
        <w:tc>
          <w:tcPr>
            <w:tcW w:w="3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Transfer from fixed maturity securities held to maturity</w:t>
            </w: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3,216,382</w:t>
            </w:r>
          </w:p>
        </w:tc>
      </w:tr>
      <w:tr>
        <w:trPr>
          <w:trHeight w:val="199"/>
        </w:trPr>
        <w:tc>
          <w:tcPr>
            <w:tcW w:w="3740" w:type="dxa"/>
            <w:vAlign w:val="bottom"/>
          </w:tcPr>
          <w:p>
            <w:pPr>
              <w:ind w:left="20"/>
              <w:spacing w:after="0"/>
              <w:rPr>
                <w:sz w:val="20"/>
                <w:szCs w:val="20"/>
                <w:color w:val="auto"/>
              </w:rPr>
            </w:pPr>
            <w:r>
              <w:rPr>
                <w:rFonts w:ascii="Arial" w:cs="Arial" w:eastAsia="Arial" w:hAnsi="Arial"/>
                <w:sz w:val="12"/>
                <w:szCs w:val="12"/>
                <w:color w:val="auto"/>
              </w:rPr>
              <w:t>Total gains (losses):</w:t>
            </w: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9"/>
        </w:trPr>
        <w:tc>
          <w:tcPr>
            <w:tcW w:w="37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Included in earnings (1)</w:t>
            </w: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899,417</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83,164,510</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2"/>
        </w:trPr>
        <w:tc>
          <w:tcPr>
            <w:tcW w:w="374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r>
      <w:tr>
        <w:trPr>
          <w:trHeight w:val="179"/>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 December 31, 2019</w:t>
            </w:r>
          </w:p>
        </w:tc>
        <w:tc>
          <w:tcPr>
            <w:tcW w:w="5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2,491,233</w:t>
            </w:r>
          </w:p>
        </w:tc>
        <w:tc>
          <w:tcPr>
            <w:tcW w:w="16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213,457,632</w:t>
            </w: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3,216,382</w:t>
            </w:r>
          </w:p>
        </w:tc>
      </w:tr>
      <w:tr>
        <w:trPr>
          <w:trHeight w:val="20"/>
        </w:trPr>
        <w:tc>
          <w:tcPr>
            <w:tcW w:w="37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4989830" cy="133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989830" cy="133350"/>
                    </a:xfrm>
                    <a:prstGeom prst="rect">
                      <a:avLst/>
                    </a:prstGeom>
                    <a:noFill/>
                  </pic:spPr>
                </pic:pic>
              </a:graphicData>
            </a:graphic>
          </wp:anchor>
        </w:drawing>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2"/>
          <w:szCs w:val="12"/>
          <w:color w:val="auto"/>
        </w:rPr>
        <w:t>(1) As a component of mortgage fee income on the condensed consolidated statements of earnings</w:t>
      </w:r>
    </w:p>
    <w:p>
      <w:pPr>
        <w:spacing w:after="0" w:line="202" w:lineRule="exact"/>
        <w:rPr>
          <w:sz w:val="20"/>
          <w:szCs w:val="20"/>
          <w:color w:val="auto"/>
        </w:rPr>
      </w:pPr>
    </w:p>
    <w:p>
      <w:pPr>
        <w:jc w:val="both"/>
        <w:ind w:right="1519"/>
        <w:spacing w:after="0" w:line="338" w:lineRule="auto"/>
        <w:rPr>
          <w:sz w:val="20"/>
          <w:szCs w:val="20"/>
          <w:color w:val="auto"/>
        </w:rPr>
      </w:pPr>
      <w:r>
        <w:rPr>
          <w:rFonts w:ascii="Arial" w:cs="Arial" w:eastAsia="Arial" w:hAnsi="Arial"/>
          <w:sz w:val="15"/>
          <w:szCs w:val="15"/>
          <w:color w:val="auto"/>
        </w:rPr>
        <w:t>The following tables summarize Level 1, 2 and 3 financial assets and financial liabilities measured at fair value on a nonrecurring basis by their classification in the condensed consolidated balance sheet at December 31, 2019.</w:t>
      </w:r>
    </w:p>
    <w:p>
      <w:pPr>
        <w:sectPr>
          <w:pgSz w:w="11900" w:h="16838" w:orient="portrait"/>
          <w:cols w:equalWidth="0" w:num="1">
            <w:col w:w="9379"/>
          </w:cols>
          <w:pgMar w:left="1080" w:top="12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80" w:right="560" w:hanging="61"/>
        <w:spacing w:after="0" w:line="256" w:lineRule="auto"/>
        <w:rPr>
          <w:sz w:val="20"/>
          <w:szCs w:val="20"/>
          <w:color w:val="auto"/>
        </w:rPr>
      </w:pPr>
      <w:r>
        <w:rPr>
          <w:rFonts w:ascii="Arial" w:cs="Arial" w:eastAsia="Arial" w:hAnsi="Arial"/>
          <w:sz w:val="12"/>
          <w:szCs w:val="12"/>
          <w:color w:val="auto"/>
        </w:rPr>
        <w:t>Assets accounted for at fair value on a nonrecurring basis</w:t>
      </w:r>
    </w:p>
    <w:p>
      <w:pPr>
        <w:spacing w:after="0" w:line="33" w:lineRule="exact"/>
        <w:rPr>
          <w:sz w:val="20"/>
          <w:szCs w:val="20"/>
          <w:color w:val="auto"/>
        </w:rPr>
      </w:pPr>
    </w:p>
    <w:p>
      <w:pPr>
        <w:ind w:left="20" w:right="220"/>
        <w:spacing w:after="0" w:line="388" w:lineRule="auto"/>
        <w:rPr>
          <w:sz w:val="20"/>
          <w:szCs w:val="20"/>
          <w:color w:val="auto"/>
        </w:rPr>
      </w:pPr>
      <w:r>
        <w:rPr>
          <w:rFonts w:ascii="Arial" w:cs="Arial" w:eastAsia="Arial" w:hAnsi="Arial"/>
          <w:sz w:val="11"/>
          <w:szCs w:val="11"/>
          <w:color w:val="auto"/>
        </w:rPr>
        <w:t>Impaired mortgage loans held for investment Impaired real estate held for investment</w:t>
      </w:r>
    </w:p>
    <w:p>
      <w:pPr>
        <w:ind w:left="80" w:right="400" w:hanging="61"/>
        <w:spacing w:after="0" w:line="256" w:lineRule="auto"/>
        <w:rPr>
          <w:sz w:val="20"/>
          <w:szCs w:val="20"/>
          <w:color w:val="auto"/>
        </w:rPr>
      </w:pPr>
      <w:r>
        <w:rPr>
          <w:rFonts w:ascii="Arial" w:cs="Arial" w:eastAsia="Arial" w:hAnsi="Arial"/>
          <w:sz w:val="12"/>
          <w:szCs w:val="12"/>
          <w:color w:val="auto"/>
        </w:rPr>
        <w:t>Total assets accounted for at fair value on a nonrecurring basis</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left="18"/>
              <w:spacing w:after="0"/>
              <w:rPr>
                <w:sz w:val="20"/>
                <w:szCs w:val="20"/>
                <w:color w:val="auto"/>
              </w:rPr>
            </w:pPr>
            <w:r>
              <w:rPr>
                <w:rFonts w:ascii="Arial" w:cs="Arial" w:eastAsia="Arial" w:hAnsi="Arial"/>
                <w:sz w:val="12"/>
                <w:szCs w:val="12"/>
                <w:color w:val="auto"/>
                <w:w w:val="94"/>
              </w:rPr>
              <w:t>Quoted Prices in</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center"/>
              <w:ind w:left="38"/>
              <w:spacing w:after="0"/>
              <w:rPr>
                <w:sz w:val="20"/>
                <w:szCs w:val="20"/>
                <w:color w:val="auto"/>
              </w:rPr>
            </w:pPr>
            <w:r>
              <w:rPr>
                <w:rFonts w:ascii="Arial" w:cs="Arial" w:eastAsia="Arial" w:hAnsi="Arial"/>
                <w:sz w:val="12"/>
                <w:szCs w:val="12"/>
                <w:color w:val="auto"/>
              </w:rPr>
              <w:t>Significant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spacing w:after="0"/>
              <w:rPr>
                <w:sz w:val="20"/>
                <w:szCs w:val="20"/>
                <w:color w:val="auto"/>
              </w:rPr>
            </w:pPr>
            <w:r>
              <w:rPr>
                <w:rFonts w:ascii="Arial" w:cs="Arial" w:eastAsia="Arial" w:hAnsi="Arial"/>
                <w:sz w:val="12"/>
                <w:szCs w:val="12"/>
                <w:color w:val="auto"/>
              </w:rPr>
              <w:t>Significant</w:t>
            </w:r>
          </w:p>
        </w:tc>
      </w:tr>
      <w:tr>
        <w:trPr>
          <w:trHeight w:val="129"/>
        </w:trPr>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jc w:val="center"/>
              <w:ind w:left="18"/>
              <w:spacing w:after="0" w:line="129" w:lineRule="exact"/>
              <w:rPr>
                <w:sz w:val="20"/>
                <w:szCs w:val="20"/>
                <w:color w:val="auto"/>
              </w:rPr>
            </w:pPr>
            <w:r>
              <w:rPr>
                <w:rFonts w:ascii="Arial" w:cs="Arial" w:eastAsia="Arial" w:hAnsi="Arial"/>
                <w:sz w:val="12"/>
                <w:szCs w:val="12"/>
                <w:color w:val="auto"/>
                <w:w w:val="99"/>
              </w:rPr>
              <w:t>Active Markets for</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center"/>
              <w:ind w:left="38"/>
              <w:spacing w:after="0" w:line="129" w:lineRule="exact"/>
              <w:rPr>
                <w:sz w:val="20"/>
                <w:szCs w:val="20"/>
                <w:color w:val="auto"/>
              </w:rPr>
            </w:pPr>
            <w:r>
              <w:rPr>
                <w:rFonts w:ascii="Arial" w:cs="Arial" w:eastAsia="Arial" w:hAnsi="Arial"/>
                <w:sz w:val="12"/>
                <w:szCs w:val="12"/>
                <w:color w:val="auto"/>
                <w:w w:val="91"/>
              </w:rPr>
              <w:t>Observable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center"/>
              <w:spacing w:after="0" w:line="129" w:lineRule="exact"/>
              <w:rPr>
                <w:sz w:val="20"/>
                <w:szCs w:val="20"/>
                <w:color w:val="auto"/>
              </w:rPr>
            </w:pPr>
            <w:r>
              <w:rPr>
                <w:rFonts w:ascii="Arial" w:cs="Arial" w:eastAsia="Arial" w:hAnsi="Arial"/>
                <w:sz w:val="12"/>
                <w:szCs w:val="12"/>
                <w:color w:val="auto"/>
                <w:w w:val="91"/>
              </w:rPr>
              <w:t>Unobservable</w:t>
            </w:r>
          </w:p>
        </w:tc>
      </w:tr>
      <w:tr>
        <w:trPr>
          <w:trHeight w:val="129"/>
        </w:trPr>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jc w:val="right"/>
              <w:ind w:right="38"/>
              <w:spacing w:after="0" w:line="129" w:lineRule="exact"/>
              <w:rPr>
                <w:sz w:val="20"/>
                <w:szCs w:val="20"/>
                <w:color w:val="auto"/>
              </w:rPr>
            </w:pPr>
            <w:r>
              <w:rPr>
                <w:rFonts w:ascii="Arial" w:cs="Arial" w:eastAsia="Arial" w:hAnsi="Arial"/>
                <w:sz w:val="12"/>
                <w:szCs w:val="12"/>
                <w:color w:val="auto"/>
              </w:rPr>
              <w:t>Identical Assets</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260"/>
              <w:spacing w:after="0" w:line="129" w:lineRule="exact"/>
              <w:rPr>
                <w:sz w:val="20"/>
                <w:szCs w:val="20"/>
                <w:color w:val="auto"/>
              </w:rPr>
            </w:pPr>
            <w:r>
              <w:rPr>
                <w:rFonts w:ascii="Arial" w:cs="Arial" w:eastAsia="Arial" w:hAnsi="Arial"/>
                <w:sz w:val="12"/>
                <w:szCs w:val="12"/>
                <w:color w:val="auto"/>
              </w:rPr>
              <w:t>Inputs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jc w:val="right"/>
              <w:ind w:right="318"/>
              <w:spacing w:after="0" w:line="129" w:lineRule="exact"/>
              <w:rPr>
                <w:sz w:val="20"/>
                <w:szCs w:val="20"/>
                <w:color w:val="auto"/>
              </w:rPr>
            </w:pPr>
            <w:r>
              <w:rPr>
                <w:rFonts w:ascii="Arial" w:cs="Arial" w:eastAsia="Arial" w:hAnsi="Arial"/>
                <w:sz w:val="12"/>
                <w:szCs w:val="12"/>
                <w:color w:val="auto"/>
              </w:rPr>
              <w:t>Inputs</w:t>
            </w:r>
          </w:p>
        </w:tc>
      </w:tr>
      <w:tr>
        <w:trPr>
          <w:trHeight w:val="156"/>
        </w:trPr>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color w:val="auto"/>
              </w:rPr>
              <w:t>Total</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8"/>
              </w:rPr>
              <w:t>(Level 1)</w:t>
            </w: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left="18"/>
              <w:spacing w:after="0"/>
              <w:rPr>
                <w:sz w:val="20"/>
                <w:szCs w:val="20"/>
                <w:color w:val="auto"/>
              </w:rPr>
            </w:pPr>
            <w:r>
              <w:rPr>
                <w:rFonts w:ascii="Arial" w:cs="Arial" w:eastAsia="Arial" w:hAnsi="Arial"/>
                <w:sz w:val="12"/>
                <w:szCs w:val="12"/>
                <w:color w:val="auto"/>
                <w:w w:val="98"/>
              </w:rPr>
              <w:t>(Level 2)</w:t>
            </w: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238"/>
              <w:spacing w:after="0"/>
              <w:rPr>
                <w:sz w:val="20"/>
                <w:szCs w:val="20"/>
                <w:color w:val="auto"/>
              </w:rPr>
            </w:pPr>
            <w:r>
              <w:rPr>
                <w:rFonts w:ascii="Arial" w:cs="Arial" w:eastAsia="Arial" w:hAnsi="Arial"/>
                <w:sz w:val="12"/>
                <w:szCs w:val="12"/>
                <w:color w:val="auto"/>
                <w:w w:val="98"/>
              </w:rPr>
              <w:t>(Level 3)</w:t>
            </w:r>
          </w:p>
        </w:tc>
      </w:tr>
      <w:tr>
        <w:trPr>
          <w:trHeight w:val="577"/>
        </w:trPr>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1,302,025</w:t>
            </w:r>
          </w:p>
        </w:tc>
        <w:tc>
          <w:tcPr>
            <w:tcW w:w="180" w:type="dxa"/>
            <w:vAlign w:val="bottom"/>
          </w:tcPr>
          <w:p>
            <w:pPr>
              <w:spacing w:after="0"/>
              <w:rPr>
                <w:sz w:val="24"/>
                <w:szCs w:val="24"/>
                <w:color w:val="auto"/>
              </w:rPr>
            </w:pPr>
          </w:p>
        </w:tc>
        <w:tc>
          <w:tcPr>
            <w:tcW w:w="1040" w:type="dxa"/>
            <w:vAlign w:val="bottom"/>
          </w:tcPr>
          <w:p>
            <w:pPr>
              <w:jc w:val="right"/>
              <w:ind w:right="678"/>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1,302,025</w:t>
            </w:r>
          </w:p>
        </w:tc>
      </w:tr>
      <w:tr>
        <w:trPr>
          <w:trHeight w:val="198"/>
        </w:trPr>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8,375,884</w:t>
            </w:r>
          </w:p>
        </w:tc>
        <w:tc>
          <w:tcPr>
            <w:tcW w:w="18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8,375,884</w:t>
            </w:r>
          </w:p>
        </w:tc>
      </w:tr>
      <w:tr>
        <w:trPr>
          <w:trHeight w:val="378"/>
        </w:trPr>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9,677,909</w:t>
            </w:r>
          </w:p>
        </w:tc>
        <w:tc>
          <w:tcPr>
            <w:tcW w:w="180" w:type="dxa"/>
            <w:vAlign w:val="bottom"/>
          </w:tcPr>
          <w:p>
            <w:pPr>
              <w:spacing w:after="0"/>
              <w:rPr>
                <w:sz w:val="24"/>
                <w:szCs w:val="24"/>
                <w:color w:val="auto"/>
              </w:rPr>
            </w:pPr>
          </w:p>
        </w:tc>
        <w:tc>
          <w:tcPr>
            <w:tcW w:w="1040" w:type="dxa"/>
            <w:vAlign w:val="bottom"/>
            <w:tcBorders>
              <w:bottom w:val="single" w:sz="8" w:color="auto"/>
            </w:tcBorders>
          </w:tcPr>
          <w:p>
            <w:pPr>
              <w:jc w:val="right"/>
              <w:ind w:right="678"/>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24"/>
                <w:szCs w:val="24"/>
                <w:color w:val="auto"/>
              </w:rPr>
            </w:pPr>
          </w:p>
        </w:tc>
        <w:tc>
          <w:tcPr>
            <w:tcW w:w="780" w:type="dxa"/>
            <w:vAlign w:val="bottom"/>
            <w:tcBorders>
              <w:bottom w:val="single" w:sz="8" w:color="auto"/>
            </w:tcBorders>
          </w:tcPr>
          <w:p>
            <w:pPr>
              <w:ind w:left="2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9,677,909</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-779145</wp:posOffset>
            </wp:positionV>
            <wp:extent cx="4989830" cy="2527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989830" cy="252730"/>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-400050</wp:posOffset>
            </wp:positionV>
            <wp:extent cx="4989830" cy="1263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989830" cy="126365"/>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2480" w:space="720"/>
            <w:col w:w="6179"/>
          </w:cols>
          <w:pgMar w:left="1080" w:top="124" w:right="1440" w:bottom="1440" w:gutter="0" w:footer="0" w:header="0"/>
          <w:type w:val="continuous"/>
        </w:sectPr>
      </w:pPr>
    </w:p>
    <w:p>
      <w:pPr>
        <w:ind w:left="384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498983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989830" cy="29845"/>
                    </a:xfrm>
                    <a:prstGeom prst="rect">
                      <a:avLst/>
                    </a:prstGeom>
                    <a:noFill/>
                  </pic:spPr>
                </pic:pic>
              </a:graphicData>
            </a:graphic>
          </wp:anchor>
        </w:drawing>
      </w:r>
    </w:p>
    <w:p>
      <w:pPr>
        <w:sectPr>
          <w:pgSz w:w="11900" w:h="16838" w:orient="portrait"/>
          <w:cols w:equalWidth="0" w:num="1">
            <w:col w:w="9379"/>
          </w:cols>
          <w:pgMar w:left="1080" w:top="124" w:right="1440" w:bottom="1440" w:gutter="0" w:footer="0" w:header="0"/>
          <w:type w:val="continuous"/>
        </w:sectPr>
      </w:pPr>
    </w:p>
    <w:bookmarkStart w:id="36" w:name="page37"/>
    <w:bookmarkEnd w:id="36"/>
    <w:p>
      <w:pPr>
        <w:jc w:val="center"/>
        <w:ind w:right="1519"/>
        <w:spacing w:after="0" w:line="257" w:lineRule="auto"/>
        <w:rPr>
          <w:sz w:val="20"/>
          <w:szCs w:val="20"/>
          <w:color w:val="auto"/>
        </w:rPr>
      </w:pPr>
      <w:r>
        <w:rPr>
          <w:rFonts w:ascii="Arial" w:cs="Arial" w:eastAsia="Arial" w:hAnsi="Arial"/>
          <w:sz w:val="17"/>
          <w:szCs w:val="17"/>
          <w:color w:val="auto"/>
        </w:rPr>
        <w:t>SECURITY NATIONAL FINANCIAL CORPORATION AND SUBSIDIARIES Notes to Condensed Consolidated Financial Statements March 31, 2020 (Unaudited)</w:t>
      </w:r>
    </w:p>
    <w:p>
      <w:pPr>
        <w:spacing w:after="0" w:line="75" w:lineRule="exact"/>
        <w:rPr>
          <w:sz w:val="20"/>
          <w:szCs w:val="20"/>
          <w:color w:val="auto"/>
        </w:rPr>
      </w:pPr>
    </w:p>
    <w:p>
      <w:pPr>
        <w:ind w:left="420" w:hanging="415"/>
        <w:spacing w:after="0"/>
        <w:tabs>
          <w:tab w:leader="none" w:pos="420"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Fair Value of Financial Instruments</w:t>
      </w:r>
      <w:r>
        <w:rPr>
          <w:rFonts w:ascii="Arial" w:cs="Arial" w:eastAsia="Arial" w:hAnsi="Arial"/>
          <w:sz w:val="17"/>
          <w:szCs w:val="17"/>
          <w:color w:val="auto"/>
        </w:rPr>
        <w:t xml:space="preserve"> (Continued)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of Financial Instruments Carried at Other Than Fair Value</w:t>
      </w:r>
    </w:p>
    <w:p>
      <w:pPr>
        <w:spacing w:after="0" w:line="208" w:lineRule="exact"/>
        <w:rPr>
          <w:sz w:val="20"/>
          <w:szCs w:val="20"/>
          <w:color w:val="auto"/>
        </w:rPr>
      </w:pPr>
    </w:p>
    <w:p>
      <w:pPr>
        <w:jc w:val="both"/>
        <w:ind w:right="1519"/>
        <w:spacing w:after="0" w:line="270" w:lineRule="auto"/>
        <w:rPr>
          <w:sz w:val="20"/>
          <w:szCs w:val="20"/>
          <w:color w:val="auto"/>
        </w:rPr>
      </w:pPr>
      <w:r>
        <w:rPr>
          <w:rFonts w:ascii="Arial" w:cs="Arial" w:eastAsia="Arial" w:hAnsi="Arial"/>
          <w:sz w:val="17"/>
          <w:szCs w:val="17"/>
          <w:color w:val="auto"/>
        </w:rPr>
        <w:t>ASC 825, Financial Instruments, requires disclosure of fair value information about financial instruments, whether or not recognized in the balance sheet, for which it is practicable to estimate that value.</w:t>
      </w:r>
    </w:p>
    <w:p>
      <w:pPr>
        <w:spacing w:after="0" w:line="157" w:lineRule="exact"/>
        <w:rPr>
          <w:sz w:val="20"/>
          <w:szCs w:val="20"/>
          <w:color w:val="auto"/>
        </w:rPr>
      </w:pPr>
    </w:p>
    <w:p>
      <w:pPr>
        <w:jc w:val="both"/>
        <w:ind w:right="1519"/>
        <w:spacing w:after="0" w:line="273" w:lineRule="auto"/>
        <w:rPr>
          <w:sz w:val="20"/>
          <w:szCs w:val="20"/>
          <w:color w:val="auto"/>
        </w:rPr>
      </w:pPr>
      <w:r>
        <w:rPr>
          <w:rFonts w:ascii="Arial" w:cs="Arial" w:eastAsia="Arial" w:hAnsi="Arial"/>
          <w:sz w:val="16"/>
          <w:szCs w:val="16"/>
          <w:color w:val="auto"/>
        </w:rPr>
        <w:t>Management uses its best judgment in estimating the fair value of the Company’s financial instruments; however, there are inherent limitations in any estimation technique. Therefore, for substantially all financial instruments, the fair value estimates presented herein are not necessarily indicative of the amounts the Company could have realized in a sales transaction at March 31, 2020 and December 31, 2019.</w:t>
      </w:r>
    </w:p>
    <w:p>
      <w:pPr>
        <w:spacing w:after="0" w:line="157" w:lineRule="exact"/>
        <w:rPr>
          <w:sz w:val="20"/>
          <w:szCs w:val="20"/>
          <w:color w:val="auto"/>
        </w:rPr>
      </w:pPr>
    </w:p>
    <w:p>
      <w:pPr>
        <w:jc w:val="both"/>
        <w:ind w:right="1519"/>
        <w:spacing w:after="0" w:line="270" w:lineRule="auto"/>
        <w:rPr>
          <w:sz w:val="20"/>
          <w:szCs w:val="20"/>
          <w:color w:val="auto"/>
        </w:rPr>
      </w:pPr>
      <w:r>
        <w:rPr>
          <w:rFonts w:ascii="Arial" w:cs="Arial" w:eastAsia="Arial" w:hAnsi="Arial"/>
          <w:sz w:val="17"/>
          <w:szCs w:val="17"/>
          <w:color w:val="auto"/>
        </w:rPr>
        <w:t>The carrying values and estimated fair values for such financial instruments, and their corresponding placement in the fair value hierarchy, are summarized as follows as of March 31, 2020: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58"/>
              <w:spacing w:after="0"/>
              <w:rPr>
                <w:sz w:val="20"/>
                <w:szCs w:val="20"/>
                <w:color w:val="auto"/>
              </w:rPr>
            </w:pPr>
            <w:r>
              <w:rPr>
                <w:rFonts w:ascii="Arial" w:cs="Arial" w:eastAsia="Arial" w:hAnsi="Arial"/>
                <w:sz w:val="12"/>
                <w:szCs w:val="12"/>
                <w:color w:val="auto"/>
              </w:rPr>
              <w:t>Total Estimated</w:t>
            </w:r>
          </w:p>
        </w:tc>
      </w:tr>
      <w:tr>
        <w:trPr>
          <w:trHeight w:val="156"/>
        </w:trPr>
        <w:tc>
          <w:tcPr>
            <w:tcW w:w="20" w:type="dxa"/>
            <w:vAlign w:val="bottom"/>
            <w:tcBorders>
              <w:bottom w:val="single" w:sz="8" w:color="CCEEFF"/>
            </w:tcBorders>
          </w:tcPr>
          <w:p>
            <w:pPr>
              <w:spacing w:after="0"/>
              <w:rPr>
                <w:sz w:val="13"/>
                <w:szCs w:val="13"/>
                <w:color w:val="auto"/>
              </w:rPr>
            </w:pPr>
          </w:p>
        </w:tc>
        <w:tc>
          <w:tcPr>
            <w:tcW w:w="960" w:type="dxa"/>
            <w:vAlign w:val="bottom"/>
            <w:tcBorders>
              <w:bottom w:val="single" w:sz="8" w:color="CCEEFF"/>
            </w:tcBorders>
          </w:tcPr>
          <w:p>
            <w:pPr>
              <w:spacing w:after="0"/>
              <w:rPr>
                <w:sz w:val="13"/>
                <w:szCs w:val="13"/>
                <w:color w:val="auto"/>
              </w:rPr>
            </w:pPr>
          </w:p>
        </w:tc>
        <w:tc>
          <w:tcPr>
            <w:tcW w:w="156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gridSpan w:val="3"/>
          </w:tcPr>
          <w:p>
            <w:pPr>
              <w:ind w:left="100"/>
              <w:spacing w:after="0"/>
              <w:rPr>
                <w:sz w:val="20"/>
                <w:szCs w:val="20"/>
                <w:color w:val="auto"/>
              </w:rPr>
            </w:pPr>
            <w:r>
              <w:rPr>
                <w:rFonts w:ascii="Arial" w:cs="Arial" w:eastAsia="Arial" w:hAnsi="Arial"/>
                <w:sz w:val="12"/>
                <w:szCs w:val="12"/>
                <w:color w:val="auto"/>
              </w:rPr>
              <w:t>Carrying Value</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Level 1</w:t>
            </w: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Level 2</w:t>
            </w: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color w:val="auto"/>
              </w:rPr>
              <w:t>Level 3</w:t>
            </w: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w w:val="95"/>
              </w:rPr>
              <w:t>Fair Value</w:t>
            </w:r>
          </w:p>
        </w:tc>
      </w:tr>
      <w:tr>
        <w:trPr>
          <w:trHeight w:val="179"/>
        </w:trPr>
        <w:tc>
          <w:tcPr>
            <w:tcW w:w="25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Assets</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199"/>
        </w:trPr>
        <w:tc>
          <w:tcPr>
            <w:tcW w:w="2540" w:type="dxa"/>
            <w:vAlign w:val="bottom"/>
            <w:gridSpan w:val="3"/>
          </w:tcPr>
          <w:p>
            <w:pPr>
              <w:ind w:left="20"/>
              <w:spacing w:after="0"/>
              <w:rPr>
                <w:sz w:val="20"/>
                <w:szCs w:val="20"/>
                <w:color w:val="auto"/>
              </w:rPr>
            </w:pPr>
            <w:r>
              <w:rPr>
                <w:rFonts w:ascii="Arial" w:cs="Arial" w:eastAsia="Arial" w:hAnsi="Arial"/>
                <w:sz w:val="12"/>
                <w:szCs w:val="12"/>
                <w:color w:val="auto"/>
              </w:rPr>
              <w:t>Mortgage loans held for investment</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9"/>
        </w:trPr>
        <w:tc>
          <w:tcPr>
            <w:tcW w:w="20" w:type="dxa"/>
            <w:vAlign w:val="bottom"/>
            <w:shd w:val="clear" w:color="auto" w:fill="CCEEFF"/>
          </w:tcPr>
          <w:p>
            <w:pPr>
              <w:spacing w:after="0"/>
              <w:rPr>
                <w:sz w:val="17"/>
                <w:szCs w:val="17"/>
                <w:color w:val="auto"/>
              </w:rPr>
            </w:pPr>
          </w:p>
        </w:tc>
        <w:tc>
          <w:tcPr>
            <w:tcW w:w="252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Residential</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113,992,719</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18"/>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18"/>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119,728,697</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119,728,697</w:t>
            </w:r>
          </w:p>
        </w:tc>
      </w:tr>
      <w:tr>
        <w:trPr>
          <w:trHeight w:val="199"/>
        </w:trPr>
        <w:tc>
          <w:tcPr>
            <w:tcW w:w="20" w:type="dxa"/>
            <w:vAlign w:val="bottom"/>
          </w:tcPr>
          <w:p>
            <w:pPr>
              <w:spacing w:after="0"/>
              <w:rPr>
                <w:sz w:val="17"/>
                <w:szCs w:val="17"/>
                <w:color w:val="auto"/>
              </w:rPr>
            </w:pPr>
          </w:p>
        </w:tc>
        <w:tc>
          <w:tcPr>
            <w:tcW w:w="2520" w:type="dxa"/>
            <w:vAlign w:val="bottom"/>
            <w:gridSpan w:val="2"/>
          </w:tcPr>
          <w:p>
            <w:pPr>
              <w:ind w:left="60"/>
              <w:spacing w:after="0"/>
              <w:rPr>
                <w:sz w:val="20"/>
                <w:szCs w:val="20"/>
                <w:color w:val="auto"/>
              </w:rPr>
            </w:pPr>
            <w:r>
              <w:rPr>
                <w:rFonts w:ascii="Arial" w:cs="Arial" w:eastAsia="Arial" w:hAnsi="Arial"/>
                <w:sz w:val="12"/>
                <w:szCs w:val="12"/>
                <w:color w:val="auto"/>
              </w:rPr>
              <w:t>Residential construction</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92,893,579</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92,893,579</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92,893,579</w:t>
            </w:r>
          </w:p>
        </w:tc>
      </w:tr>
      <w:tr>
        <w:trPr>
          <w:trHeight w:val="199"/>
        </w:trPr>
        <w:tc>
          <w:tcPr>
            <w:tcW w:w="20" w:type="dxa"/>
            <w:vAlign w:val="bottom"/>
            <w:shd w:val="clear" w:color="auto" w:fill="CCEEFF"/>
          </w:tcPr>
          <w:p>
            <w:pPr>
              <w:spacing w:after="0"/>
              <w:rPr>
                <w:sz w:val="17"/>
                <w:szCs w:val="17"/>
                <w:color w:val="auto"/>
              </w:rPr>
            </w:pPr>
          </w:p>
        </w:tc>
        <w:tc>
          <w:tcPr>
            <w:tcW w:w="252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Commercial</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43,518,221</w:t>
            </w:r>
          </w:p>
        </w:tc>
        <w:tc>
          <w:tcPr>
            <w:tcW w:w="16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43,108,562</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43,108,562</w:t>
            </w:r>
          </w:p>
        </w:tc>
      </w:tr>
      <w:tr>
        <w:trPr>
          <w:trHeight w:val="179"/>
        </w:trPr>
        <w:tc>
          <w:tcPr>
            <w:tcW w:w="2540" w:type="dxa"/>
            <w:vAlign w:val="bottom"/>
            <w:gridSpan w:val="3"/>
          </w:tcPr>
          <w:p>
            <w:pPr>
              <w:ind w:left="20"/>
              <w:spacing w:after="0"/>
              <w:rPr>
                <w:sz w:val="20"/>
                <w:szCs w:val="20"/>
                <w:color w:val="auto"/>
              </w:rPr>
            </w:pPr>
            <w:r>
              <w:rPr>
                <w:rFonts w:ascii="Arial" w:cs="Arial" w:eastAsia="Arial" w:hAnsi="Arial"/>
                <w:sz w:val="12"/>
                <w:szCs w:val="12"/>
                <w:color w:val="auto"/>
              </w:rPr>
              <w:t>Mortgage loans held for investment, net</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250,404,519</w:t>
            </w:r>
          </w:p>
        </w:tc>
        <w:tc>
          <w:tcPr>
            <w:tcW w:w="160" w:type="dxa"/>
            <w:vAlign w:val="bottom"/>
          </w:tcPr>
          <w:p>
            <w:pPr>
              <w:spacing w:after="0"/>
              <w:rPr>
                <w:sz w:val="15"/>
                <w:szCs w:val="15"/>
                <w:color w:val="auto"/>
              </w:rPr>
            </w:pPr>
          </w:p>
        </w:tc>
        <w:tc>
          <w:tcPr>
            <w:tcW w:w="640" w:type="dxa"/>
            <w:vAlign w:val="bottom"/>
          </w:tcPr>
          <w:p>
            <w:pPr>
              <w:jc w:val="right"/>
              <w:ind w:right="418"/>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740" w:type="dxa"/>
            <w:vAlign w:val="bottom"/>
          </w:tcPr>
          <w:p>
            <w:pPr>
              <w:jc w:val="right"/>
              <w:ind w:right="518"/>
              <w:spacing w:after="0"/>
              <w:rPr>
                <w:sz w:val="20"/>
                <w:szCs w:val="20"/>
                <w:color w:val="auto"/>
              </w:rPr>
            </w:pPr>
            <w:r>
              <w:rPr>
                <w:rFonts w:ascii="Arial" w:cs="Arial" w:eastAsia="Arial" w:hAnsi="Arial"/>
                <w:sz w:val="12"/>
                <w:szCs w:val="12"/>
                <w:color w:val="auto"/>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255,730,838</w:t>
            </w:r>
          </w:p>
        </w:tc>
        <w:tc>
          <w:tcPr>
            <w:tcW w:w="16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255,730,838</w:t>
            </w:r>
          </w:p>
        </w:tc>
      </w:tr>
      <w:tr>
        <w:trPr>
          <w:trHeight w:val="199"/>
        </w:trPr>
        <w:tc>
          <w:tcPr>
            <w:tcW w:w="25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Policy loans</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14,617,151</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14,617,151</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14,617,151</w:t>
            </w:r>
          </w:p>
        </w:tc>
      </w:tr>
      <w:tr>
        <w:trPr>
          <w:trHeight w:val="199"/>
        </w:trPr>
        <w:tc>
          <w:tcPr>
            <w:tcW w:w="2540" w:type="dxa"/>
            <w:vAlign w:val="bottom"/>
            <w:gridSpan w:val="3"/>
          </w:tcPr>
          <w:p>
            <w:pPr>
              <w:ind w:left="20"/>
              <w:spacing w:after="0"/>
              <w:rPr>
                <w:sz w:val="20"/>
                <w:szCs w:val="20"/>
                <w:color w:val="auto"/>
              </w:rPr>
            </w:pPr>
            <w:r>
              <w:rPr>
                <w:rFonts w:ascii="Arial" w:cs="Arial" w:eastAsia="Arial" w:hAnsi="Arial"/>
                <w:sz w:val="12"/>
                <w:szCs w:val="12"/>
                <w:color w:val="auto"/>
              </w:rPr>
              <w:t>Insurance assignments, net (1)</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36,955,154</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36,955,154</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36,955,154</w:t>
            </w:r>
          </w:p>
        </w:tc>
      </w:tr>
      <w:tr>
        <w:trPr>
          <w:trHeight w:val="199"/>
        </w:trPr>
        <w:tc>
          <w:tcPr>
            <w:tcW w:w="25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Restricted assets (2)</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1,541,933</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1,541,933</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1,541,933</w:t>
            </w:r>
          </w:p>
        </w:tc>
      </w:tr>
      <w:tr>
        <w:trPr>
          <w:trHeight w:val="199"/>
        </w:trPr>
        <w:tc>
          <w:tcPr>
            <w:tcW w:w="2540" w:type="dxa"/>
            <w:vAlign w:val="bottom"/>
            <w:gridSpan w:val="3"/>
          </w:tcPr>
          <w:p>
            <w:pPr>
              <w:ind w:left="20"/>
              <w:spacing w:after="0"/>
              <w:rPr>
                <w:sz w:val="20"/>
                <w:szCs w:val="20"/>
                <w:color w:val="auto"/>
              </w:rPr>
            </w:pPr>
            <w:r>
              <w:rPr>
                <w:rFonts w:ascii="Arial" w:cs="Arial" w:eastAsia="Arial" w:hAnsi="Arial"/>
                <w:sz w:val="12"/>
                <w:szCs w:val="12"/>
                <w:color w:val="auto"/>
              </w:rPr>
              <w:t>Cemetery perpetual care trust investments (2)</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524,000</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524,000</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524,000</w:t>
            </w:r>
          </w:p>
        </w:tc>
      </w:tr>
      <w:tr>
        <w:trPr>
          <w:trHeight w:val="199"/>
        </w:trPr>
        <w:tc>
          <w:tcPr>
            <w:tcW w:w="25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Mortgage servicing rights, net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16,777,131</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16,976,241</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16,976,241</w:t>
            </w:r>
          </w:p>
        </w:tc>
      </w:tr>
      <w:tr>
        <w:trPr>
          <w:trHeight w:val="152"/>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99"/>
        </w:trPr>
        <w:tc>
          <w:tcPr>
            <w:tcW w:w="25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Liabilities</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199"/>
        </w:trPr>
        <w:tc>
          <w:tcPr>
            <w:tcW w:w="2540" w:type="dxa"/>
            <w:vAlign w:val="bottom"/>
            <w:gridSpan w:val="3"/>
          </w:tcPr>
          <w:p>
            <w:pPr>
              <w:ind w:left="20"/>
              <w:spacing w:after="0"/>
              <w:rPr>
                <w:sz w:val="20"/>
                <w:szCs w:val="20"/>
                <w:color w:val="auto"/>
              </w:rPr>
            </w:pPr>
            <w:r>
              <w:rPr>
                <w:rFonts w:ascii="Arial" w:cs="Arial" w:eastAsia="Arial" w:hAnsi="Arial"/>
                <w:sz w:val="12"/>
                <w:szCs w:val="12"/>
                <w:color w:val="auto"/>
              </w:rPr>
              <w:t>Bank and other loans payable</w:t>
            </w:r>
          </w:p>
        </w:tc>
        <w:tc>
          <w:tcPr>
            <w:tcW w:w="220" w:type="dxa"/>
            <w:vAlign w:val="bottom"/>
          </w:tcPr>
          <w:p>
            <w:pPr>
              <w:ind w:left="10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w w:val="96"/>
              </w:rPr>
              <w:t>(253,965,181)</w:t>
            </w:r>
          </w:p>
        </w:tc>
        <w:tc>
          <w:tcPr>
            <w:tcW w:w="160" w:type="dxa"/>
            <w:vAlign w:val="bottom"/>
          </w:tcPr>
          <w:p>
            <w:pPr>
              <w:spacing w:after="0"/>
              <w:rPr>
                <w:sz w:val="17"/>
                <w:szCs w:val="17"/>
                <w:color w:val="auto"/>
              </w:rPr>
            </w:pPr>
          </w:p>
        </w:tc>
        <w:tc>
          <w:tcPr>
            <w:tcW w:w="640" w:type="dxa"/>
            <w:vAlign w:val="bottom"/>
          </w:tcPr>
          <w:p>
            <w:pPr>
              <w:jc w:val="right"/>
              <w:ind w:right="418"/>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7"/>
                <w:szCs w:val="17"/>
                <w:color w:val="auto"/>
              </w:rPr>
            </w:pPr>
          </w:p>
        </w:tc>
        <w:tc>
          <w:tcPr>
            <w:tcW w:w="740" w:type="dxa"/>
            <w:vAlign w:val="bottom"/>
          </w:tcPr>
          <w:p>
            <w:pPr>
              <w:jc w:val="right"/>
              <w:ind w:right="518"/>
              <w:spacing w:after="0"/>
              <w:rPr>
                <w:sz w:val="20"/>
                <w:szCs w:val="20"/>
                <w:color w:val="auto"/>
              </w:rPr>
            </w:pPr>
            <w:r>
              <w:rPr>
                <w:rFonts w:ascii="Arial" w:cs="Arial" w:eastAsia="Arial" w:hAnsi="Arial"/>
                <w:sz w:val="12"/>
                <w:szCs w:val="12"/>
                <w:color w:val="auto"/>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w w:val="96"/>
              </w:rPr>
              <w:t>(253,965,181)</w:t>
            </w:r>
          </w:p>
        </w:tc>
        <w:tc>
          <w:tcPr>
            <w:tcW w:w="1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(253,965,181)</w:t>
            </w:r>
          </w:p>
        </w:tc>
      </w:tr>
      <w:tr>
        <w:trPr>
          <w:trHeight w:val="199"/>
        </w:trPr>
        <w:tc>
          <w:tcPr>
            <w:tcW w:w="25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Policyholder account balances (3)</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(44,786,643)</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(41,477,570)</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(41,477,570)</w:t>
            </w:r>
          </w:p>
        </w:tc>
      </w:tr>
      <w:tr>
        <w:trPr>
          <w:trHeight w:val="199"/>
        </w:trPr>
        <w:tc>
          <w:tcPr>
            <w:tcW w:w="2540" w:type="dxa"/>
            <w:vAlign w:val="bottom"/>
            <w:gridSpan w:val="3"/>
          </w:tcPr>
          <w:p>
            <w:pPr>
              <w:ind w:left="20"/>
              <w:spacing w:after="0"/>
              <w:rPr>
                <w:sz w:val="20"/>
                <w:szCs w:val="20"/>
                <w:color w:val="auto"/>
              </w:rPr>
            </w:pPr>
            <w:r>
              <w:rPr>
                <w:rFonts w:ascii="Arial" w:cs="Arial" w:eastAsia="Arial" w:hAnsi="Arial"/>
                <w:sz w:val="12"/>
                <w:szCs w:val="12"/>
                <w:color w:val="auto"/>
              </w:rPr>
              <w:t>Future policy benefits - annuities (3)</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w w:val="96"/>
              </w:rPr>
              <w:t>(112,487,611)</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w w:val="96"/>
              </w:rPr>
              <w:t>(116,245,685)</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(116,245,685)</w:t>
            </w:r>
          </w:p>
        </w:tc>
      </w:tr>
      <w:tr>
        <w:trPr>
          <w:trHeight w:val="140"/>
        </w:trPr>
        <w:tc>
          <w:tcPr>
            <w:tcW w:w="2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spacing w:after="0"/>
              <w:rPr>
                <w:sz w:val="12"/>
                <w:szCs w:val="12"/>
                <w:color w:val="auto"/>
              </w:rPr>
            </w:pPr>
          </w:p>
        </w:tc>
        <w:tc>
          <w:tcPr>
            <w:tcW w:w="15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r>
    </w:tbl>
    <w:p>
      <w:pPr>
        <w:spacing w:after="0" w:line="43" w:lineRule="exact"/>
        <w:rPr>
          <w:sz w:val="20"/>
          <w:szCs w:val="20"/>
          <w:color w:val="auto"/>
        </w:rPr>
      </w:pPr>
    </w:p>
    <w:p>
      <w:pPr>
        <w:ind w:left="200" w:hanging="183"/>
        <w:spacing w:after="0"/>
        <w:tabs>
          <w:tab w:leader="none" w:pos="200" w:val="left"/>
        </w:tabs>
        <w:numPr>
          <w:ilvl w:val="0"/>
          <w:numId w:val="42"/>
        </w:numPr>
        <w:rPr>
          <w:rFonts w:ascii="Arial" w:cs="Arial" w:eastAsia="Arial" w:hAnsi="Arial"/>
          <w:sz w:val="12"/>
          <w:szCs w:val="12"/>
          <w:color w:val="auto"/>
        </w:rPr>
      </w:pPr>
      <w:r>
        <w:rPr>
          <w:rFonts w:ascii="Arial" w:cs="Arial" w:eastAsia="Arial" w:hAnsi="Arial"/>
          <w:sz w:val="12"/>
          <w:szCs w:val="12"/>
          <w:color w:val="auto"/>
        </w:rPr>
        <w:t>Included in other investments and policy loans on the condensed consolidated balance sheets</w:t>
      </w:r>
    </w:p>
    <w:p>
      <w:pPr>
        <w:spacing w:after="0" w:line="60" w:lineRule="exact"/>
        <w:rPr>
          <w:rFonts w:ascii="Arial" w:cs="Arial" w:eastAsia="Arial" w:hAnsi="Arial"/>
          <w:sz w:val="12"/>
          <w:szCs w:val="12"/>
          <w:color w:val="auto"/>
        </w:rPr>
      </w:pPr>
    </w:p>
    <w:p>
      <w:pPr>
        <w:ind w:left="200" w:hanging="183"/>
        <w:spacing w:after="0"/>
        <w:tabs>
          <w:tab w:leader="none" w:pos="200" w:val="left"/>
        </w:tabs>
        <w:numPr>
          <w:ilvl w:val="0"/>
          <w:numId w:val="42"/>
        </w:numPr>
        <w:rPr>
          <w:rFonts w:ascii="Arial" w:cs="Arial" w:eastAsia="Arial" w:hAnsi="Arial"/>
          <w:sz w:val="12"/>
          <w:szCs w:val="12"/>
          <w:color w:val="auto"/>
        </w:rPr>
      </w:pPr>
      <w:r>
        <w:rPr>
          <w:rFonts w:ascii="Arial" w:cs="Arial" w:eastAsia="Arial" w:hAnsi="Arial"/>
          <w:sz w:val="12"/>
          <w:szCs w:val="12"/>
          <w:color w:val="auto"/>
        </w:rPr>
        <w:t>Mortgage loans held for investment</w:t>
      </w:r>
    </w:p>
    <w:p>
      <w:pPr>
        <w:spacing w:after="0" w:line="60" w:lineRule="exact"/>
        <w:rPr>
          <w:rFonts w:ascii="Arial" w:cs="Arial" w:eastAsia="Arial" w:hAnsi="Arial"/>
          <w:sz w:val="12"/>
          <w:szCs w:val="12"/>
          <w:color w:val="auto"/>
        </w:rPr>
      </w:pPr>
    </w:p>
    <w:p>
      <w:pPr>
        <w:ind w:left="200" w:hanging="183"/>
        <w:spacing w:after="0"/>
        <w:tabs>
          <w:tab w:leader="none" w:pos="200" w:val="left"/>
        </w:tabs>
        <w:numPr>
          <w:ilvl w:val="0"/>
          <w:numId w:val="42"/>
        </w:numPr>
        <w:rPr>
          <w:rFonts w:ascii="Arial" w:cs="Arial" w:eastAsia="Arial" w:hAnsi="Arial"/>
          <w:sz w:val="12"/>
          <w:szCs w:val="12"/>
          <w:color w:val="auto"/>
        </w:rPr>
      </w:pPr>
      <w:r>
        <w:rPr>
          <w:rFonts w:ascii="Arial" w:cs="Arial" w:eastAsia="Arial" w:hAnsi="Arial"/>
          <w:sz w:val="12"/>
          <w:szCs w:val="12"/>
          <w:color w:val="auto"/>
        </w:rPr>
        <w:t>Included in future policy benefits and unpaid claims on the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-240030</wp:posOffset>
            </wp:positionV>
            <wp:extent cx="4989830" cy="1263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989830" cy="126365"/>
                    </a:xfrm>
                    <a:prstGeom prst="rect">
                      <a:avLst/>
                    </a:prstGeom>
                    <a:noFill/>
                  </pic:spPr>
                </pic:pic>
              </a:graphicData>
            </a:graphic>
          </wp:anchor>
        </w:drawing>
      </w:r>
    </w:p>
    <w:p>
      <w:pPr>
        <w:spacing w:after="0" w:line="182" w:lineRule="exact"/>
        <w:rPr>
          <w:sz w:val="20"/>
          <w:szCs w:val="20"/>
          <w:color w:val="auto"/>
        </w:rPr>
      </w:pPr>
    </w:p>
    <w:p>
      <w:pPr>
        <w:ind w:right="1519"/>
        <w:spacing w:after="0" w:line="270" w:lineRule="auto"/>
        <w:rPr>
          <w:sz w:val="20"/>
          <w:szCs w:val="20"/>
          <w:color w:val="auto"/>
        </w:rPr>
      </w:pPr>
      <w:r>
        <w:rPr>
          <w:rFonts w:ascii="Arial" w:cs="Arial" w:eastAsia="Arial" w:hAnsi="Arial"/>
          <w:sz w:val="17"/>
          <w:szCs w:val="17"/>
          <w:color w:val="auto"/>
        </w:rPr>
        <w:t>The carrying values and estimated fair values for such financial instruments, and their corresponding placement in the fair value hierarchy, are summarized as follows as of December 31, 2019:</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38"/>
              <w:spacing w:after="0"/>
              <w:rPr>
                <w:sz w:val="20"/>
                <w:szCs w:val="20"/>
                <w:color w:val="auto"/>
              </w:rPr>
            </w:pPr>
            <w:r>
              <w:rPr>
                <w:rFonts w:ascii="Arial" w:cs="Arial" w:eastAsia="Arial" w:hAnsi="Arial"/>
                <w:sz w:val="12"/>
                <w:szCs w:val="12"/>
                <w:color w:val="auto"/>
              </w:rPr>
              <w:t>Total Estimated</w:t>
            </w:r>
          </w:p>
        </w:tc>
      </w:tr>
      <w:tr>
        <w:trPr>
          <w:trHeight w:val="156"/>
        </w:trPr>
        <w:tc>
          <w:tcPr>
            <w:tcW w:w="20" w:type="dxa"/>
            <w:vAlign w:val="bottom"/>
            <w:tcBorders>
              <w:bottom w:val="single" w:sz="8" w:color="CCEEFF"/>
            </w:tcBorders>
          </w:tcPr>
          <w:p>
            <w:pPr>
              <w:spacing w:after="0"/>
              <w:rPr>
                <w:sz w:val="13"/>
                <w:szCs w:val="13"/>
                <w:color w:val="auto"/>
              </w:rPr>
            </w:pPr>
          </w:p>
        </w:tc>
        <w:tc>
          <w:tcPr>
            <w:tcW w:w="960" w:type="dxa"/>
            <w:vAlign w:val="bottom"/>
            <w:tcBorders>
              <w:bottom w:val="single" w:sz="8" w:color="CCEEFF"/>
            </w:tcBorders>
          </w:tcPr>
          <w:p>
            <w:pPr>
              <w:spacing w:after="0"/>
              <w:rPr>
                <w:sz w:val="13"/>
                <w:szCs w:val="13"/>
                <w:color w:val="auto"/>
              </w:rPr>
            </w:pPr>
          </w:p>
        </w:tc>
        <w:tc>
          <w:tcPr>
            <w:tcW w:w="154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gridSpan w:val="3"/>
          </w:tcPr>
          <w:p>
            <w:pPr>
              <w:ind w:left="120"/>
              <w:spacing w:after="0"/>
              <w:rPr>
                <w:sz w:val="20"/>
                <w:szCs w:val="20"/>
                <w:color w:val="auto"/>
              </w:rPr>
            </w:pPr>
            <w:r>
              <w:rPr>
                <w:rFonts w:ascii="Arial" w:cs="Arial" w:eastAsia="Arial" w:hAnsi="Arial"/>
                <w:sz w:val="12"/>
                <w:szCs w:val="12"/>
                <w:color w:val="auto"/>
              </w:rPr>
              <w:t>Carrying Value</w:t>
            </w:r>
          </w:p>
        </w:tc>
        <w:tc>
          <w:tcPr>
            <w:tcW w:w="6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Level 1</w:t>
            </w: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Level 2</w:t>
            </w: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color w:val="auto"/>
              </w:rPr>
              <w:t>Level 3</w:t>
            </w: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w w:val="91"/>
              </w:rPr>
              <w:t>Fair Value</w:t>
            </w:r>
          </w:p>
        </w:tc>
      </w:tr>
      <w:tr>
        <w:trPr>
          <w:trHeight w:val="190"/>
        </w:trPr>
        <w:tc>
          <w:tcPr>
            <w:tcW w:w="25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Assets</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210"/>
        </w:trPr>
        <w:tc>
          <w:tcPr>
            <w:tcW w:w="2520" w:type="dxa"/>
            <w:vAlign w:val="bottom"/>
            <w:gridSpan w:val="3"/>
          </w:tcPr>
          <w:p>
            <w:pPr>
              <w:ind w:left="20"/>
              <w:spacing w:after="0"/>
              <w:rPr>
                <w:sz w:val="20"/>
                <w:szCs w:val="20"/>
                <w:color w:val="auto"/>
              </w:rPr>
            </w:pPr>
            <w:r>
              <w:rPr>
                <w:rFonts w:ascii="Arial" w:cs="Arial" w:eastAsia="Arial" w:hAnsi="Arial"/>
                <w:sz w:val="12"/>
                <w:szCs w:val="12"/>
                <w:color w:val="auto"/>
              </w:rPr>
              <w:t>Mortgage loans held for investment</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0"/>
        </w:trPr>
        <w:tc>
          <w:tcPr>
            <w:tcW w:w="2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Residential</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110,253,678</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38"/>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18"/>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115,320,638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115,320,638</w:t>
            </w:r>
          </w:p>
        </w:tc>
      </w:tr>
      <w:tr>
        <w:trPr>
          <w:trHeight w:val="210"/>
        </w:trPr>
        <w:tc>
          <w:tcPr>
            <w:tcW w:w="20" w:type="dxa"/>
            <w:vAlign w:val="bottom"/>
          </w:tcPr>
          <w:p>
            <w:pPr>
              <w:spacing w:after="0"/>
              <w:rPr>
                <w:sz w:val="18"/>
                <w:szCs w:val="18"/>
                <w:color w:val="auto"/>
              </w:rPr>
            </w:pPr>
          </w:p>
        </w:tc>
        <w:tc>
          <w:tcPr>
            <w:tcW w:w="2500" w:type="dxa"/>
            <w:vAlign w:val="bottom"/>
            <w:gridSpan w:val="2"/>
          </w:tcPr>
          <w:p>
            <w:pPr>
              <w:ind w:left="60"/>
              <w:spacing w:after="0"/>
              <w:rPr>
                <w:sz w:val="20"/>
                <w:szCs w:val="20"/>
                <w:color w:val="auto"/>
              </w:rPr>
            </w:pPr>
            <w:r>
              <w:rPr>
                <w:rFonts w:ascii="Arial" w:cs="Arial" w:eastAsia="Arial" w:hAnsi="Arial"/>
                <w:sz w:val="12"/>
                <w:szCs w:val="12"/>
                <w:color w:val="auto"/>
              </w:rPr>
              <w:t>Residential construction</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88,651,967</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88,651,967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88,651,967</w:t>
            </w:r>
          </w:p>
        </w:tc>
      </w:tr>
      <w:tr>
        <w:trPr>
          <w:trHeight w:val="210"/>
        </w:trPr>
        <w:tc>
          <w:tcPr>
            <w:tcW w:w="2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Commercial</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37,788,901</w:t>
            </w:r>
          </w:p>
        </w:tc>
        <w:tc>
          <w:tcPr>
            <w:tcW w:w="1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39,289,462</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39,289,462</w:t>
            </w:r>
          </w:p>
        </w:tc>
      </w:tr>
      <w:tr>
        <w:trPr>
          <w:trHeight w:val="190"/>
        </w:trPr>
        <w:tc>
          <w:tcPr>
            <w:tcW w:w="2520" w:type="dxa"/>
            <w:vAlign w:val="bottom"/>
            <w:gridSpan w:val="3"/>
          </w:tcPr>
          <w:p>
            <w:pPr>
              <w:ind w:left="20"/>
              <w:spacing w:after="0"/>
              <w:rPr>
                <w:sz w:val="20"/>
                <w:szCs w:val="20"/>
                <w:color w:val="auto"/>
              </w:rPr>
            </w:pPr>
            <w:r>
              <w:rPr>
                <w:rFonts w:ascii="Arial" w:cs="Arial" w:eastAsia="Arial" w:hAnsi="Arial"/>
                <w:sz w:val="12"/>
                <w:szCs w:val="12"/>
                <w:color w:val="auto"/>
              </w:rPr>
              <w:t>Mortgage loans held for investment, net</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236,694,546</w:t>
            </w:r>
          </w:p>
        </w:tc>
        <w:tc>
          <w:tcPr>
            <w:tcW w:w="180" w:type="dxa"/>
            <w:vAlign w:val="bottom"/>
          </w:tcPr>
          <w:p>
            <w:pPr>
              <w:spacing w:after="0"/>
              <w:rPr>
                <w:sz w:val="16"/>
                <w:szCs w:val="16"/>
                <w:color w:val="auto"/>
              </w:rPr>
            </w:pPr>
          </w:p>
        </w:tc>
        <w:tc>
          <w:tcPr>
            <w:tcW w:w="640" w:type="dxa"/>
            <w:vAlign w:val="bottom"/>
          </w:tcPr>
          <w:p>
            <w:pPr>
              <w:jc w:val="right"/>
              <w:ind w:right="438"/>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6"/>
                <w:szCs w:val="16"/>
                <w:color w:val="auto"/>
              </w:rPr>
            </w:pPr>
          </w:p>
        </w:tc>
        <w:tc>
          <w:tcPr>
            <w:tcW w:w="740" w:type="dxa"/>
            <w:vAlign w:val="bottom"/>
          </w:tcPr>
          <w:p>
            <w:pPr>
              <w:jc w:val="right"/>
              <w:ind w:right="518"/>
              <w:spacing w:after="0"/>
              <w:rPr>
                <w:sz w:val="20"/>
                <w:szCs w:val="20"/>
                <w:color w:val="auto"/>
              </w:rPr>
            </w:pPr>
            <w:r>
              <w:rPr>
                <w:rFonts w:ascii="Arial" w:cs="Arial" w:eastAsia="Arial" w:hAnsi="Arial"/>
                <w:sz w:val="12"/>
                <w:szCs w:val="12"/>
                <w:color w:val="auto"/>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243,262,067</w:t>
            </w:r>
          </w:p>
        </w:tc>
        <w:tc>
          <w:tcPr>
            <w:tcW w:w="1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243,262,067</w:t>
            </w:r>
          </w:p>
        </w:tc>
      </w:tr>
      <w:tr>
        <w:trPr>
          <w:trHeight w:val="210"/>
        </w:trPr>
        <w:tc>
          <w:tcPr>
            <w:tcW w:w="25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Policy loans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14,762,805</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14,762,805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14,762,805</w:t>
            </w:r>
          </w:p>
        </w:tc>
      </w:tr>
      <w:tr>
        <w:trPr>
          <w:trHeight w:val="210"/>
        </w:trPr>
        <w:tc>
          <w:tcPr>
            <w:tcW w:w="2520" w:type="dxa"/>
            <w:vAlign w:val="bottom"/>
            <w:gridSpan w:val="3"/>
          </w:tcPr>
          <w:p>
            <w:pPr>
              <w:ind w:left="20"/>
              <w:spacing w:after="0"/>
              <w:rPr>
                <w:sz w:val="20"/>
                <w:szCs w:val="20"/>
                <w:color w:val="auto"/>
              </w:rPr>
            </w:pPr>
            <w:r>
              <w:rPr>
                <w:rFonts w:ascii="Arial" w:cs="Arial" w:eastAsia="Arial" w:hAnsi="Arial"/>
                <w:sz w:val="12"/>
                <w:szCs w:val="12"/>
                <w:color w:val="auto"/>
              </w:rPr>
              <w:t>Insurance assignments, net (1)</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39,614,939</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39,614,939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39,614,939</w:t>
            </w:r>
          </w:p>
        </w:tc>
      </w:tr>
      <w:tr>
        <w:trPr>
          <w:trHeight w:val="210"/>
        </w:trPr>
        <w:tc>
          <w:tcPr>
            <w:tcW w:w="25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Restricted assets (2)</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2,275,756</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2,289,679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2,289,679</w:t>
            </w:r>
          </w:p>
        </w:tc>
      </w:tr>
      <w:tr>
        <w:trPr>
          <w:trHeight w:val="210"/>
        </w:trPr>
        <w:tc>
          <w:tcPr>
            <w:tcW w:w="2520" w:type="dxa"/>
            <w:vAlign w:val="bottom"/>
            <w:gridSpan w:val="3"/>
          </w:tcPr>
          <w:p>
            <w:pPr>
              <w:ind w:left="20"/>
              <w:spacing w:after="0"/>
              <w:rPr>
                <w:sz w:val="20"/>
                <w:szCs w:val="20"/>
                <w:color w:val="auto"/>
              </w:rPr>
            </w:pPr>
            <w:r>
              <w:rPr>
                <w:rFonts w:ascii="Arial" w:cs="Arial" w:eastAsia="Arial" w:hAnsi="Arial"/>
                <w:sz w:val="12"/>
                <w:szCs w:val="12"/>
                <w:color w:val="auto"/>
              </w:rPr>
              <w:t>Cemetery perpetual care trust investments (2)</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524,000</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536,553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536,553</w:t>
            </w:r>
          </w:p>
        </w:tc>
      </w:tr>
      <w:tr>
        <w:trPr>
          <w:trHeight w:val="210"/>
        </w:trPr>
        <w:tc>
          <w:tcPr>
            <w:tcW w:w="25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Mortgage servicing rights, net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17,155,529</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22,784,571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22,784,571</w:t>
            </w:r>
          </w:p>
        </w:tc>
      </w:tr>
      <w:tr>
        <w:trPr>
          <w:trHeight w:val="152"/>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10"/>
        </w:trPr>
        <w:tc>
          <w:tcPr>
            <w:tcW w:w="25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Liabilities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0"/>
        </w:trPr>
        <w:tc>
          <w:tcPr>
            <w:tcW w:w="2520" w:type="dxa"/>
            <w:vAlign w:val="bottom"/>
            <w:gridSpan w:val="3"/>
          </w:tcPr>
          <w:p>
            <w:pPr>
              <w:ind w:left="20"/>
              <w:spacing w:after="0"/>
              <w:rPr>
                <w:sz w:val="20"/>
                <w:szCs w:val="20"/>
                <w:color w:val="auto"/>
              </w:rPr>
            </w:pPr>
            <w:r>
              <w:rPr>
                <w:rFonts w:ascii="Arial" w:cs="Arial" w:eastAsia="Arial" w:hAnsi="Arial"/>
                <w:sz w:val="12"/>
                <w:szCs w:val="12"/>
                <w:color w:val="auto"/>
              </w:rPr>
              <w:t>Bank and other loans payable</w:t>
            </w:r>
          </w:p>
        </w:tc>
        <w:tc>
          <w:tcPr>
            <w:tcW w:w="220" w:type="dxa"/>
            <w:vAlign w:val="bottom"/>
          </w:tcPr>
          <w:p>
            <w:pPr>
              <w:ind w:left="10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w w:val="98"/>
              </w:rPr>
              <w:t>(217,572,612)</w:t>
            </w:r>
          </w:p>
        </w:tc>
        <w:tc>
          <w:tcPr>
            <w:tcW w:w="180" w:type="dxa"/>
            <w:vAlign w:val="bottom"/>
          </w:tcPr>
          <w:p>
            <w:pPr>
              <w:spacing w:after="0"/>
              <w:rPr>
                <w:sz w:val="18"/>
                <w:szCs w:val="18"/>
                <w:color w:val="auto"/>
              </w:rPr>
            </w:pPr>
          </w:p>
        </w:tc>
        <w:tc>
          <w:tcPr>
            <w:tcW w:w="640" w:type="dxa"/>
            <w:vAlign w:val="bottom"/>
          </w:tcPr>
          <w:p>
            <w:pPr>
              <w:jc w:val="right"/>
              <w:ind w:right="438"/>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8"/>
                <w:szCs w:val="18"/>
                <w:color w:val="auto"/>
              </w:rPr>
            </w:pPr>
          </w:p>
        </w:tc>
        <w:tc>
          <w:tcPr>
            <w:tcW w:w="740" w:type="dxa"/>
            <w:vAlign w:val="bottom"/>
          </w:tcPr>
          <w:p>
            <w:pPr>
              <w:jc w:val="right"/>
              <w:ind w:right="518"/>
              <w:spacing w:after="0"/>
              <w:rPr>
                <w:sz w:val="20"/>
                <w:szCs w:val="20"/>
                <w:color w:val="auto"/>
              </w:rPr>
            </w:pPr>
            <w:r>
              <w:rPr>
                <w:rFonts w:ascii="Arial" w:cs="Arial" w:eastAsia="Arial" w:hAnsi="Arial"/>
                <w:sz w:val="12"/>
                <w:szCs w:val="12"/>
                <w:color w:val="auto"/>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w w:val="96"/>
              </w:rPr>
              <w:t>(217,572,612)</w:t>
            </w:r>
          </w:p>
        </w:tc>
        <w:tc>
          <w:tcPr>
            <w:tcW w:w="1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w w:val="98"/>
              </w:rPr>
              <w:t>(217,572,612)</w:t>
            </w:r>
          </w:p>
        </w:tc>
      </w:tr>
      <w:tr>
        <w:trPr>
          <w:trHeight w:val="210"/>
        </w:trPr>
        <w:tc>
          <w:tcPr>
            <w:tcW w:w="25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Policyholder account balances (3)</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(45,154,180)</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(41,828,469)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(41,828,469)</w:t>
            </w:r>
          </w:p>
        </w:tc>
      </w:tr>
      <w:tr>
        <w:trPr>
          <w:trHeight w:val="210"/>
        </w:trPr>
        <w:tc>
          <w:tcPr>
            <w:tcW w:w="2520" w:type="dxa"/>
            <w:vAlign w:val="bottom"/>
            <w:gridSpan w:val="3"/>
          </w:tcPr>
          <w:p>
            <w:pPr>
              <w:ind w:left="20"/>
              <w:spacing w:after="0"/>
              <w:rPr>
                <w:sz w:val="20"/>
                <w:szCs w:val="20"/>
                <w:color w:val="auto"/>
              </w:rPr>
            </w:pPr>
            <w:r>
              <w:rPr>
                <w:rFonts w:ascii="Arial" w:cs="Arial" w:eastAsia="Arial" w:hAnsi="Arial"/>
                <w:sz w:val="12"/>
                <w:szCs w:val="12"/>
                <w:color w:val="auto"/>
              </w:rPr>
              <w:t>Future policy benefits - annuities (3)</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w w:val="98"/>
              </w:rPr>
              <w:t>(113,579,830)</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w w:val="96"/>
              </w:rPr>
              <w:t>(117,304,614)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w w:val="98"/>
              </w:rPr>
              <w:t>(117,304,614)</w:t>
            </w:r>
          </w:p>
        </w:tc>
      </w:tr>
      <w:tr>
        <w:trPr>
          <w:trHeight w:val="140"/>
        </w:trPr>
        <w:tc>
          <w:tcPr>
            <w:tcW w:w="2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spacing w:after="0"/>
              <w:rPr>
                <w:sz w:val="12"/>
                <w:szCs w:val="12"/>
                <w:color w:val="auto"/>
              </w:rPr>
            </w:pPr>
          </w:p>
        </w:tc>
        <w:tc>
          <w:tcPr>
            <w:tcW w:w="15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r>
    </w:tbl>
    <w:p>
      <w:pPr>
        <w:spacing w:after="0" w:line="54" w:lineRule="exact"/>
        <w:rPr>
          <w:sz w:val="20"/>
          <w:szCs w:val="20"/>
          <w:color w:val="auto"/>
        </w:rPr>
      </w:pPr>
    </w:p>
    <w:p>
      <w:pPr>
        <w:ind w:left="200" w:hanging="183"/>
        <w:spacing w:after="0"/>
        <w:tabs>
          <w:tab w:leader="none" w:pos="200" w:val="left"/>
        </w:tabs>
        <w:numPr>
          <w:ilvl w:val="0"/>
          <w:numId w:val="43"/>
        </w:numPr>
        <w:rPr>
          <w:rFonts w:ascii="Arial" w:cs="Arial" w:eastAsia="Arial" w:hAnsi="Arial"/>
          <w:sz w:val="12"/>
          <w:szCs w:val="12"/>
          <w:color w:val="auto"/>
        </w:rPr>
      </w:pPr>
      <w:r>
        <w:rPr>
          <w:rFonts w:ascii="Arial" w:cs="Arial" w:eastAsia="Arial" w:hAnsi="Arial"/>
          <w:sz w:val="12"/>
          <w:szCs w:val="12"/>
          <w:color w:val="auto"/>
        </w:rPr>
        <w:t>Included in other investments and policy loans on the condensed consolidated balance sheets</w:t>
      </w:r>
    </w:p>
    <w:p>
      <w:pPr>
        <w:spacing w:after="0" w:line="72" w:lineRule="exact"/>
        <w:rPr>
          <w:rFonts w:ascii="Arial" w:cs="Arial" w:eastAsia="Arial" w:hAnsi="Arial"/>
          <w:sz w:val="12"/>
          <w:szCs w:val="12"/>
          <w:color w:val="auto"/>
        </w:rPr>
      </w:pPr>
    </w:p>
    <w:p>
      <w:pPr>
        <w:ind w:left="200" w:hanging="183"/>
        <w:spacing w:after="0"/>
        <w:tabs>
          <w:tab w:leader="none" w:pos="200" w:val="left"/>
        </w:tabs>
        <w:numPr>
          <w:ilvl w:val="0"/>
          <w:numId w:val="43"/>
        </w:numPr>
        <w:rPr>
          <w:rFonts w:ascii="Arial" w:cs="Arial" w:eastAsia="Arial" w:hAnsi="Arial"/>
          <w:sz w:val="12"/>
          <w:szCs w:val="12"/>
          <w:color w:val="auto"/>
        </w:rPr>
      </w:pPr>
      <w:r>
        <w:rPr>
          <w:rFonts w:ascii="Arial" w:cs="Arial" w:eastAsia="Arial" w:hAnsi="Arial"/>
          <w:sz w:val="12"/>
          <w:szCs w:val="12"/>
          <w:color w:val="auto"/>
        </w:rPr>
        <w:t>Mortgage loans held for investment</w:t>
      </w:r>
    </w:p>
    <w:p>
      <w:pPr>
        <w:spacing w:after="0" w:line="72" w:lineRule="exact"/>
        <w:rPr>
          <w:rFonts w:ascii="Arial" w:cs="Arial" w:eastAsia="Arial" w:hAnsi="Arial"/>
          <w:sz w:val="12"/>
          <w:szCs w:val="12"/>
          <w:color w:val="auto"/>
        </w:rPr>
      </w:pPr>
    </w:p>
    <w:p>
      <w:pPr>
        <w:ind w:left="200" w:hanging="183"/>
        <w:spacing w:after="0"/>
        <w:tabs>
          <w:tab w:leader="none" w:pos="200" w:val="left"/>
        </w:tabs>
        <w:numPr>
          <w:ilvl w:val="0"/>
          <w:numId w:val="43"/>
        </w:numPr>
        <w:rPr>
          <w:rFonts w:ascii="Arial" w:cs="Arial" w:eastAsia="Arial" w:hAnsi="Arial"/>
          <w:sz w:val="12"/>
          <w:szCs w:val="12"/>
          <w:color w:val="auto"/>
        </w:rPr>
      </w:pPr>
      <w:r>
        <w:rPr>
          <w:rFonts w:ascii="Arial" w:cs="Arial" w:eastAsia="Arial" w:hAnsi="Arial"/>
          <w:sz w:val="12"/>
          <w:szCs w:val="12"/>
          <w:color w:val="auto"/>
        </w:rPr>
        <w:t>Included in future policy benefits and unpaid claims on the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4989830" cy="133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989830" cy="133350"/>
                    </a:xfrm>
                    <a:prstGeom prst="rect">
                      <a:avLst/>
                    </a:prstGeom>
                    <a:noFill/>
                  </pic:spPr>
                </pic:pic>
              </a:graphicData>
            </a:graphic>
          </wp:anchor>
        </w:drawing>
      </w:r>
    </w:p>
    <w:p>
      <w:pPr>
        <w:sectPr>
          <w:pgSz w:w="11900" w:h="16838" w:orient="portrait"/>
          <w:cols w:equalWidth="0" w:num="1">
            <w:col w:w="9379"/>
          </w:cols>
          <w:pgMar w:left="1080" w:top="124" w:right="1440" w:bottom="1440" w:gutter="0" w:footer="0" w:header="0"/>
        </w:sectPr>
      </w:pPr>
    </w:p>
    <w:p>
      <w:pPr>
        <w:spacing w:after="0" w:line="214"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498983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989830" cy="29845"/>
                    </a:xfrm>
                    <a:prstGeom prst="rect">
                      <a:avLst/>
                    </a:prstGeom>
                    <a:noFill/>
                  </pic:spPr>
                </pic:pic>
              </a:graphicData>
            </a:graphic>
          </wp:anchor>
        </w:drawing>
      </w:r>
    </w:p>
    <w:p>
      <w:pPr>
        <w:sectPr>
          <w:pgSz w:w="11900" w:h="16838" w:orient="portrait"/>
          <w:cols w:equalWidth="0" w:num="1">
            <w:col w:w="9379"/>
          </w:cols>
          <w:pgMar w:left="1080" w:top="124" w:right="1440" w:bottom="1440" w:gutter="0" w:footer="0" w:header="0"/>
          <w:type w:val="continuous"/>
        </w:sectPr>
      </w:pPr>
    </w:p>
    <w:bookmarkStart w:id="37" w:name="page38"/>
    <w:bookmarkEnd w:id="37"/>
    <w:p>
      <w:pPr>
        <w:jc w:val="center"/>
        <w:ind w:right="1519"/>
        <w:spacing w:after="0" w:line="257" w:lineRule="auto"/>
        <w:rPr>
          <w:sz w:val="20"/>
          <w:szCs w:val="20"/>
          <w:color w:val="auto"/>
        </w:rPr>
      </w:pPr>
      <w:r>
        <w:rPr>
          <w:rFonts w:ascii="Arial" w:cs="Arial" w:eastAsia="Arial" w:hAnsi="Arial"/>
          <w:sz w:val="17"/>
          <w:szCs w:val="17"/>
          <w:color w:val="auto"/>
        </w:rPr>
        <w:t>SECURITY NATIONAL FINANCIAL CORPORATION AND SUBSIDIARIES Notes to Condensed Consolidated Financial Statements March 31, 2020 (Unaudited)</w:t>
      </w:r>
    </w:p>
    <w:p>
      <w:pPr>
        <w:spacing w:after="0" w:line="75" w:lineRule="exact"/>
        <w:rPr>
          <w:sz w:val="20"/>
          <w:szCs w:val="20"/>
          <w:color w:val="auto"/>
        </w:rPr>
      </w:pPr>
    </w:p>
    <w:p>
      <w:pPr>
        <w:ind w:left="420" w:hanging="415"/>
        <w:spacing w:after="0"/>
        <w:tabs>
          <w:tab w:leader="none" w:pos="420"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Fair Value of Financial Instruments</w:t>
      </w:r>
      <w:r>
        <w:rPr>
          <w:rFonts w:ascii="Arial" w:cs="Arial" w:eastAsia="Arial" w:hAnsi="Arial"/>
          <w:sz w:val="17"/>
          <w:szCs w:val="17"/>
          <w:color w:val="auto"/>
        </w:rPr>
        <w:t xml:space="preserve"> (Continued)</w:t>
      </w:r>
    </w:p>
    <w:p>
      <w:pPr>
        <w:spacing w:after="0" w:line="225" w:lineRule="exact"/>
        <w:rPr>
          <w:sz w:val="20"/>
          <w:szCs w:val="20"/>
          <w:color w:val="auto"/>
        </w:rPr>
      </w:pPr>
    </w:p>
    <w:p>
      <w:pPr>
        <w:jc w:val="both"/>
        <w:ind w:right="1519"/>
        <w:spacing w:after="0" w:line="270" w:lineRule="auto"/>
        <w:rPr>
          <w:sz w:val="20"/>
          <w:szCs w:val="20"/>
          <w:color w:val="auto"/>
        </w:rPr>
      </w:pPr>
      <w:r>
        <w:rPr>
          <w:rFonts w:ascii="Arial" w:cs="Arial" w:eastAsia="Arial" w:hAnsi="Arial"/>
          <w:sz w:val="17"/>
          <w:szCs w:val="17"/>
          <w:color w:val="auto"/>
        </w:rPr>
        <w:t>The methods, assumptions and significant valuation techniques and inputs used to estimate the fair value of these financial instruments are summarized as follows:</w:t>
      </w:r>
    </w:p>
    <w:p>
      <w:pPr>
        <w:spacing w:after="0" w:line="157" w:lineRule="exact"/>
        <w:rPr>
          <w:sz w:val="20"/>
          <w:szCs w:val="20"/>
          <w:color w:val="auto"/>
        </w:rPr>
      </w:pPr>
    </w:p>
    <w:p>
      <w:pPr>
        <w:jc w:val="both"/>
        <w:ind w:right="1519"/>
        <w:spacing w:after="0" w:line="250" w:lineRule="auto"/>
        <w:rPr>
          <w:sz w:val="20"/>
          <w:szCs w:val="20"/>
          <w:color w:val="auto"/>
        </w:rPr>
      </w:pPr>
      <w:r>
        <w:rPr>
          <w:rFonts w:ascii="Arial" w:cs="Arial" w:eastAsia="Arial" w:hAnsi="Arial"/>
          <w:sz w:val="17"/>
          <w:szCs w:val="17"/>
          <w:i w:val="1"/>
          <w:iCs w:val="1"/>
          <w:u w:val="single" w:color="auto"/>
          <w:color w:val="auto"/>
        </w:rPr>
        <w:t>Mortgage Loans Held for Investment</w:t>
      </w:r>
      <w:r>
        <w:rPr>
          <w:rFonts w:ascii="Arial" w:cs="Arial" w:eastAsia="Arial" w:hAnsi="Arial"/>
          <w:sz w:val="17"/>
          <w:szCs w:val="17"/>
          <w:i w:val="1"/>
          <w:iCs w:val="1"/>
          <w:color w:val="auto"/>
        </w:rPr>
        <w:t xml:space="preserve">: </w:t>
      </w:r>
      <w:r>
        <w:rPr>
          <w:rFonts w:ascii="Arial" w:cs="Arial" w:eastAsia="Arial" w:hAnsi="Arial"/>
          <w:sz w:val="17"/>
          <w:szCs w:val="17"/>
          <w:color w:val="auto"/>
        </w:rPr>
        <w:t>The estimated fair value of the Company’s mortgage loans held for</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is determined using various methods. The Company’s mortgage loans are grouped into three categories: Residential, Residential Construction and Commercial. When estimating the expected future cash flows, it is assumed that all loans will be held to maturity, and any loans that are non-performing are evaluated individually for impairment.</w:t>
      </w:r>
    </w:p>
    <w:p>
      <w:pPr>
        <w:spacing w:after="0" w:line="175" w:lineRule="exact"/>
        <w:rPr>
          <w:sz w:val="20"/>
          <w:szCs w:val="20"/>
          <w:color w:val="auto"/>
        </w:rPr>
      </w:pPr>
    </w:p>
    <w:p>
      <w:pPr>
        <w:jc w:val="both"/>
        <w:ind w:left="560" w:right="1519"/>
        <w:spacing w:after="0" w:line="280" w:lineRule="auto"/>
        <w:rPr>
          <w:sz w:val="20"/>
          <w:szCs w:val="20"/>
          <w:color w:val="auto"/>
        </w:rPr>
      </w:pPr>
      <w:r>
        <w:rPr>
          <w:rFonts w:ascii="Arial" w:cs="Arial" w:eastAsia="Arial" w:hAnsi="Arial"/>
          <w:sz w:val="16"/>
          <w:szCs w:val="16"/>
          <w:color w:val="auto"/>
        </w:rPr>
        <w:t>Residential – The estimated fair value is determined through a combination of discounted cash flows (estimating expected future cash flows of payments and discounting them using current interest rates from single family mortgages) and considering pricing of similar loans that were sold recently.</w:t>
      </w:r>
    </w:p>
    <w:p>
      <w:pPr>
        <w:spacing w:after="0" w:line="151" w:lineRule="exact"/>
        <w:rPr>
          <w:sz w:val="20"/>
          <w:szCs w:val="20"/>
          <w:color w:val="auto"/>
        </w:rPr>
      </w:pPr>
    </w:p>
    <w:p>
      <w:pPr>
        <w:jc w:val="both"/>
        <w:ind w:left="560" w:right="1519"/>
        <w:spacing w:after="0" w:line="270" w:lineRule="auto"/>
        <w:rPr>
          <w:sz w:val="20"/>
          <w:szCs w:val="20"/>
          <w:color w:val="auto"/>
        </w:rPr>
      </w:pPr>
      <w:r>
        <w:rPr>
          <w:rFonts w:ascii="Arial" w:cs="Arial" w:eastAsia="Arial" w:hAnsi="Arial"/>
          <w:sz w:val="17"/>
          <w:szCs w:val="17"/>
          <w:color w:val="auto"/>
        </w:rPr>
        <w:t>Residential Construction – These loans are primarily short in maturity. Accordingly, the estimated fair value is determined to be the carrying value.</w:t>
      </w:r>
    </w:p>
    <w:p>
      <w:pPr>
        <w:spacing w:after="0" w:line="157" w:lineRule="exact"/>
        <w:rPr>
          <w:sz w:val="20"/>
          <w:szCs w:val="20"/>
          <w:color w:val="auto"/>
        </w:rPr>
      </w:pPr>
    </w:p>
    <w:p>
      <w:pPr>
        <w:jc w:val="both"/>
        <w:ind w:left="560" w:right="1519"/>
        <w:spacing w:after="0" w:line="270" w:lineRule="auto"/>
        <w:rPr>
          <w:sz w:val="20"/>
          <w:szCs w:val="20"/>
          <w:color w:val="auto"/>
        </w:rPr>
      </w:pPr>
      <w:r>
        <w:rPr>
          <w:rFonts w:ascii="Arial" w:cs="Arial" w:eastAsia="Arial" w:hAnsi="Arial"/>
          <w:sz w:val="17"/>
          <w:szCs w:val="17"/>
          <w:color w:val="auto"/>
        </w:rPr>
        <w:t>Commercial – The estimated fair value is determined by estimating expected future cash flows of payments and discounting them using current interest rates for commercial mortgages.</w:t>
      </w:r>
    </w:p>
    <w:p>
      <w:pPr>
        <w:spacing w:after="0" w:line="157" w:lineRule="exact"/>
        <w:rPr>
          <w:sz w:val="20"/>
          <w:szCs w:val="20"/>
          <w:color w:val="auto"/>
        </w:rPr>
      </w:pPr>
    </w:p>
    <w:p>
      <w:pPr>
        <w:jc w:val="both"/>
        <w:ind w:right="1519"/>
        <w:spacing w:after="0" w:line="257" w:lineRule="auto"/>
        <w:rPr>
          <w:sz w:val="20"/>
          <w:szCs w:val="20"/>
          <w:color w:val="auto"/>
        </w:rPr>
      </w:pPr>
      <w:r>
        <w:rPr>
          <w:rFonts w:ascii="Arial" w:cs="Arial" w:eastAsia="Arial" w:hAnsi="Arial"/>
          <w:sz w:val="17"/>
          <w:szCs w:val="17"/>
          <w:i w:val="1"/>
          <w:iCs w:val="1"/>
          <w:u w:val="single" w:color="auto"/>
          <w:color w:val="auto"/>
        </w:rPr>
        <w:t>Policy Loans</w:t>
      </w:r>
      <w:r>
        <w:rPr>
          <w:rFonts w:ascii="Arial" w:cs="Arial" w:eastAsia="Arial" w:hAnsi="Arial"/>
          <w:sz w:val="17"/>
          <w:szCs w:val="17"/>
          <w:color w:val="auto"/>
        </w:rPr>
        <w:t>: The carrying amounts reported in the accompanying condensed consolidated balance sheet for these</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instruments approximate their fair values because they are fully collateralized by the cash surrender value of the underlying insurance policies.</w:t>
      </w:r>
    </w:p>
    <w:p>
      <w:pPr>
        <w:spacing w:after="0" w:line="167" w:lineRule="exact"/>
        <w:rPr>
          <w:sz w:val="20"/>
          <w:szCs w:val="20"/>
          <w:color w:val="auto"/>
        </w:rPr>
      </w:pPr>
    </w:p>
    <w:p>
      <w:pPr>
        <w:jc w:val="both"/>
        <w:ind w:right="1519"/>
        <w:spacing w:after="0" w:line="257" w:lineRule="auto"/>
        <w:rPr>
          <w:sz w:val="20"/>
          <w:szCs w:val="20"/>
          <w:color w:val="auto"/>
        </w:rPr>
      </w:pPr>
      <w:r>
        <w:rPr>
          <w:rFonts w:ascii="Arial" w:cs="Arial" w:eastAsia="Arial" w:hAnsi="Arial"/>
          <w:sz w:val="17"/>
          <w:szCs w:val="17"/>
          <w:i w:val="1"/>
          <w:iCs w:val="1"/>
          <w:u w:val="single" w:color="auto"/>
          <w:color w:val="auto"/>
        </w:rPr>
        <w:t>Insurance Assignments, Net</w:t>
      </w:r>
      <w:r>
        <w:rPr>
          <w:rFonts w:ascii="Arial" w:cs="Arial" w:eastAsia="Arial" w:hAnsi="Arial"/>
          <w:sz w:val="17"/>
          <w:szCs w:val="17"/>
          <w:color w:val="auto"/>
        </w:rPr>
        <w:t>: These investments are primarily short in maturity, accordingly, the carrying amounts</w:t>
      </w:r>
      <w:r>
        <w:rPr>
          <w:rFonts w:ascii="Arial" w:cs="Arial" w:eastAsia="Arial" w:hAnsi="Arial"/>
          <w:sz w:val="17"/>
          <w:szCs w:val="17"/>
          <w:i w:val="1"/>
          <w:iCs w:val="1"/>
          <w:color w:val="auto"/>
        </w:rPr>
        <w:t xml:space="preserve"> </w:t>
      </w:r>
      <w:r>
        <w:rPr>
          <w:rFonts w:ascii="Arial" w:cs="Arial" w:eastAsia="Arial" w:hAnsi="Arial"/>
          <w:sz w:val="17"/>
          <w:szCs w:val="17"/>
          <w:color w:val="auto"/>
        </w:rPr>
        <w:t>reported in the accompanying condensed consolidated balance sheet for these financial instruments approximate their fair values.</w:t>
      </w:r>
    </w:p>
    <w:p>
      <w:pPr>
        <w:spacing w:after="0" w:line="167" w:lineRule="exact"/>
        <w:rPr>
          <w:sz w:val="20"/>
          <w:szCs w:val="20"/>
          <w:color w:val="auto"/>
        </w:rPr>
      </w:pPr>
    </w:p>
    <w:p>
      <w:pPr>
        <w:jc w:val="both"/>
        <w:ind w:right="1519"/>
        <w:spacing w:after="0" w:line="257" w:lineRule="auto"/>
        <w:rPr>
          <w:sz w:val="20"/>
          <w:szCs w:val="20"/>
          <w:color w:val="auto"/>
        </w:rPr>
      </w:pPr>
      <w:r>
        <w:rPr>
          <w:rFonts w:ascii="Arial" w:cs="Arial" w:eastAsia="Arial" w:hAnsi="Arial"/>
          <w:sz w:val="17"/>
          <w:szCs w:val="17"/>
          <w:i w:val="1"/>
          <w:iCs w:val="1"/>
          <w:u w:val="single" w:color="auto"/>
          <w:color w:val="auto"/>
        </w:rPr>
        <w:t>Bank and Other Loans Payable</w:t>
      </w:r>
      <w:r>
        <w:rPr>
          <w:rFonts w:ascii="Arial" w:cs="Arial" w:eastAsia="Arial" w:hAnsi="Arial"/>
          <w:sz w:val="17"/>
          <w:szCs w:val="17"/>
          <w:color w:val="auto"/>
        </w:rPr>
        <w:t>: The carrying amounts reported in the accompanying condensed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balance sheet for these financial instruments approximate their fair values due to their relatively short-term maturities and variable interest rates.</w:t>
      </w:r>
    </w:p>
    <w:p>
      <w:pPr>
        <w:spacing w:after="0" w:line="167" w:lineRule="exact"/>
        <w:rPr>
          <w:sz w:val="20"/>
          <w:szCs w:val="20"/>
          <w:color w:val="auto"/>
        </w:rPr>
      </w:pPr>
    </w:p>
    <w:p>
      <w:pPr>
        <w:jc w:val="both"/>
        <w:ind w:right="1519"/>
        <w:spacing w:after="0" w:line="267" w:lineRule="auto"/>
        <w:rPr>
          <w:sz w:val="20"/>
          <w:szCs w:val="20"/>
          <w:color w:val="auto"/>
        </w:rPr>
      </w:pPr>
      <w:r>
        <w:rPr>
          <w:rFonts w:ascii="Arial" w:cs="Arial" w:eastAsia="Arial" w:hAnsi="Arial"/>
          <w:sz w:val="16"/>
          <w:szCs w:val="16"/>
          <w:i w:val="1"/>
          <w:iCs w:val="1"/>
          <w:u w:val="single" w:color="auto"/>
          <w:color w:val="auto"/>
        </w:rPr>
        <w:t>Policyholder Account Balances and Future Policy Benefits-Annuities</w:t>
      </w:r>
      <w:r>
        <w:rPr>
          <w:rFonts w:ascii="Arial" w:cs="Arial" w:eastAsia="Arial" w:hAnsi="Arial"/>
          <w:sz w:val="16"/>
          <w:szCs w:val="16"/>
          <w:color w:val="auto"/>
        </w:rPr>
        <w:t>: Future policy benefit reserves for interest-sensitive insurance products are computed under a retrospective deposit method and represent policy account balances before applicable surrender charges. Policy benefits and claims that are charged to expense include benefit claims incurred in the period in excess of related policy account balances. Interest crediting rates for interest-sensitive insurance products ranged from 1.5% to 6.5%. The fair values for these investment-type insurance contracts are estimated based on the present value of liability cash flows.</w:t>
      </w:r>
    </w:p>
    <w:p>
      <w:pPr>
        <w:spacing w:after="0" w:line="163" w:lineRule="exact"/>
        <w:rPr>
          <w:sz w:val="20"/>
          <w:szCs w:val="20"/>
          <w:color w:val="auto"/>
        </w:rPr>
      </w:pPr>
    </w:p>
    <w:p>
      <w:pPr>
        <w:jc w:val="both"/>
        <w:ind w:right="1519"/>
        <w:spacing w:after="0" w:line="297" w:lineRule="auto"/>
        <w:rPr>
          <w:sz w:val="20"/>
          <w:szCs w:val="20"/>
          <w:color w:val="auto"/>
        </w:rPr>
      </w:pPr>
      <w:r>
        <w:rPr>
          <w:rFonts w:ascii="Arial" w:cs="Arial" w:eastAsia="Arial" w:hAnsi="Arial"/>
          <w:sz w:val="15"/>
          <w:szCs w:val="15"/>
          <w:color w:val="auto"/>
        </w:rPr>
        <w:t>The fair values for the Company’s insurance contracts other than investment-type contracts are not required to be disclosed. However, the fair values of liabilities under all insurance contracts are taken into consideration in the Company’s overall management of interest rate risk, such that the Company’s exposure to changing interest rates is minimized through the matching of investment maturities with amounts due under insurance contracts.</w:t>
      </w:r>
    </w:p>
    <w:p>
      <w:pPr>
        <w:spacing w:after="0" w:line="15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93345</wp:posOffset>
            </wp:positionV>
            <wp:extent cx="498983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989830" cy="29845"/>
                    </a:xfrm>
                    <a:prstGeom prst="rect">
                      <a:avLst/>
                    </a:prstGeom>
                    <a:noFill/>
                  </pic:spPr>
                </pic:pic>
              </a:graphicData>
            </a:graphic>
          </wp:anchor>
        </w:drawing>
      </w:r>
    </w:p>
    <w:p>
      <w:pPr>
        <w:sectPr>
          <w:pgSz w:w="11900" w:h="16838" w:orient="portrait"/>
          <w:cols w:equalWidth="0" w:num="1">
            <w:col w:w="9379"/>
          </w:cols>
          <w:pgMar w:left="1080" w:top="124" w:right="1440" w:bottom="1440" w:gutter="0" w:footer="0" w:header="0"/>
        </w:sectPr>
      </w:pPr>
    </w:p>
    <w:bookmarkStart w:id="38" w:name="page39"/>
    <w:bookmarkEnd w:id="38"/>
    <w:p>
      <w:pPr>
        <w:jc w:val="center"/>
        <w:ind w:right="1519"/>
        <w:spacing w:after="0" w:line="257" w:lineRule="auto"/>
        <w:rPr>
          <w:sz w:val="20"/>
          <w:szCs w:val="20"/>
          <w:color w:val="auto"/>
        </w:rPr>
      </w:pPr>
      <w:r>
        <w:rPr>
          <w:rFonts w:ascii="Arial" w:cs="Arial" w:eastAsia="Arial" w:hAnsi="Arial"/>
          <w:sz w:val="17"/>
          <w:szCs w:val="17"/>
          <w:color w:val="auto"/>
        </w:rPr>
        <w:t>SECURITY NATIONAL FINANCIAL CORPORATION AND SUBSIDIARIES Notes to Condensed Consolidated Financial Statements March 31, 2020 (Unaudited)</w:t>
      </w:r>
    </w:p>
    <w:p>
      <w:pPr>
        <w:spacing w:after="0" w:line="192" w:lineRule="exact"/>
        <w:rPr>
          <w:sz w:val="20"/>
          <w:szCs w:val="20"/>
          <w:color w:val="auto"/>
        </w:rPr>
      </w:pPr>
    </w:p>
    <w:p>
      <w:pPr>
        <w:ind w:left="420" w:hanging="415"/>
        <w:spacing w:after="0"/>
        <w:tabs>
          <w:tab w:leader="none" w:pos="420"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Allowance for Doubtful Accounts</w:t>
      </w:r>
    </w:p>
    <w:p>
      <w:pPr>
        <w:spacing w:after="0" w:line="202" w:lineRule="exact"/>
        <w:rPr>
          <w:sz w:val="20"/>
          <w:szCs w:val="20"/>
          <w:color w:val="auto"/>
        </w:rPr>
      </w:pPr>
    </w:p>
    <w:p>
      <w:pPr>
        <w:jc w:val="both"/>
        <w:ind w:right="1519"/>
        <w:spacing w:after="0" w:line="270" w:lineRule="auto"/>
        <w:rPr>
          <w:sz w:val="20"/>
          <w:szCs w:val="20"/>
          <w:color w:val="auto"/>
        </w:rPr>
      </w:pPr>
      <w:r>
        <w:rPr>
          <w:rFonts w:ascii="Arial" w:cs="Arial" w:eastAsia="Arial" w:hAnsi="Arial"/>
          <w:sz w:val="17"/>
          <w:szCs w:val="17"/>
          <w:color w:val="auto"/>
        </w:rPr>
        <w:t>The Company records an allowance and recognizes an expense for potential losses from other investments and receivables in accordance with generally accepted accounting principles.</w:t>
      </w:r>
    </w:p>
    <w:p>
      <w:pPr>
        <w:spacing w:after="0" w:line="157" w:lineRule="exact"/>
        <w:rPr>
          <w:sz w:val="20"/>
          <w:szCs w:val="20"/>
          <w:color w:val="auto"/>
        </w:rPr>
      </w:pPr>
    </w:p>
    <w:p>
      <w:pPr>
        <w:jc w:val="both"/>
        <w:ind w:right="1519"/>
        <w:spacing w:after="0" w:line="249" w:lineRule="auto"/>
        <w:rPr>
          <w:sz w:val="20"/>
          <w:szCs w:val="20"/>
          <w:color w:val="auto"/>
        </w:rPr>
      </w:pPr>
      <w:r>
        <w:rPr>
          <w:rFonts w:ascii="Arial" w:cs="Arial" w:eastAsia="Arial" w:hAnsi="Arial"/>
          <w:sz w:val="17"/>
          <w:szCs w:val="17"/>
          <w:color w:val="auto"/>
        </w:rPr>
        <w:t>Receivables are the result of cemetery and mortuary operations, mortgage loan operations and life insurance operations. The allowance is based upon the Company’s historical experience for collectively evaluated impairment. Other allowances are based upon receivables individually evaluated for impairment. Collectability of the cemetery and mortuary receivables is significantly influenced by current economic conditions. The critical issues that impact recovery of mortgage loan operations are interest rate risk, loan underwriting, new regulations and the overall economy</w:t>
      </w:r>
    </w:p>
    <w:p>
      <w:pPr>
        <w:spacing w:after="0" w:line="175" w:lineRule="exact"/>
        <w:rPr>
          <w:sz w:val="20"/>
          <w:szCs w:val="20"/>
          <w:color w:val="auto"/>
        </w:rPr>
      </w:pPr>
    </w:p>
    <w:p>
      <w:pPr>
        <w:ind w:left="420" w:hanging="415"/>
        <w:spacing w:after="0"/>
        <w:tabs>
          <w:tab w:leader="none" w:pos="420"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Derivative Instruments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Mortgage Banking Derivatives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Loan Commitments</w:t>
      </w:r>
    </w:p>
    <w:p>
      <w:pPr>
        <w:spacing w:after="0" w:line="202" w:lineRule="exact"/>
        <w:rPr>
          <w:sz w:val="20"/>
          <w:szCs w:val="20"/>
          <w:color w:val="auto"/>
        </w:rPr>
      </w:pPr>
    </w:p>
    <w:p>
      <w:pPr>
        <w:jc w:val="both"/>
        <w:ind w:right="1519"/>
        <w:spacing w:after="0" w:line="248" w:lineRule="auto"/>
        <w:rPr>
          <w:sz w:val="20"/>
          <w:szCs w:val="20"/>
          <w:color w:val="auto"/>
        </w:rPr>
      </w:pPr>
      <w:r>
        <w:rPr>
          <w:rFonts w:ascii="Arial" w:cs="Arial" w:eastAsia="Arial" w:hAnsi="Arial"/>
          <w:sz w:val="17"/>
          <w:szCs w:val="17"/>
          <w:color w:val="auto"/>
        </w:rPr>
        <w:t>The Company is exposed to price risk due to the potential impact of changes in interest rates on the values of loan commitments from the time a loan commitment is made to an applicant to the time the loan that would result from the exercise of that loan commitment is funded. Managing price risk is complicated by the fact that the ultimate percentage of loan commitments that will be exercised (i.e., the number of loans that will be funded) fluctuates. The probability that a loan will not be funded or the loan application is denied or withdrawn within the terms of the commitment is driven by a number of factors, particularly the change, if any, in mortgage rates following the issuance of the loan commitment.</w:t>
      </w:r>
    </w:p>
    <w:p>
      <w:pPr>
        <w:spacing w:after="0" w:line="176" w:lineRule="exact"/>
        <w:rPr>
          <w:sz w:val="20"/>
          <w:szCs w:val="20"/>
          <w:color w:val="auto"/>
        </w:rPr>
      </w:pPr>
    </w:p>
    <w:p>
      <w:pPr>
        <w:jc w:val="both"/>
        <w:ind w:right="1519"/>
        <w:spacing w:after="0" w:line="264" w:lineRule="auto"/>
        <w:rPr>
          <w:sz w:val="20"/>
          <w:szCs w:val="20"/>
          <w:color w:val="auto"/>
        </w:rPr>
      </w:pPr>
      <w:r>
        <w:rPr>
          <w:rFonts w:ascii="Arial" w:cs="Arial" w:eastAsia="Arial" w:hAnsi="Arial"/>
          <w:sz w:val="16"/>
          <w:szCs w:val="16"/>
          <w:color w:val="auto"/>
        </w:rPr>
        <w:t>In general, the probability of funding increases if mortgage rates rise and decreases if mortgage rates fall. This is due primarily to the relative attractiveness of current mortgage rates compared to the applicant’s committed rate. The probability that a loan will not be funded within the terms of the mortgage loan commitment also is influenced by the source of the applications (retail, broker or correspondent channels), proximity to rate lock expiration, purpose for the loan (purchase or refinance), product type and the application approval status. The Company has developed fallout estimates using historical data that take into account all of the variables, as well as renegotiations of rate and point commitments that tend to occur when mortgage rates fall. These fallout estimates are used to estimate the number of loans that the Company expects to be funded within the terms of the loan commitments and are updated periodically to reflect the most current data.</w:t>
      </w:r>
    </w:p>
    <w:p>
      <w:pPr>
        <w:spacing w:after="0" w:line="17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93345</wp:posOffset>
            </wp:positionV>
            <wp:extent cx="498983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989830" cy="29845"/>
                    </a:xfrm>
                    <a:prstGeom prst="rect">
                      <a:avLst/>
                    </a:prstGeom>
                    <a:noFill/>
                  </pic:spPr>
                </pic:pic>
              </a:graphicData>
            </a:graphic>
          </wp:anchor>
        </w:drawing>
      </w:r>
    </w:p>
    <w:p>
      <w:pPr>
        <w:sectPr>
          <w:pgSz w:w="11900" w:h="16838" w:orient="portrait"/>
          <w:cols w:equalWidth="0" w:num="1">
            <w:col w:w="9379"/>
          </w:cols>
          <w:pgMar w:left="1080" w:top="124" w:right="1440" w:bottom="1440" w:gutter="0" w:footer="0" w:header="0"/>
        </w:sectPr>
      </w:pPr>
    </w:p>
    <w:bookmarkStart w:id="39" w:name="page40"/>
    <w:bookmarkEnd w:id="39"/>
    <w:p>
      <w:pPr>
        <w:jc w:val="center"/>
        <w:ind w:right="1519"/>
        <w:spacing w:after="0" w:line="257" w:lineRule="auto"/>
        <w:rPr>
          <w:sz w:val="20"/>
          <w:szCs w:val="20"/>
          <w:color w:val="auto"/>
        </w:rPr>
      </w:pPr>
      <w:r>
        <w:rPr>
          <w:rFonts w:ascii="Arial" w:cs="Arial" w:eastAsia="Arial" w:hAnsi="Arial"/>
          <w:sz w:val="17"/>
          <w:szCs w:val="17"/>
          <w:color w:val="auto"/>
        </w:rPr>
        <w:t>SECURITY NATIONAL FINANCIAL CORPORATION AND SUBSIDIARIES Notes to Condensed Consolidated Financial Statements March 31, 2020 (Unaudited)</w:t>
      </w:r>
    </w:p>
    <w:p>
      <w:pPr>
        <w:spacing w:after="0" w:line="75" w:lineRule="exact"/>
        <w:rPr>
          <w:sz w:val="20"/>
          <w:szCs w:val="20"/>
          <w:color w:val="auto"/>
        </w:rPr>
      </w:pPr>
    </w:p>
    <w:p>
      <w:pPr>
        <w:ind w:left="420" w:hanging="415"/>
        <w:spacing w:after="0"/>
        <w:tabs>
          <w:tab w:leader="none" w:pos="420"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Derivative Instruments</w:t>
      </w:r>
      <w:r>
        <w:rPr>
          <w:rFonts w:ascii="Arial" w:cs="Arial" w:eastAsia="Arial" w:hAnsi="Arial"/>
          <w:sz w:val="17"/>
          <w:szCs w:val="17"/>
          <w:color w:val="auto"/>
        </w:rPr>
        <w:t xml:space="preserve"> (Continued)</w:t>
      </w:r>
    </w:p>
    <w:p>
      <w:pPr>
        <w:spacing w:after="0" w:line="225" w:lineRule="exact"/>
        <w:rPr>
          <w:sz w:val="20"/>
          <w:szCs w:val="20"/>
          <w:color w:val="auto"/>
        </w:rPr>
      </w:pPr>
    </w:p>
    <w:p>
      <w:pPr>
        <w:jc w:val="both"/>
        <w:ind w:right="1519"/>
        <w:spacing w:after="0" w:line="267" w:lineRule="auto"/>
        <w:rPr>
          <w:sz w:val="20"/>
          <w:szCs w:val="20"/>
          <w:color w:val="auto"/>
        </w:rPr>
      </w:pPr>
      <w:r>
        <w:rPr>
          <w:rFonts w:ascii="Arial" w:cs="Arial" w:eastAsia="Arial" w:hAnsi="Arial"/>
          <w:sz w:val="16"/>
          <w:szCs w:val="16"/>
          <w:color w:val="auto"/>
        </w:rPr>
        <w:t>The Company estimates the fair value of a loan commitment based on the change in estimated fair value of the underlying mortgage loan, quoted mortgage-backed securities (“MBS”) prices, estimates of the fair value of mortgage servicing rights, and an estimate of the probability that the mortgage loan will fund within the terms of the commitment. The change in fair value of the underlying mortgage loan is measured from the date the loan commitment is issued and is shown net of expenses. Following issuance, the value of a loan commitment can be either positive or negative depending upon the change in value of the underlying mortgage loans.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Forward Sale Commitments</w:t>
      </w:r>
    </w:p>
    <w:p>
      <w:pPr>
        <w:spacing w:after="0" w:line="202" w:lineRule="exact"/>
        <w:rPr>
          <w:sz w:val="20"/>
          <w:szCs w:val="20"/>
          <w:color w:val="auto"/>
        </w:rPr>
      </w:pPr>
    </w:p>
    <w:p>
      <w:pPr>
        <w:jc w:val="both"/>
        <w:ind w:right="1519"/>
        <w:spacing w:after="0" w:line="269" w:lineRule="auto"/>
        <w:rPr>
          <w:sz w:val="20"/>
          <w:szCs w:val="20"/>
          <w:color w:val="auto"/>
        </w:rPr>
      </w:pPr>
      <w:r>
        <w:rPr>
          <w:rFonts w:ascii="Arial" w:cs="Arial" w:eastAsia="Arial" w:hAnsi="Arial"/>
          <w:sz w:val="16"/>
          <w:szCs w:val="16"/>
          <w:color w:val="auto"/>
        </w:rPr>
        <w:t>The Company utilizes forward commitments to economically hedge the price risk associated with its outstanding mortgage loan commitments. A forward commitment protects the Company from losses on sales of the loans arising from exercise of the loan commitments. Management expects these types of commitments will experience changes in fair value opposite to changes in fair value of the loan commitments, thereby reducing earnings volatility related to the recognition in earnings of changes in the values of the commitments.</w:t>
      </w:r>
    </w:p>
    <w:p>
      <w:pPr>
        <w:spacing w:after="0" w:line="162" w:lineRule="exact"/>
        <w:rPr>
          <w:sz w:val="20"/>
          <w:szCs w:val="20"/>
          <w:color w:val="auto"/>
        </w:rPr>
      </w:pPr>
    </w:p>
    <w:p>
      <w:pPr>
        <w:jc w:val="both"/>
        <w:ind w:right="1519"/>
        <w:spacing w:after="0" w:line="307" w:lineRule="auto"/>
        <w:rPr>
          <w:sz w:val="20"/>
          <w:szCs w:val="20"/>
          <w:color w:val="auto"/>
        </w:rPr>
      </w:pPr>
      <w:r>
        <w:rPr>
          <w:rFonts w:ascii="Arial" w:cs="Arial" w:eastAsia="Arial" w:hAnsi="Arial"/>
          <w:sz w:val="15"/>
          <w:szCs w:val="15"/>
          <w:color w:val="auto"/>
        </w:rPr>
        <w:t>The net changes in fair value of loan commitments and forward sale commitments are shown in current earnings as a component of mortgage fee income on the consolidated statements of earnings. Mortgage banking derivatives are shown in other assets and other liabilities and accrued expenses on the condensed consolidated balance sheets.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Call and Put Options</w:t>
      </w:r>
    </w:p>
    <w:p>
      <w:pPr>
        <w:spacing w:after="0" w:line="208" w:lineRule="exact"/>
        <w:rPr>
          <w:sz w:val="20"/>
          <w:szCs w:val="20"/>
          <w:color w:val="auto"/>
        </w:rPr>
      </w:pPr>
    </w:p>
    <w:p>
      <w:pPr>
        <w:jc w:val="both"/>
        <w:ind w:right="1519"/>
        <w:spacing w:after="0" w:line="262" w:lineRule="auto"/>
        <w:rPr>
          <w:sz w:val="20"/>
          <w:szCs w:val="20"/>
          <w:color w:val="auto"/>
        </w:rPr>
      </w:pPr>
      <w:r>
        <w:rPr>
          <w:rFonts w:ascii="Arial" w:cs="Arial" w:eastAsia="Arial" w:hAnsi="Arial"/>
          <w:sz w:val="16"/>
          <w:szCs w:val="16"/>
          <w:color w:val="auto"/>
        </w:rPr>
        <w:t>The Company uses a strategy of selling “out of the money” call options on its equity securities as a source of revenue. The options give the purchaser the right to buy from the Company specified equity securities at a set price up to a pre-determined date in the future. The Company uses the strategy of selling put options as a means of generating cash or purchasing equity securities at lower than current market prices. The Company receives an immediate payment of cash for the value of the option and establishes a liability for the fair value of the option. The liability for options is adjusted to fair value at each reporting date. In the event a call option is exercised, the Company sells the equity security at a favorable price enhanced by the value of the option that was sold. If the option expires unexercised, the Company recognizes a gain from the expired option. In the event a put option is exercised, the Company acquires an equity security at the strike price of the option reduced by the value received from the sale of the put option. The equity security is then treated as a normal equity security in the Company’s portfolio. The net changes in the fair value of call and put options are shown in current earnings as a component of realized gains (losses) on investments and other assets. Call and put options are shown in other liabilities and accrued expenses on the condensed consolidated balance sheets.</w:t>
      </w:r>
    </w:p>
    <w:p>
      <w:pPr>
        <w:spacing w:after="0" w:line="172" w:lineRule="exact"/>
        <w:rPr>
          <w:sz w:val="20"/>
          <w:szCs w:val="20"/>
          <w:color w:val="auto"/>
        </w:rPr>
      </w:pPr>
    </w:p>
    <w:p>
      <w:pPr>
        <w:jc w:val="both"/>
        <w:ind w:right="1519"/>
        <w:spacing w:after="0" w:line="270" w:lineRule="auto"/>
        <w:rPr>
          <w:sz w:val="20"/>
          <w:szCs w:val="20"/>
          <w:color w:val="auto"/>
        </w:rPr>
      </w:pPr>
      <w:r>
        <w:rPr>
          <w:rFonts w:ascii="Arial" w:cs="Arial" w:eastAsia="Arial" w:hAnsi="Arial"/>
          <w:sz w:val="17"/>
          <w:szCs w:val="17"/>
          <w:color w:val="auto"/>
        </w:rPr>
        <w:t>The following table shows the notional amount and fair value of derivatives as of March 31, 2020 and December 31, 2019.</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80" w:type="dxa"/>
            <w:vAlign w:val="bottom"/>
            <w:gridSpan w:val="7"/>
          </w:tcPr>
          <w:p>
            <w:pPr>
              <w:jc w:val="right"/>
              <w:ind w:right="258"/>
              <w:spacing w:after="0"/>
              <w:rPr>
                <w:sz w:val="20"/>
                <w:szCs w:val="20"/>
                <w:color w:val="auto"/>
              </w:rPr>
            </w:pPr>
            <w:r>
              <w:rPr>
                <w:rFonts w:ascii="Arial" w:cs="Arial" w:eastAsia="Arial" w:hAnsi="Arial"/>
                <w:sz w:val="12"/>
                <w:szCs w:val="12"/>
                <w:color w:val="auto"/>
              </w:rPr>
              <w:t>Fair Values and Notional Values of Derivative Instruments</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90"/>
        </w:trPr>
        <w:tc>
          <w:tcPr>
            <w:tcW w:w="13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gridSpan w:val="3"/>
          </w:tcPr>
          <w:p>
            <w:pPr>
              <w:ind w:left="80"/>
              <w:spacing w:after="0"/>
              <w:rPr>
                <w:sz w:val="20"/>
                <w:szCs w:val="20"/>
                <w:color w:val="auto"/>
              </w:rPr>
            </w:pPr>
            <w:r>
              <w:rPr>
                <w:rFonts w:ascii="Arial" w:cs="Arial" w:eastAsia="Arial" w:hAnsi="Arial"/>
                <w:sz w:val="12"/>
                <w:szCs w:val="12"/>
                <w:color w:val="auto"/>
              </w:rPr>
              <w:t>March 31, 2020</w:t>
            </w:r>
          </w:p>
        </w:tc>
        <w:tc>
          <w:tcPr>
            <w:tcW w:w="760" w:type="dxa"/>
            <w:vAlign w:val="bottom"/>
            <w:tcBorders>
              <w:top w:val="single" w:sz="8" w:color="auto"/>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tcBorders>
              <w:top w:val="single" w:sz="8" w:color="auto"/>
              <w:bottom w:val="single" w:sz="8" w:color="auto"/>
            </w:tcBorders>
            <w:gridSpan w:val="3"/>
          </w:tcPr>
          <w:p>
            <w:pPr>
              <w:ind w:left="740"/>
              <w:spacing w:after="0"/>
              <w:rPr>
                <w:sz w:val="20"/>
                <w:szCs w:val="20"/>
                <w:color w:val="auto"/>
              </w:rPr>
            </w:pPr>
            <w:r>
              <w:rPr>
                <w:rFonts w:ascii="Arial" w:cs="Arial" w:eastAsia="Arial" w:hAnsi="Arial"/>
                <w:sz w:val="12"/>
                <w:szCs w:val="12"/>
                <w:color w:val="auto"/>
              </w:rPr>
              <w:t>December 31, 2019</w:t>
            </w:r>
          </w:p>
        </w:tc>
        <w:tc>
          <w:tcPr>
            <w:tcW w:w="640" w:type="dxa"/>
            <w:vAlign w:val="bottom"/>
            <w:tcBorders>
              <w:top w:val="single" w:sz="8" w:color="auto"/>
              <w:bottom w:val="single" w:sz="8" w:color="auto"/>
            </w:tcBorders>
          </w:tcPr>
          <w:p>
            <w:pPr>
              <w:spacing w:after="0"/>
              <w:rPr>
                <w:sz w:val="16"/>
                <w:szCs w:val="16"/>
                <w:color w:val="auto"/>
              </w:rPr>
            </w:pPr>
          </w:p>
        </w:tc>
      </w:tr>
      <w:tr>
        <w:trPr>
          <w:trHeight w:val="175"/>
        </w:trPr>
        <w:tc>
          <w:tcPr>
            <w:tcW w:w="1300" w:type="dxa"/>
            <w:vAlign w:val="bottom"/>
          </w:tcPr>
          <w:p>
            <w:pPr>
              <w:spacing w:after="0"/>
              <w:rPr>
                <w:sz w:val="15"/>
                <w:szCs w:val="15"/>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2"/>
                <w:szCs w:val="12"/>
                <w:color w:val="auto"/>
                <w:w w:val="92"/>
              </w:rPr>
              <w:t>Balance Sheet</w:t>
            </w: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2"/>
                <w:szCs w:val="12"/>
                <w:color w:val="auto"/>
                <w:w w:val="92"/>
              </w:rPr>
              <w:t>Asset Fair</w:t>
            </w:r>
          </w:p>
        </w:tc>
        <w:tc>
          <w:tcPr>
            <w:tcW w:w="920" w:type="dxa"/>
            <w:vAlign w:val="bottom"/>
            <w:gridSpan w:val="2"/>
          </w:tcPr>
          <w:p>
            <w:pPr>
              <w:jc w:val="center"/>
              <w:ind w:right="140"/>
              <w:spacing w:after="0"/>
              <w:rPr>
                <w:sz w:val="20"/>
                <w:szCs w:val="20"/>
                <w:color w:val="auto"/>
              </w:rPr>
            </w:pPr>
            <w:r>
              <w:rPr>
                <w:rFonts w:ascii="Arial" w:cs="Arial" w:eastAsia="Arial" w:hAnsi="Arial"/>
                <w:sz w:val="12"/>
                <w:szCs w:val="12"/>
                <w:color w:val="auto"/>
              </w:rPr>
              <w:t>Liability Fair</w:t>
            </w:r>
          </w:p>
        </w:tc>
        <w:tc>
          <w:tcPr>
            <w:tcW w:w="960" w:type="dxa"/>
            <w:vAlign w:val="bottom"/>
          </w:tcPr>
          <w:p>
            <w:pPr>
              <w:jc w:val="right"/>
              <w:ind w:right="218"/>
              <w:spacing w:after="0"/>
              <w:rPr>
                <w:sz w:val="20"/>
                <w:szCs w:val="20"/>
                <w:color w:val="auto"/>
              </w:rPr>
            </w:pPr>
            <w:r>
              <w:rPr>
                <w:rFonts w:ascii="Arial" w:cs="Arial" w:eastAsia="Arial" w:hAnsi="Arial"/>
                <w:sz w:val="12"/>
                <w:szCs w:val="12"/>
                <w:color w:val="auto"/>
              </w:rPr>
              <w:t>Notional</w:t>
            </w:r>
          </w:p>
        </w:tc>
        <w:tc>
          <w:tcPr>
            <w:tcW w:w="860" w:type="dxa"/>
            <w:vAlign w:val="bottom"/>
            <w:gridSpan w:val="2"/>
          </w:tcPr>
          <w:p>
            <w:pPr>
              <w:jc w:val="center"/>
              <w:ind w:right="220"/>
              <w:spacing w:after="0"/>
              <w:rPr>
                <w:sz w:val="20"/>
                <w:szCs w:val="20"/>
                <w:color w:val="auto"/>
              </w:rPr>
            </w:pPr>
            <w:r>
              <w:rPr>
                <w:rFonts w:ascii="Arial" w:cs="Arial" w:eastAsia="Arial" w:hAnsi="Arial"/>
                <w:sz w:val="12"/>
                <w:szCs w:val="12"/>
                <w:color w:val="auto"/>
                <w:w w:val="96"/>
              </w:rPr>
              <w:t>Asset Fair</w:t>
            </w:r>
          </w:p>
        </w:tc>
        <w:tc>
          <w:tcPr>
            <w:tcW w:w="640" w:type="dxa"/>
            <w:vAlign w:val="bottom"/>
          </w:tcPr>
          <w:p>
            <w:pPr>
              <w:jc w:val="right"/>
              <w:ind w:right="38"/>
              <w:spacing w:after="0"/>
              <w:rPr>
                <w:sz w:val="20"/>
                <w:szCs w:val="20"/>
                <w:color w:val="auto"/>
              </w:rPr>
            </w:pPr>
            <w:r>
              <w:rPr>
                <w:rFonts w:ascii="Arial" w:cs="Arial" w:eastAsia="Arial" w:hAnsi="Arial"/>
                <w:sz w:val="12"/>
                <w:szCs w:val="12"/>
                <w:color w:val="auto"/>
              </w:rPr>
              <w:t>Liability</w:t>
            </w:r>
          </w:p>
        </w:tc>
      </w:tr>
      <w:tr>
        <w:trPr>
          <w:trHeight w:val="156"/>
        </w:trPr>
        <w:tc>
          <w:tcPr>
            <w:tcW w:w="1300" w:type="dxa"/>
            <w:vAlign w:val="bottom"/>
          </w:tcPr>
          <w:p>
            <w:pPr>
              <w:spacing w:after="0"/>
              <w:rPr>
                <w:sz w:val="13"/>
                <w:szCs w:val="13"/>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2"/>
                <w:szCs w:val="12"/>
                <w:color w:val="auto"/>
                <w:w w:val="96"/>
              </w:rPr>
              <w:t>Location</w:t>
            </w:r>
          </w:p>
        </w:tc>
        <w:tc>
          <w:tcPr>
            <w:tcW w:w="900" w:type="dxa"/>
            <w:vAlign w:val="bottom"/>
          </w:tcPr>
          <w:p>
            <w:pPr>
              <w:jc w:val="right"/>
              <w:spacing w:after="0"/>
              <w:rPr>
                <w:sz w:val="20"/>
                <w:szCs w:val="20"/>
                <w:color w:val="auto"/>
              </w:rPr>
            </w:pPr>
            <w:r>
              <w:rPr>
                <w:rFonts w:ascii="Arial" w:cs="Arial" w:eastAsia="Arial" w:hAnsi="Arial"/>
                <w:sz w:val="12"/>
                <w:szCs w:val="12"/>
                <w:color w:val="auto"/>
                <w:w w:val="96"/>
              </w:rPr>
              <w:t>Notional Amount</w:t>
            </w:r>
          </w:p>
        </w:tc>
        <w:tc>
          <w:tcPr>
            <w:tcW w:w="160" w:type="dxa"/>
            <w:vAlign w:val="bottom"/>
          </w:tcPr>
          <w:p>
            <w:pPr>
              <w:spacing w:after="0"/>
              <w:rPr>
                <w:sz w:val="13"/>
                <w:szCs w:val="13"/>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2"/>
                <w:szCs w:val="12"/>
                <w:color w:val="auto"/>
                <w:w w:val="91"/>
              </w:rPr>
              <w:t>Value</w:t>
            </w:r>
          </w:p>
        </w:tc>
        <w:tc>
          <w:tcPr>
            <w:tcW w:w="920" w:type="dxa"/>
            <w:vAlign w:val="bottom"/>
            <w:gridSpan w:val="2"/>
          </w:tcPr>
          <w:p>
            <w:pPr>
              <w:jc w:val="center"/>
              <w:ind w:right="160"/>
              <w:spacing w:after="0"/>
              <w:rPr>
                <w:sz w:val="20"/>
                <w:szCs w:val="20"/>
                <w:color w:val="auto"/>
              </w:rPr>
            </w:pPr>
            <w:r>
              <w:rPr>
                <w:rFonts w:ascii="Arial" w:cs="Arial" w:eastAsia="Arial" w:hAnsi="Arial"/>
                <w:sz w:val="12"/>
                <w:szCs w:val="12"/>
                <w:color w:val="auto"/>
                <w:w w:val="91"/>
              </w:rPr>
              <w:t>Value</w:t>
            </w:r>
          </w:p>
        </w:tc>
        <w:tc>
          <w:tcPr>
            <w:tcW w:w="960" w:type="dxa"/>
            <w:vAlign w:val="bottom"/>
          </w:tcPr>
          <w:p>
            <w:pPr>
              <w:jc w:val="right"/>
              <w:ind w:right="238"/>
              <w:spacing w:after="0"/>
              <w:rPr>
                <w:sz w:val="20"/>
                <w:szCs w:val="20"/>
                <w:color w:val="auto"/>
              </w:rPr>
            </w:pPr>
            <w:r>
              <w:rPr>
                <w:rFonts w:ascii="Arial" w:cs="Arial" w:eastAsia="Arial" w:hAnsi="Arial"/>
                <w:sz w:val="12"/>
                <w:szCs w:val="12"/>
                <w:color w:val="auto"/>
              </w:rPr>
              <w:t>Amount</w:t>
            </w:r>
          </w:p>
        </w:tc>
        <w:tc>
          <w:tcPr>
            <w:tcW w:w="860" w:type="dxa"/>
            <w:vAlign w:val="bottom"/>
            <w:gridSpan w:val="2"/>
          </w:tcPr>
          <w:p>
            <w:pPr>
              <w:jc w:val="center"/>
              <w:ind w:right="220"/>
              <w:spacing w:after="0"/>
              <w:rPr>
                <w:sz w:val="20"/>
                <w:szCs w:val="20"/>
                <w:color w:val="auto"/>
              </w:rPr>
            </w:pPr>
            <w:r>
              <w:rPr>
                <w:rFonts w:ascii="Arial" w:cs="Arial" w:eastAsia="Arial" w:hAnsi="Arial"/>
                <w:sz w:val="12"/>
                <w:szCs w:val="12"/>
                <w:color w:val="auto"/>
                <w:w w:val="91"/>
              </w:rPr>
              <w:t>Value</w:t>
            </w:r>
          </w:p>
        </w:tc>
        <w:tc>
          <w:tcPr>
            <w:tcW w:w="640" w:type="dxa"/>
            <w:vAlign w:val="bottom"/>
          </w:tcPr>
          <w:p>
            <w:pPr>
              <w:jc w:val="right"/>
              <w:spacing w:after="0"/>
              <w:rPr>
                <w:sz w:val="20"/>
                <w:szCs w:val="20"/>
                <w:color w:val="auto"/>
              </w:rPr>
            </w:pPr>
            <w:r>
              <w:rPr>
                <w:rFonts w:ascii="Arial" w:cs="Arial" w:eastAsia="Arial" w:hAnsi="Arial"/>
                <w:sz w:val="12"/>
                <w:szCs w:val="12"/>
                <w:color w:val="auto"/>
              </w:rPr>
              <w:t>Fair Value</w:t>
            </w:r>
          </w:p>
        </w:tc>
      </w:tr>
      <w:tr>
        <w:trPr>
          <w:trHeight w:val="104"/>
        </w:trPr>
        <w:tc>
          <w:tcPr>
            <w:tcW w:w="1300" w:type="dxa"/>
            <w:vAlign w:val="bottom"/>
            <w:tcBorders>
              <w:top w:val="single" w:sz="8" w:color="CCEEFF"/>
            </w:tcBorders>
            <w:shd w:val="clear" w:color="auto" w:fill="CCEEFF"/>
          </w:tcPr>
          <w:p>
            <w:pPr>
              <w:ind w:left="20"/>
              <w:spacing w:after="0" w:line="105" w:lineRule="exact"/>
              <w:rPr>
                <w:sz w:val="20"/>
                <w:szCs w:val="20"/>
                <w:color w:val="auto"/>
              </w:rPr>
            </w:pPr>
            <w:r>
              <w:rPr>
                <w:rFonts w:ascii="Arial" w:cs="Arial" w:eastAsia="Arial" w:hAnsi="Arial"/>
                <w:sz w:val="12"/>
                <w:szCs w:val="12"/>
                <w:color w:val="auto"/>
              </w:rPr>
              <w:t>Derivatives not</w:t>
            </w:r>
          </w:p>
        </w:tc>
        <w:tc>
          <w:tcPr>
            <w:tcW w:w="100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r>
      <w:tr>
        <w:trPr>
          <w:trHeight w:val="129"/>
        </w:trPr>
        <w:tc>
          <w:tcPr>
            <w:tcW w:w="130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designated as hedging</w:t>
            </w:r>
          </w:p>
        </w:tc>
        <w:tc>
          <w:tcPr>
            <w:tcW w:w="1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56"/>
        </w:trPr>
        <w:tc>
          <w:tcPr>
            <w:tcW w:w="1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instruments:</w:t>
            </w:r>
          </w:p>
        </w:tc>
        <w:tc>
          <w:tcPr>
            <w:tcW w:w="1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95"/>
        </w:trPr>
        <w:tc>
          <w:tcPr>
            <w:tcW w:w="1300" w:type="dxa"/>
            <w:vAlign w:val="bottom"/>
          </w:tcPr>
          <w:p>
            <w:pPr>
              <w:spacing w:after="0"/>
              <w:rPr>
                <w:sz w:val="16"/>
                <w:szCs w:val="16"/>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2"/>
                <w:szCs w:val="12"/>
                <w:color w:val="auto"/>
                <w:w w:val="87"/>
              </w:rPr>
              <w:t>Other assets and</w:t>
            </w: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56"/>
        </w:trPr>
        <w:tc>
          <w:tcPr>
            <w:tcW w:w="1300" w:type="dxa"/>
            <w:vAlign w:val="bottom"/>
          </w:tcPr>
          <w:p>
            <w:pPr>
              <w:ind w:left="20"/>
              <w:spacing w:after="0"/>
              <w:rPr>
                <w:sz w:val="20"/>
                <w:szCs w:val="20"/>
                <w:color w:val="auto"/>
              </w:rPr>
            </w:pPr>
            <w:r>
              <w:rPr>
                <w:rFonts w:ascii="Arial" w:cs="Arial" w:eastAsia="Arial" w:hAnsi="Arial"/>
                <w:sz w:val="12"/>
                <w:szCs w:val="12"/>
                <w:color w:val="auto"/>
              </w:rPr>
              <w:t>Loan commitments</w:t>
            </w:r>
          </w:p>
        </w:tc>
        <w:tc>
          <w:tcPr>
            <w:tcW w:w="1180" w:type="dxa"/>
            <w:vAlign w:val="bottom"/>
            <w:gridSpan w:val="2"/>
          </w:tcPr>
          <w:p>
            <w:pPr>
              <w:jc w:val="center"/>
              <w:ind w:right="180"/>
              <w:spacing w:after="0"/>
              <w:rPr>
                <w:sz w:val="20"/>
                <w:szCs w:val="20"/>
                <w:color w:val="auto"/>
              </w:rPr>
            </w:pPr>
            <w:r>
              <w:rPr>
                <w:rFonts w:ascii="Arial" w:cs="Arial" w:eastAsia="Arial" w:hAnsi="Arial"/>
                <w:sz w:val="12"/>
                <w:szCs w:val="12"/>
                <w:color w:val="auto"/>
                <w:w w:val="96"/>
              </w:rPr>
              <w:t>Other liabilities</w:t>
            </w:r>
          </w:p>
        </w:tc>
        <w:tc>
          <w:tcPr>
            <w:tcW w:w="900" w:type="dxa"/>
            <w:vAlign w:val="bottom"/>
          </w:tcPr>
          <w:p>
            <w:pPr>
              <w:jc w:val="right"/>
              <w:spacing w:after="0"/>
              <w:rPr>
                <w:sz w:val="20"/>
                <w:szCs w:val="20"/>
                <w:color w:val="auto"/>
              </w:rPr>
            </w:pPr>
            <w:r>
              <w:rPr>
                <w:rFonts w:ascii="Arial" w:cs="Arial" w:eastAsia="Arial" w:hAnsi="Arial"/>
                <w:sz w:val="12"/>
                <w:szCs w:val="12"/>
                <w:color w:val="auto"/>
              </w:rPr>
              <w:t>$631,137,439</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$9,465,448</w:t>
            </w: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$ 3,699,183</w:t>
            </w:r>
          </w:p>
        </w:tc>
        <w:tc>
          <w:tcPr>
            <w:tcW w:w="160" w:type="dxa"/>
            <w:vAlign w:val="bottom"/>
          </w:tcPr>
          <w:p>
            <w:pPr>
              <w:spacing w:after="0"/>
              <w:rPr>
                <w:sz w:val="13"/>
                <w:szCs w:val="13"/>
                <w:color w:val="auto"/>
              </w:rPr>
            </w:pPr>
          </w:p>
        </w:tc>
        <w:tc>
          <w:tcPr>
            <w:tcW w:w="960" w:type="dxa"/>
            <w:vAlign w:val="bottom"/>
          </w:tcPr>
          <w:p>
            <w:pPr>
              <w:jc w:val="right"/>
              <w:ind w:right="18"/>
              <w:spacing w:after="0"/>
              <w:rPr>
                <w:sz w:val="20"/>
                <w:szCs w:val="20"/>
                <w:color w:val="auto"/>
              </w:rPr>
            </w:pPr>
            <w:r>
              <w:rPr>
                <w:rFonts w:ascii="Arial" w:cs="Arial" w:eastAsia="Arial" w:hAnsi="Arial"/>
                <w:sz w:val="12"/>
                <w:szCs w:val="12"/>
                <w:color w:val="auto"/>
              </w:rPr>
              <w:t>$224,202,514</w:t>
            </w:r>
          </w:p>
        </w:tc>
        <w:tc>
          <w:tcPr>
            <w:tcW w:w="700" w:type="dxa"/>
            <w:vAlign w:val="bottom"/>
          </w:tcPr>
          <w:p>
            <w:pPr>
              <w:jc w:val="right"/>
              <w:spacing w:after="0"/>
              <w:rPr>
                <w:sz w:val="20"/>
                <w:szCs w:val="20"/>
                <w:color w:val="auto"/>
              </w:rPr>
            </w:pPr>
            <w:r>
              <w:rPr>
                <w:rFonts w:ascii="Arial" w:cs="Arial" w:eastAsia="Arial" w:hAnsi="Arial"/>
                <w:sz w:val="12"/>
                <w:szCs w:val="12"/>
                <w:color w:val="auto"/>
              </w:rPr>
              <w:t>$2,722,580</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$231,347</w:t>
            </w:r>
          </w:p>
        </w:tc>
      </w:tr>
      <w:tr>
        <w:trPr>
          <w:trHeight w:val="152"/>
        </w:trPr>
        <w:tc>
          <w:tcPr>
            <w:tcW w:w="1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Call options</w:t>
            </w:r>
          </w:p>
        </w:tc>
        <w:tc>
          <w:tcPr>
            <w:tcW w:w="1180" w:type="dxa"/>
            <w:vAlign w:val="bottom"/>
            <w:gridSpan w:val="2"/>
            <w:shd w:val="clear" w:color="auto" w:fill="CCEEFF"/>
          </w:tcPr>
          <w:p>
            <w:pPr>
              <w:jc w:val="center"/>
              <w:ind w:right="180"/>
              <w:spacing w:after="0"/>
              <w:rPr>
                <w:sz w:val="20"/>
                <w:szCs w:val="20"/>
                <w:color w:val="auto"/>
              </w:rPr>
            </w:pPr>
            <w:r>
              <w:rPr>
                <w:rFonts w:ascii="Arial" w:cs="Arial" w:eastAsia="Arial" w:hAnsi="Arial"/>
                <w:sz w:val="12"/>
                <w:szCs w:val="12"/>
                <w:color w:val="auto"/>
                <w:w w:val="96"/>
              </w:rPr>
              <w:t>Other liabilities</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611,100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8,972</w:t>
            </w: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1,813,500</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62,265</w:t>
            </w:r>
          </w:p>
        </w:tc>
      </w:tr>
      <w:tr>
        <w:trPr>
          <w:trHeight w:val="187"/>
        </w:trPr>
        <w:tc>
          <w:tcPr>
            <w:tcW w:w="13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Put options</w:t>
            </w:r>
          </w:p>
        </w:tc>
        <w:tc>
          <w:tcPr>
            <w:tcW w:w="1180" w:type="dxa"/>
            <w:vAlign w:val="bottom"/>
            <w:tcBorders>
              <w:bottom w:val="single" w:sz="8" w:color="CCEEFF"/>
            </w:tcBorders>
            <w:gridSpan w:val="2"/>
          </w:tcPr>
          <w:p>
            <w:pPr>
              <w:jc w:val="center"/>
              <w:ind w:right="180"/>
              <w:spacing w:after="0"/>
              <w:rPr>
                <w:sz w:val="20"/>
                <w:szCs w:val="20"/>
                <w:color w:val="auto"/>
              </w:rPr>
            </w:pPr>
            <w:r>
              <w:rPr>
                <w:rFonts w:ascii="Arial" w:cs="Arial" w:eastAsia="Arial" w:hAnsi="Arial"/>
                <w:sz w:val="12"/>
                <w:szCs w:val="12"/>
                <w:color w:val="auto"/>
                <w:w w:val="96"/>
              </w:rPr>
              <w:t>Other liabilities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5,481,300</w:t>
            </w:r>
          </w:p>
        </w:tc>
        <w:tc>
          <w:tcPr>
            <w:tcW w:w="16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944,992</w:t>
            </w:r>
          </w:p>
        </w:tc>
        <w:tc>
          <w:tcPr>
            <w:tcW w:w="1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1,573,100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22,282</w:t>
            </w:r>
          </w:p>
        </w:tc>
      </w:tr>
      <w:tr>
        <w:trPr>
          <w:trHeight w:val="179"/>
        </w:trPr>
        <w:tc>
          <w:tcPr>
            <w:tcW w:w="1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w:t>
            </w: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$637,229,839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$9,465,448</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$ 4,653,147</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$227,589,114</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$2,722,580</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$315,894</w:t>
            </w: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93345</wp:posOffset>
            </wp:positionV>
            <wp:extent cx="498983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989830" cy="29845"/>
                    </a:xfrm>
                    <a:prstGeom prst="rect">
                      <a:avLst/>
                    </a:prstGeom>
                    <a:noFill/>
                  </pic:spPr>
                </pic:pic>
              </a:graphicData>
            </a:graphic>
          </wp:anchor>
        </w:drawing>
      </w:r>
    </w:p>
    <w:p>
      <w:pPr>
        <w:sectPr>
          <w:pgSz w:w="11900" w:h="16838" w:orient="portrait"/>
          <w:cols w:equalWidth="0" w:num="1">
            <w:col w:w="9379"/>
          </w:cols>
          <w:pgMar w:left="1080" w:top="124" w:right="1440" w:bottom="1440" w:gutter="0" w:footer="0" w:header="0"/>
        </w:sectPr>
      </w:pPr>
    </w:p>
    <w:bookmarkStart w:id="40" w:name="page41"/>
    <w:bookmarkEnd w:id="40"/>
    <w:p>
      <w:pPr>
        <w:jc w:val="center"/>
        <w:ind w:left="2220"/>
        <w:spacing w:after="0" w:line="257" w:lineRule="auto"/>
        <w:rPr>
          <w:sz w:val="20"/>
          <w:szCs w:val="20"/>
          <w:color w:val="auto"/>
        </w:rPr>
      </w:pPr>
      <w:r>
        <w:rPr>
          <w:rFonts w:ascii="Arial" w:cs="Arial" w:eastAsia="Arial" w:hAnsi="Arial"/>
          <w:sz w:val="17"/>
          <w:szCs w:val="17"/>
          <w:color w:val="auto"/>
        </w:rPr>
        <w:t>SECURITY NATIONAL FINANCIAL CORPORATION AND SUBSIDIARIES Notes to Condensed Consolidated Financial Statements March 31, 2020 (Unaudited)</w:t>
      </w:r>
    </w:p>
    <w:p>
      <w:pPr>
        <w:spacing w:after="0" w:line="75" w:lineRule="exact"/>
        <w:rPr>
          <w:sz w:val="20"/>
          <w:szCs w:val="20"/>
          <w:color w:val="auto"/>
        </w:rPr>
      </w:pPr>
    </w:p>
    <w:p>
      <w:pPr>
        <w:ind w:left="420" w:hanging="415"/>
        <w:spacing w:after="0"/>
        <w:tabs>
          <w:tab w:leader="none" w:pos="420"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Derivative Instruments</w:t>
      </w:r>
      <w:r>
        <w:rPr>
          <w:rFonts w:ascii="Arial" w:cs="Arial" w:eastAsia="Arial" w:hAnsi="Arial"/>
          <w:sz w:val="17"/>
          <w:szCs w:val="17"/>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gains and losses on derivatives for the periods presented.</w:t>
      </w:r>
    </w:p>
    <w:p>
      <w:pPr>
        <w:sectPr>
          <w:pgSz w:w="11900" w:h="16838" w:orient="portrait"/>
          <w:cols w:equalWidth="0" w:num="1">
            <w:col w:w="9379"/>
          </w:cols>
          <w:pgMar w:left="1080" w:top="12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66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Derivative</w:t>
            </w:r>
          </w:p>
        </w:tc>
        <w:tc>
          <w:tcPr>
            <w:tcW w:w="220" w:type="dxa"/>
            <w:vAlign w:val="bottom"/>
          </w:tcPr>
          <w:p>
            <w:pPr>
              <w:spacing w:after="0"/>
              <w:rPr>
                <w:sz w:val="17"/>
                <w:szCs w:val="17"/>
                <w:color w:val="auto"/>
              </w:rPr>
            </w:pPr>
          </w:p>
        </w:tc>
        <w:tc>
          <w:tcPr>
            <w:tcW w:w="216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Classification</w:t>
            </w:r>
          </w:p>
        </w:tc>
      </w:tr>
      <w:tr>
        <w:trPr>
          <w:trHeight w:val="208"/>
        </w:trPr>
        <w:tc>
          <w:tcPr>
            <w:tcW w:w="1880" w:type="dxa"/>
            <w:vAlign w:val="bottom"/>
            <w:gridSpan w:val="2"/>
          </w:tcPr>
          <w:p>
            <w:pPr>
              <w:ind w:left="20"/>
              <w:spacing w:after="0"/>
              <w:rPr>
                <w:sz w:val="20"/>
                <w:szCs w:val="20"/>
                <w:color w:val="auto"/>
              </w:rPr>
            </w:pPr>
            <w:r>
              <w:rPr>
                <w:rFonts w:ascii="Arial" w:cs="Arial" w:eastAsia="Arial" w:hAnsi="Arial"/>
                <w:sz w:val="16"/>
                <w:szCs w:val="16"/>
                <w:color w:val="auto"/>
              </w:rPr>
              <w:t>Loan commitments</w:t>
            </w:r>
          </w:p>
        </w:tc>
        <w:tc>
          <w:tcPr>
            <w:tcW w:w="2160" w:type="dxa"/>
            <w:vAlign w:val="bottom"/>
          </w:tcPr>
          <w:p>
            <w:pPr>
              <w:ind w:left="20"/>
              <w:spacing w:after="0"/>
              <w:rPr>
                <w:sz w:val="20"/>
                <w:szCs w:val="20"/>
                <w:color w:val="auto"/>
              </w:rPr>
            </w:pPr>
            <w:r>
              <w:rPr>
                <w:rFonts w:ascii="Arial" w:cs="Arial" w:eastAsia="Arial" w:hAnsi="Arial"/>
                <w:sz w:val="16"/>
                <w:szCs w:val="16"/>
                <w:color w:val="auto"/>
              </w:rPr>
              <w:t>Mortgage fee income</w:t>
            </w:r>
          </w:p>
        </w:tc>
      </w:tr>
      <w:tr>
        <w:trPr>
          <w:trHeight w:val="433"/>
        </w:trPr>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tcPr>
          <w:p>
            <w:pPr>
              <w:ind w:left="20"/>
              <w:spacing w:after="0"/>
              <w:rPr>
                <w:sz w:val="20"/>
                <w:szCs w:val="20"/>
                <w:color w:val="auto"/>
              </w:rPr>
            </w:pPr>
            <w:r>
              <w:rPr>
                <w:rFonts w:ascii="Arial" w:cs="Arial" w:eastAsia="Arial" w:hAnsi="Arial"/>
                <w:sz w:val="16"/>
                <w:szCs w:val="16"/>
                <w:color w:val="auto"/>
                <w:w w:val="93"/>
              </w:rPr>
              <w:t>Gains on investments and other</w:t>
            </w:r>
          </w:p>
        </w:tc>
      </w:tr>
      <w:tr>
        <w:trPr>
          <w:trHeight w:val="199"/>
        </w:trPr>
        <w:tc>
          <w:tcPr>
            <w:tcW w:w="1880" w:type="dxa"/>
            <w:vAlign w:val="bottom"/>
            <w:gridSpan w:val="2"/>
          </w:tcPr>
          <w:p>
            <w:pPr>
              <w:ind w:left="20"/>
              <w:spacing w:after="0"/>
              <w:rPr>
                <w:sz w:val="20"/>
                <w:szCs w:val="20"/>
                <w:color w:val="auto"/>
              </w:rPr>
            </w:pPr>
            <w:r>
              <w:rPr>
                <w:rFonts w:ascii="Arial" w:cs="Arial" w:eastAsia="Arial" w:hAnsi="Arial"/>
                <w:sz w:val="16"/>
                <w:szCs w:val="16"/>
                <w:color w:val="auto"/>
              </w:rPr>
              <w:t>Call and put options</w:t>
            </w:r>
          </w:p>
        </w:tc>
        <w:tc>
          <w:tcPr>
            <w:tcW w:w="2160" w:type="dxa"/>
            <w:vAlign w:val="bottom"/>
          </w:tcPr>
          <w:p>
            <w:pPr>
              <w:ind w:left="20"/>
              <w:spacing w:after="0"/>
              <w:rPr>
                <w:sz w:val="20"/>
                <w:szCs w:val="20"/>
                <w:color w:val="auto"/>
              </w:rPr>
            </w:pPr>
            <w:r>
              <w:rPr>
                <w:rFonts w:ascii="Arial" w:cs="Arial" w:eastAsia="Arial" w:hAnsi="Arial"/>
                <w:sz w:val="16"/>
                <w:szCs w:val="16"/>
                <w:color w:val="auto"/>
              </w:rPr>
              <w:t>assets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-541020</wp:posOffset>
            </wp:positionV>
            <wp:extent cx="4455160" cy="148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455160" cy="148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-243840</wp:posOffset>
            </wp:positionV>
            <wp:extent cx="4455160" cy="2527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455160" cy="2527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Net Amount Gain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1759585"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59585" cy="7620"/>
                    </a:xfrm>
                    <a:prstGeom prst="rect">
                      <a:avLst/>
                    </a:prstGeom>
                    <a:noFill/>
                  </pic:spPr>
                </pic:pic>
              </a:graphicData>
            </a:graphic>
          </wp:anchor>
        </w:drawing>
      </w:r>
    </w:p>
    <w:p>
      <w:pPr>
        <w:spacing w:after="0" w:line="1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Three Months Ended 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6"/>
                <w:szCs w:val="16"/>
                <w:color w:val="auto"/>
              </w:rPr>
              <w:t>2020</w:t>
            </w:r>
          </w:p>
        </w:tc>
        <w:tc>
          <w:tcPr>
            <w:tcW w:w="2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6"/>
                <w:szCs w:val="16"/>
                <w:color w:val="auto"/>
              </w:rPr>
              <w:t>2019</w:t>
            </w:r>
          </w:p>
        </w:tc>
      </w:tr>
      <w:tr>
        <w:trPr>
          <w:trHeight w:val="202"/>
        </w:trPr>
        <w:tc>
          <w:tcPr>
            <w:tcW w:w="3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3,275,032</w:t>
            </w:r>
          </w:p>
        </w:tc>
        <w:tc>
          <w:tcPr>
            <w:tcW w:w="220" w:type="dxa"/>
            <w:vAlign w:val="bottom"/>
          </w:tcPr>
          <w:p>
            <w:pPr>
              <w:spacing w:after="0"/>
              <w:rPr>
                <w:sz w:val="17"/>
                <w:szCs w:val="17"/>
                <w:color w:val="auto"/>
              </w:rPr>
            </w:pPr>
          </w:p>
        </w:tc>
        <w:tc>
          <w:tcPr>
            <w:tcW w:w="3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932,527</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571"/>
        </w:trPr>
        <w:tc>
          <w:tcPr>
            <w:tcW w:w="3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(737,860)</w:t>
            </w:r>
          </w:p>
        </w:tc>
        <w:tc>
          <w:tcPr>
            <w:tcW w:w="220" w:type="dxa"/>
            <w:vAlign w:val="bottom"/>
          </w:tcPr>
          <w:p>
            <w:pPr>
              <w:spacing w:after="0"/>
              <w:rPr>
                <w:sz w:val="24"/>
                <w:szCs w:val="24"/>
                <w:color w:val="auto"/>
              </w:rPr>
            </w:pPr>
          </w:p>
        </w:tc>
        <w:tc>
          <w:tcPr>
            <w:tcW w:w="3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290,028</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ectPr>
          <w:pgSz w:w="11900" w:h="16838" w:orient="portrait"/>
          <w:cols w:equalWidth="0" w:num="2">
            <w:col w:w="4040" w:space="220"/>
            <w:col w:w="5119"/>
          </w:cols>
          <w:pgMar w:left="1080" w:top="124" w:right="1440" w:bottom="1440" w:gutter="0" w:footer="0" w:header="0"/>
          <w:type w:val="continuous"/>
        </w:sectPr>
      </w:pPr>
    </w:p>
    <w:p>
      <w:pPr>
        <w:ind w:left="420" w:hanging="415"/>
        <w:spacing w:after="0"/>
        <w:tabs>
          <w:tab w:leader="none" w:pos="420"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Reinsurance, Commitments and Contingencies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Reinsurance</w:t>
      </w:r>
    </w:p>
    <w:p>
      <w:pPr>
        <w:spacing w:after="0" w:line="208" w:lineRule="exact"/>
        <w:rPr>
          <w:sz w:val="20"/>
          <w:szCs w:val="20"/>
          <w:color w:val="auto"/>
        </w:rPr>
      </w:pPr>
    </w:p>
    <w:p>
      <w:pPr>
        <w:jc w:val="both"/>
        <w:ind w:right="1519"/>
        <w:spacing w:after="0" w:line="257" w:lineRule="auto"/>
        <w:rPr>
          <w:sz w:val="20"/>
          <w:szCs w:val="20"/>
          <w:color w:val="auto"/>
        </w:rPr>
      </w:pPr>
      <w:r>
        <w:rPr>
          <w:rFonts w:ascii="Arial" w:cs="Arial" w:eastAsia="Arial" w:hAnsi="Arial"/>
          <w:sz w:val="17"/>
          <w:szCs w:val="17"/>
          <w:color w:val="auto"/>
        </w:rPr>
        <w:t>The Company follows the procedure of reinsuring risks in excess of a specified limit, which ranges from $25,000 to $100,000. The Company is liable for these amounts in the event such reinsurers are unable to pay their portion of the claims. The Company has also assumed insurance from other companies.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Mortgage Loan Loss Settlements</w:t>
      </w:r>
    </w:p>
    <w:p>
      <w:pPr>
        <w:spacing w:after="0" w:line="208" w:lineRule="exact"/>
        <w:rPr>
          <w:sz w:val="20"/>
          <w:szCs w:val="20"/>
          <w:color w:val="auto"/>
        </w:rPr>
      </w:pPr>
    </w:p>
    <w:p>
      <w:pPr>
        <w:jc w:val="both"/>
        <w:ind w:right="1499"/>
        <w:spacing w:after="0" w:line="297" w:lineRule="auto"/>
        <w:rPr>
          <w:sz w:val="20"/>
          <w:szCs w:val="20"/>
          <w:color w:val="auto"/>
        </w:rPr>
      </w:pPr>
      <w:r>
        <w:rPr>
          <w:rFonts w:ascii="Arial" w:cs="Arial" w:eastAsia="Arial" w:hAnsi="Arial"/>
          <w:sz w:val="15"/>
          <w:szCs w:val="15"/>
          <w:color w:val="auto"/>
        </w:rPr>
        <w:t>Future loan losses can be extremely difficult to estimate. However, management believes that the Company’s reserve methodology and its current practice of property preservation allow it to estimate its potential losses on loans sold. The estimated liability for indemnification losses is included in other liabilities and accrued expenses and, as of March 31, 2020 and December 31, 2019, the balances were $3,429,000 and $4,046,000, respectively.</w:t>
      </w:r>
    </w:p>
    <w:p>
      <w:pPr>
        <w:spacing w:after="0" w:line="140" w:lineRule="exact"/>
        <w:rPr>
          <w:sz w:val="20"/>
          <w:szCs w:val="20"/>
          <w:color w:val="auto"/>
        </w:rPr>
      </w:pPr>
    </w:p>
    <w:p>
      <w:pPr>
        <w:jc w:val="both"/>
        <w:ind w:right="1519"/>
        <w:spacing w:after="0" w:line="264" w:lineRule="auto"/>
        <w:rPr>
          <w:sz w:val="20"/>
          <w:szCs w:val="20"/>
          <w:color w:val="auto"/>
        </w:rPr>
      </w:pPr>
      <w:r>
        <w:rPr>
          <w:rFonts w:ascii="Arial" w:cs="Arial" w:eastAsia="Arial" w:hAnsi="Arial"/>
          <w:sz w:val="16"/>
          <w:szCs w:val="16"/>
          <w:color w:val="auto"/>
        </w:rPr>
        <w:t>During the period from 2006 to 2020, over $60 million has been reserved for loan losses. A large majority of that reserve has been used to settle investor claims or potential claims on alternative documentation loans originated between 2005 to 2007. As the time since the origination of these loans has increased, estimating the potential of a claim being made, when it might be made, the validity of the claim, and the amount of such claim becomes more difficult. However, because some loans remain from the original 2005 to 2007 time period that have not been settled, the Company still includes a reserve for the potential of future loan demands and potential settlements of such loans. As of March 31, 2020, the loan loss reserve includes an estimate of approximately $3,000,000 for remaining losses still to be settled on loans from this time period with a general reserve for more recent loan production. Thus, the Company believes that the final loan loss reserve as of March 31, 2020, represents its best estimate for adequate loss reserves on loans sold.</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Mortgage Loan Loss Litigation</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Lehman Brothers Holdings Litigation – Delaware and New York</w:t>
      </w:r>
    </w:p>
    <w:p>
      <w:pPr>
        <w:spacing w:after="0" w:line="208" w:lineRule="exact"/>
        <w:rPr>
          <w:sz w:val="20"/>
          <w:szCs w:val="20"/>
          <w:color w:val="auto"/>
        </w:rPr>
      </w:pPr>
    </w:p>
    <w:p>
      <w:pPr>
        <w:jc w:val="both"/>
        <w:ind w:right="1519"/>
        <w:spacing w:after="0" w:line="265" w:lineRule="auto"/>
        <w:rPr>
          <w:sz w:val="20"/>
          <w:szCs w:val="20"/>
          <w:color w:val="auto"/>
        </w:rPr>
      </w:pPr>
      <w:r>
        <w:rPr>
          <w:rFonts w:ascii="Arial" w:cs="Arial" w:eastAsia="Arial" w:hAnsi="Arial"/>
          <w:sz w:val="16"/>
          <w:szCs w:val="16"/>
          <w:color w:val="auto"/>
        </w:rPr>
        <w:t>In January 2014, Lehman Brothers Holdings Inc. (“Lehman Holdings”) entered into a settlement with the Federal National Mortgage Association (Fannie Mae) concerning the mortgage loan claims that Fannie Mae had asserted against Lehman Holdings, which were based on alleged breaches of certain representations and warranties by Lehman Holdings in the mortgage loans it had sold to Fannie Mae. Lehman Holdings had acquired these loans from Aurora Bank, FSB, formerly known as Lehman Brothers Bank, FSB, which in turn purchased the loans from residential mortgage loan originators, including SecurityNational Mortgage Company (“SecurityNational Mortgage”). A settlement based on similar circumstances was entered into between Lehman Holdings and the Federal Home Loan Mortgage Corporation (Freddie Mac) in February 2014.</w:t>
      </w:r>
    </w:p>
    <w:p>
      <w:pPr>
        <w:spacing w:after="0" w:line="176"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93345</wp:posOffset>
            </wp:positionV>
            <wp:extent cx="498983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989830" cy="29845"/>
                    </a:xfrm>
                    <a:prstGeom prst="rect">
                      <a:avLst/>
                    </a:prstGeom>
                    <a:noFill/>
                  </pic:spPr>
                </pic:pic>
              </a:graphicData>
            </a:graphic>
          </wp:anchor>
        </w:drawing>
      </w:r>
    </w:p>
    <w:p>
      <w:pPr>
        <w:sectPr>
          <w:pgSz w:w="11900" w:h="16838" w:orient="portrait"/>
          <w:cols w:equalWidth="0" w:num="1">
            <w:col w:w="9379"/>
          </w:cols>
          <w:pgMar w:left="1080" w:top="124" w:right="1440" w:bottom="1440" w:gutter="0" w:footer="0" w:header="0"/>
          <w:type w:val="continuous"/>
        </w:sectPr>
      </w:pPr>
    </w:p>
    <w:bookmarkStart w:id="41" w:name="page42"/>
    <w:bookmarkEnd w:id="41"/>
    <w:p>
      <w:pPr>
        <w:jc w:val="center"/>
        <w:ind w:right="1519"/>
        <w:spacing w:after="0" w:line="257" w:lineRule="auto"/>
        <w:rPr>
          <w:sz w:val="20"/>
          <w:szCs w:val="20"/>
          <w:color w:val="auto"/>
        </w:rPr>
      </w:pPr>
      <w:r>
        <w:rPr>
          <w:rFonts w:ascii="Arial" w:cs="Arial" w:eastAsia="Arial" w:hAnsi="Arial"/>
          <w:sz w:val="17"/>
          <w:szCs w:val="17"/>
          <w:color w:val="auto"/>
        </w:rPr>
        <w:t>SECURITY NATIONAL FINANCIAL CORPORATION AND SUBSIDIARIES Notes to Condensed Consolidated Financial Statements March 31, 2020 (Unaudited)</w:t>
      </w:r>
    </w:p>
    <w:p>
      <w:pPr>
        <w:spacing w:after="0" w:line="75" w:lineRule="exact"/>
        <w:rPr>
          <w:sz w:val="20"/>
          <w:szCs w:val="20"/>
          <w:color w:val="auto"/>
        </w:rPr>
      </w:pPr>
    </w:p>
    <w:p>
      <w:pPr>
        <w:ind w:left="360" w:hanging="355"/>
        <w:spacing w:after="0"/>
        <w:tabs>
          <w:tab w:leader="none" w:pos="360"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Reinsurance, Commitments and Contingencies</w:t>
      </w:r>
      <w:r>
        <w:rPr>
          <w:rFonts w:ascii="Arial" w:cs="Arial" w:eastAsia="Arial" w:hAnsi="Arial"/>
          <w:sz w:val="17"/>
          <w:szCs w:val="17"/>
          <w:color w:val="auto"/>
        </w:rPr>
        <w:t xml:space="preserve"> (Continued)</w:t>
      </w:r>
    </w:p>
    <w:p>
      <w:pPr>
        <w:spacing w:after="0" w:line="225" w:lineRule="exact"/>
        <w:rPr>
          <w:sz w:val="20"/>
          <w:szCs w:val="20"/>
          <w:color w:val="auto"/>
        </w:rPr>
      </w:pPr>
    </w:p>
    <w:p>
      <w:pPr>
        <w:jc w:val="both"/>
        <w:ind w:right="1519"/>
        <w:spacing w:after="0" w:line="250" w:lineRule="auto"/>
        <w:rPr>
          <w:sz w:val="20"/>
          <w:szCs w:val="20"/>
          <w:color w:val="auto"/>
        </w:rPr>
      </w:pPr>
      <w:r>
        <w:rPr>
          <w:rFonts w:ascii="Arial" w:cs="Arial" w:eastAsia="Arial" w:hAnsi="Arial"/>
          <w:sz w:val="17"/>
          <w:szCs w:val="17"/>
          <w:color w:val="auto"/>
        </w:rPr>
        <w:t>Lehman Holdings filed a motion in May 2014 with the U.S. Bankruptcy Court of the Southern District of New York to require the mortgage loan originators, including SecurityNational Mortgage, to engage in non-binding mediations of the alleged indemnification claims against the mortgage loan originators relative to the Fannie Mae and Freddie Mac settlements with Lehman Holdings. The mediation was not successful in resolving any issues between SecurityNational Mortgage and Lehman Holdings.</w:t>
      </w:r>
    </w:p>
    <w:p>
      <w:pPr>
        <w:spacing w:after="0" w:line="175" w:lineRule="exact"/>
        <w:rPr>
          <w:sz w:val="20"/>
          <w:szCs w:val="20"/>
          <w:color w:val="auto"/>
        </w:rPr>
      </w:pPr>
    </w:p>
    <w:p>
      <w:pPr>
        <w:jc w:val="both"/>
        <w:ind w:right="1519"/>
        <w:spacing w:after="0" w:line="285" w:lineRule="auto"/>
        <w:rPr>
          <w:sz w:val="20"/>
          <w:szCs w:val="20"/>
          <w:color w:val="auto"/>
        </w:rPr>
      </w:pPr>
      <w:r>
        <w:rPr>
          <w:rFonts w:ascii="Arial" w:cs="Arial" w:eastAsia="Arial" w:hAnsi="Arial"/>
          <w:sz w:val="15"/>
          <w:szCs w:val="15"/>
          <w:color w:val="auto"/>
        </w:rPr>
        <w:t>On January 26, 2016, SecurityNational Mortgage filed a declaratory judgment action against Lehman Holdings in the Superior Court for the State of Delaware. In the Delaware action, SecurityNational Mortgage asserted its right to obtain a declaration of rights in that there are allegedly millions of dollars in dispute with Lehman Holdings pertaining to approximately 136 mortgage loans. SecurityNational Mortgage sought a declaratory judgment as to its rights as it contends that it has no liability to Lehman Holdings as a result of Lehman Holdings’ settlements with Fannie Mae and Freddie Mac. Lehman Holdings filed a motion in the Delaware court seeking to stay or dismiss the declaratory judgment action. On August 24, 2016, the Court ruled that it would exercise its discretion to decline jurisdiction over the action and granted Lehman Holdings’ motion to dismiss.</w:t>
      </w:r>
    </w:p>
    <w:p>
      <w:pPr>
        <w:spacing w:after="0" w:line="151" w:lineRule="exact"/>
        <w:rPr>
          <w:sz w:val="20"/>
          <w:szCs w:val="20"/>
          <w:color w:val="auto"/>
        </w:rPr>
      </w:pPr>
    </w:p>
    <w:p>
      <w:pPr>
        <w:jc w:val="both"/>
        <w:ind w:right="1519"/>
        <w:spacing w:after="0" w:line="265" w:lineRule="auto"/>
        <w:rPr>
          <w:sz w:val="20"/>
          <w:szCs w:val="20"/>
          <w:color w:val="auto"/>
        </w:rPr>
      </w:pPr>
      <w:r>
        <w:rPr>
          <w:rFonts w:ascii="Arial" w:cs="Arial" w:eastAsia="Arial" w:hAnsi="Arial"/>
          <w:sz w:val="16"/>
          <w:szCs w:val="16"/>
          <w:color w:val="auto"/>
        </w:rPr>
        <w:t>On February 3, 2016, Lehman Holdings filed an adversary proceeding against approximately 150 mortgage loan originators, including SecurityNational Mortgage, in the U.S. Bankruptcy Court of the Southern District of New York seeking a declaration of rights similar in nature to the declaration that SecurityNational Mortgage sought in its Delaware lawsuit, and for damages relating to the alleged obligations of the defendants under indemnification provisions of the alleged agreements, in amounts to be determined at trial, including interest, attorneys’ fees and costs incurred by Lehman Holdings in enforcing the obligations of the defendants. No response was required to be filed relative to the Complaint or the Amended Complaint dated March 7, 2016. A Case Management Order was entered on November 1, 2016.</w:t>
      </w:r>
    </w:p>
    <w:p>
      <w:pPr>
        <w:spacing w:after="0" w:line="164" w:lineRule="exact"/>
        <w:rPr>
          <w:sz w:val="20"/>
          <w:szCs w:val="20"/>
          <w:color w:val="auto"/>
        </w:rPr>
      </w:pPr>
    </w:p>
    <w:p>
      <w:pPr>
        <w:jc w:val="both"/>
        <w:ind w:right="1519"/>
        <w:spacing w:after="0" w:line="248" w:lineRule="auto"/>
        <w:rPr>
          <w:sz w:val="20"/>
          <w:szCs w:val="20"/>
          <w:color w:val="auto"/>
        </w:rPr>
      </w:pPr>
      <w:r>
        <w:rPr>
          <w:rFonts w:ascii="Arial" w:cs="Arial" w:eastAsia="Arial" w:hAnsi="Arial"/>
          <w:sz w:val="17"/>
          <w:szCs w:val="17"/>
          <w:color w:val="auto"/>
        </w:rPr>
        <w:t>On December 27, 2016, pursuant to the Case Management Order, Lehman Holdings filed a Second Amended Complaint against SecurityNational Mortgage, which eliminates the declaratory judgment claim but retains a similar claim for damages as in the Complaint. Many of the defendants, including SecurityNational Mortgage, filed a joint motion in the case asserting that the Bankruptcy Court does not have subject matter jurisdiction concerning the matter and that venue is improper. Lehman Holdings’ response memorandum was filed on May 31, 2017 and a reply memorandum of the defendants filing the motion was filed on July 14, 2017. A hearing on the motion was held on June 12, 2018.</w:t>
      </w:r>
    </w:p>
    <w:p>
      <w:pPr>
        <w:spacing w:after="0" w:line="176" w:lineRule="exact"/>
        <w:rPr>
          <w:sz w:val="20"/>
          <w:szCs w:val="20"/>
          <w:color w:val="auto"/>
        </w:rPr>
      </w:pPr>
    </w:p>
    <w:p>
      <w:pPr>
        <w:jc w:val="both"/>
        <w:ind w:right="1519"/>
        <w:spacing w:after="0" w:line="248" w:lineRule="auto"/>
        <w:rPr>
          <w:sz w:val="20"/>
          <w:szCs w:val="20"/>
          <w:color w:val="auto"/>
        </w:rPr>
      </w:pPr>
      <w:r>
        <w:rPr>
          <w:rFonts w:ascii="Arial" w:cs="Arial" w:eastAsia="Arial" w:hAnsi="Arial"/>
          <w:sz w:val="17"/>
          <w:szCs w:val="17"/>
          <w:color w:val="auto"/>
        </w:rPr>
        <w:t xml:space="preserve">On August 13, 2018, the Court issued its Memorandum Decision and Order (“Decision”) denying the motion. On August 27, 2018, a number of the defendants, including SecurityNational Mortgage, filed a joint motion with the United States District Court (Case No. 18-mc-00392(VEC)) requesting that the Bankruptcy Court’s Decision be treated as findings of fact and conclusions of law, and for the District Court to review the Decision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as to jurisdiction. Included with the motion were proposed objections to the Bankruptcy Court’s Decision. On September 18, 2018, Lehman Holdings filed its response to the joint motion, and defendants’ reply was filed on October 2, 2018.</w:t>
      </w:r>
    </w:p>
    <w:p>
      <w:pPr>
        <w:spacing w:after="0" w:line="176" w:lineRule="exact"/>
        <w:rPr>
          <w:sz w:val="20"/>
          <w:szCs w:val="20"/>
          <w:color w:val="auto"/>
        </w:rPr>
      </w:pPr>
    </w:p>
    <w:p>
      <w:pPr>
        <w:jc w:val="both"/>
        <w:ind w:right="1519"/>
        <w:spacing w:after="0" w:line="247" w:lineRule="auto"/>
        <w:rPr>
          <w:sz w:val="20"/>
          <w:szCs w:val="20"/>
          <w:color w:val="auto"/>
        </w:rPr>
      </w:pPr>
      <w:r>
        <w:rPr>
          <w:rFonts w:ascii="Arial" w:cs="Arial" w:eastAsia="Arial" w:hAnsi="Arial"/>
          <w:sz w:val="17"/>
          <w:szCs w:val="17"/>
          <w:color w:val="auto"/>
        </w:rPr>
        <w:t>On September 17, 2018, certain defendants, including SecurityNational Mortgage, also filed a notice of appeal, and thereafter a motion for leave to file an interlocutory appeal as to the Bankruptcy Court’s Decision pertaining to jurisdiction and improper venue as a “protective” appeal should the District Court decide not to treat the Decision as findings of fact and conclusions of law. Separately, certain other defendants also filed a notice of appeal and motion for leave to file an interlocutory appeal with respect to the Bankruptcy Court’s Decision concerning improper venue. Lehman Holdings filed its response on October 22, 2018, and defendants filed a joint reply to Lehman Holdings’ response on November 26, 2018. The motions to file appeals were consolidated before Valerie Caproni, U.S. District Court Judge, Case No. 18-cv-08986 (VEC). Case No. 18-mc-00392 (VEC) was also before Judge Caproni.</w:t>
      </w:r>
    </w:p>
    <w:p>
      <w:pPr>
        <w:spacing w:after="0" w:line="18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93345</wp:posOffset>
            </wp:positionV>
            <wp:extent cx="498983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989830" cy="29845"/>
                    </a:xfrm>
                    <a:prstGeom prst="rect">
                      <a:avLst/>
                    </a:prstGeom>
                    <a:noFill/>
                  </pic:spPr>
                </pic:pic>
              </a:graphicData>
            </a:graphic>
          </wp:anchor>
        </w:drawing>
      </w:r>
    </w:p>
    <w:p>
      <w:pPr>
        <w:sectPr>
          <w:pgSz w:w="11900" w:h="16838" w:orient="portrait"/>
          <w:cols w:equalWidth="0" w:num="1">
            <w:col w:w="9379"/>
          </w:cols>
          <w:pgMar w:left="1080" w:top="124" w:right="1440" w:bottom="1440" w:gutter="0" w:footer="0" w:header="0"/>
        </w:sectPr>
      </w:pPr>
    </w:p>
    <w:bookmarkStart w:id="42" w:name="page43"/>
    <w:bookmarkEnd w:id="42"/>
    <w:p>
      <w:pPr>
        <w:jc w:val="center"/>
        <w:ind w:right="1519"/>
        <w:spacing w:after="0" w:line="257" w:lineRule="auto"/>
        <w:rPr>
          <w:sz w:val="20"/>
          <w:szCs w:val="20"/>
          <w:color w:val="auto"/>
        </w:rPr>
      </w:pPr>
      <w:r>
        <w:rPr>
          <w:rFonts w:ascii="Arial" w:cs="Arial" w:eastAsia="Arial" w:hAnsi="Arial"/>
          <w:sz w:val="17"/>
          <w:szCs w:val="17"/>
          <w:color w:val="auto"/>
        </w:rPr>
        <w:t>SECURITY NATIONAL FINANCIAL CORPORATION AND SUBSIDIARIES Notes to Condensed Consolidated Financial Statements March 31, 2020 (Unaudited)</w:t>
      </w:r>
    </w:p>
    <w:p>
      <w:pPr>
        <w:spacing w:after="0" w:line="75" w:lineRule="exact"/>
        <w:rPr>
          <w:sz w:val="20"/>
          <w:szCs w:val="20"/>
          <w:color w:val="auto"/>
        </w:rPr>
      </w:pPr>
    </w:p>
    <w:p>
      <w:pPr>
        <w:ind w:left="360" w:hanging="355"/>
        <w:spacing w:after="0"/>
        <w:tabs>
          <w:tab w:leader="none" w:pos="360"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Reinsurance, Commitments and Contingencies</w:t>
      </w:r>
      <w:r>
        <w:rPr>
          <w:rFonts w:ascii="Arial" w:cs="Arial" w:eastAsia="Arial" w:hAnsi="Arial"/>
          <w:sz w:val="17"/>
          <w:szCs w:val="17"/>
          <w:color w:val="auto"/>
        </w:rPr>
        <w:t xml:space="preserve"> (Continued)</w:t>
      </w:r>
    </w:p>
    <w:p>
      <w:pPr>
        <w:spacing w:after="0" w:line="225" w:lineRule="exact"/>
        <w:rPr>
          <w:sz w:val="20"/>
          <w:szCs w:val="20"/>
          <w:color w:val="auto"/>
        </w:rPr>
      </w:pPr>
    </w:p>
    <w:p>
      <w:pPr>
        <w:jc w:val="both"/>
        <w:ind w:right="1519"/>
        <w:spacing w:after="0" w:line="252" w:lineRule="auto"/>
        <w:rPr>
          <w:sz w:val="20"/>
          <w:szCs w:val="20"/>
          <w:color w:val="auto"/>
        </w:rPr>
      </w:pPr>
      <w:r>
        <w:rPr>
          <w:rFonts w:ascii="Arial" w:cs="Arial" w:eastAsia="Arial" w:hAnsi="Arial"/>
          <w:sz w:val="17"/>
          <w:szCs w:val="17"/>
          <w:color w:val="auto"/>
        </w:rPr>
        <w:t xml:space="preserve">On May 8, 2019, Judge Caproni issued her Opinion and Order denying the motion for an interlocutory appeal of the bankruptcy court’s ruling relative to jurisdiction and venue. Further, the judge denied the motion for immediate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review of the bankruptcy court’s ruling indicating that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review can be left for the future.</w:t>
      </w:r>
    </w:p>
    <w:p>
      <w:pPr>
        <w:spacing w:after="0" w:line="173" w:lineRule="exact"/>
        <w:rPr>
          <w:sz w:val="20"/>
          <w:szCs w:val="20"/>
          <w:color w:val="auto"/>
        </w:rPr>
      </w:pPr>
    </w:p>
    <w:p>
      <w:pPr>
        <w:jc w:val="both"/>
        <w:ind w:right="1519"/>
        <w:spacing w:after="0" w:line="285" w:lineRule="auto"/>
        <w:rPr>
          <w:sz w:val="20"/>
          <w:szCs w:val="20"/>
          <w:color w:val="auto"/>
        </w:rPr>
      </w:pPr>
      <w:r>
        <w:rPr>
          <w:rFonts w:ascii="Arial" w:cs="Arial" w:eastAsia="Arial" w:hAnsi="Arial"/>
          <w:sz w:val="15"/>
          <w:szCs w:val="15"/>
          <w:color w:val="auto"/>
        </w:rPr>
        <w:t>On October 1, 2018, Lehman Holdings filed a motion for leave to file Third Amended Complaints against numerous defendants including SecurityNational Mortgage. In addition to the Fannie Mae and Freddie Mac related loans, the amendments and supplements include additional mortgage loans sold to Lehman Holdings that were packaged for securitization (“RMBS loans”). The RMBS loans had allegedly been sold by defendants to Lehman Bank that, in turn, sold them to Lehman Holdings. The allegations pertaining to the RMBS loans include, e.g., purported breaches of representations and warranties made to the securitization trusts by Lehman Holdings. Lehman Holdings asserts that it made representations and warranties purportedly based in part by representations and warranties made to Lehman Bank by loan originators, including SecurityNational Mortgage.</w:t>
      </w:r>
    </w:p>
    <w:p>
      <w:pPr>
        <w:spacing w:after="0" w:line="151" w:lineRule="exact"/>
        <w:rPr>
          <w:sz w:val="20"/>
          <w:szCs w:val="20"/>
          <w:color w:val="auto"/>
        </w:rPr>
      </w:pPr>
    </w:p>
    <w:p>
      <w:pPr>
        <w:jc w:val="both"/>
        <w:ind w:right="1519"/>
        <w:spacing w:after="0" w:line="267" w:lineRule="auto"/>
        <w:rPr>
          <w:sz w:val="20"/>
          <w:szCs w:val="20"/>
          <w:color w:val="auto"/>
        </w:rPr>
      </w:pPr>
      <w:r>
        <w:rPr>
          <w:rFonts w:ascii="Arial" w:cs="Arial" w:eastAsia="Arial" w:hAnsi="Arial"/>
          <w:sz w:val="16"/>
          <w:szCs w:val="16"/>
          <w:color w:val="auto"/>
        </w:rPr>
        <w:t>The alleged RMBS loans in dispute with SecurityNational Mortgage allegedly involve millions of dollars pertaining to approximately 577 mortgage loans in addition to the Fannie Mae and Freddie Mac related loans. Lehman Holdings also moved the Court to simultaneously allow alternative dispute resolution procedures to take place including potential mediation. Over objections, at a hearing on October 29, 2018, the Court granted Lehman Holdings’ motion to amend or supplement its complaints adding the RMBS loans, and also to mandate alternative dispute resolution procedures affecting many defendants, including SecurityNational Mortgage.</w:t>
      </w:r>
    </w:p>
    <w:p>
      <w:pPr>
        <w:spacing w:after="0" w:line="163" w:lineRule="exact"/>
        <w:rPr>
          <w:sz w:val="20"/>
          <w:szCs w:val="20"/>
          <w:color w:val="auto"/>
        </w:rPr>
      </w:pPr>
    </w:p>
    <w:p>
      <w:pPr>
        <w:jc w:val="both"/>
        <w:ind w:right="1519"/>
        <w:spacing w:after="0" w:line="264" w:lineRule="auto"/>
        <w:rPr>
          <w:sz w:val="20"/>
          <w:szCs w:val="20"/>
          <w:color w:val="auto"/>
        </w:rPr>
      </w:pPr>
      <w:r>
        <w:rPr>
          <w:rFonts w:ascii="Arial" w:cs="Arial" w:eastAsia="Arial" w:hAnsi="Arial"/>
          <w:sz w:val="16"/>
          <w:szCs w:val="16"/>
          <w:color w:val="auto"/>
        </w:rPr>
        <w:t>Instead of filing a Third Amended Complaint to include the RMBS loans referenced above, Lehman Holdings filed the matter against SecurityNational Mortgage as a new complaint ("RMBS Complaint") (United States Bankruptcy Court, Southern District of New York, Adversary Proceeding 18-01819) pertaining to the approximately 577 RMBS loans, in addition to the Second Amended Complaint already on file. The RMBS Complaint seeks alleged damages relating to obligations under alleged contractual indemnification provisions in an amount to be determined at trial, interest, costs and expenses incurred by LBHI in enforcing alleged obligations, including attorneys' fees and costs and any expert witness fees incurred in litigation; and such other relief as the Court deems just and proper. SecurityNational Mortgage denies any liability to Lehman Holdings and intends to vigorously protect and defend its position.</w:t>
      </w:r>
    </w:p>
    <w:p>
      <w:pPr>
        <w:spacing w:after="0" w:line="166" w:lineRule="exact"/>
        <w:rPr>
          <w:sz w:val="20"/>
          <w:szCs w:val="20"/>
          <w:color w:val="auto"/>
        </w:rPr>
      </w:pPr>
    </w:p>
    <w:p>
      <w:pPr>
        <w:jc w:val="both"/>
        <w:ind w:right="1519"/>
        <w:spacing w:after="0" w:line="265" w:lineRule="auto"/>
        <w:rPr>
          <w:sz w:val="20"/>
          <w:szCs w:val="20"/>
          <w:color w:val="auto"/>
        </w:rPr>
      </w:pPr>
      <w:r>
        <w:rPr>
          <w:rFonts w:ascii="Arial" w:cs="Arial" w:eastAsia="Arial" w:hAnsi="Arial"/>
          <w:sz w:val="16"/>
          <w:szCs w:val="16"/>
          <w:color w:val="auto"/>
        </w:rPr>
        <w:t>In response to a Court order, certain defendants referenced in the Second Amended Complaint and the RMBS Complaints negotiated with Lehman Holdings concerning an amended case management order pertaining to certain case procedures and management for both lawsuits including, but not limited to, timing for filing motions and answering the complaints, and provisions concerning discovery such as document production, taking depositions, and use of experts. At a hearing held on March 7, 2019, the Court considered differences of the parties as to the content of an amended case management order, and thereafter signed an amended case management order dated March 13, 2019. SecurityNational Mortgage filed an answer and amended answer in the Fannie Mae and Freddie Mac case, and in the RMBS case. Discovery is in process.</w:t>
      </w:r>
    </w:p>
    <w:p>
      <w:pPr>
        <w:spacing w:after="0" w:line="164" w:lineRule="exact"/>
        <w:rPr>
          <w:sz w:val="20"/>
          <w:szCs w:val="20"/>
          <w:color w:val="auto"/>
        </w:rPr>
      </w:pPr>
    </w:p>
    <w:p>
      <w:pPr>
        <w:jc w:val="both"/>
        <w:ind w:right="1519"/>
        <w:spacing w:after="0" w:line="269" w:lineRule="auto"/>
        <w:rPr>
          <w:sz w:val="20"/>
          <w:szCs w:val="20"/>
          <w:color w:val="auto"/>
        </w:rPr>
      </w:pPr>
      <w:r>
        <w:rPr>
          <w:rFonts w:ascii="Arial" w:cs="Arial" w:eastAsia="Arial" w:hAnsi="Arial"/>
          <w:sz w:val="16"/>
          <w:szCs w:val="16"/>
          <w:color w:val="auto"/>
        </w:rPr>
        <w:t>Lehman Holdings sent an Indemnification Alternative Dispute Resolution Notice to SecurityNational Mortgage dated August 1, 2019. SecurityNational Mortgage sent its Statement of Position to Lehman Brothers Holdings dated September 3, 2019 in response to the notice. Thereafter, Lehman Holdings sent its Reply dated October 2, 2019 to SecurityNational Mortgage. On January 9, 2020, SecurityNational Mortgage submitted further information to the mediator. Mediation was set to take place on January 23, 2020 in New York.</w:t>
      </w:r>
    </w:p>
    <w:p>
      <w:pPr>
        <w:spacing w:after="0" w:line="173"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93345</wp:posOffset>
            </wp:positionV>
            <wp:extent cx="498983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989830" cy="29845"/>
                    </a:xfrm>
                    <a:prstGeom prst="rect">
                      <a:avLst/>
                    </a:prstGeom>
                    <a:noFill/>
                  </pic:spPr>
                </pic:pic>
              </a:graphicData>
            </a:graphic>
          </wp:anchor>
        </w:drawing>
      </w:r>
    </w:p>
    <w:p>
      <w:pPr>
        <w:sectPr>
          <w:pgSz w:w="11900" w:h="16838" w:orient="portrait"/>
          <w:cols w:equalWidth="0" w:num="1">
            <w:col w:w="9379"/>
          </w:cols>
          <w:pgMar w:left="1080" w:top="124" w:right="1440" w:bottom="1440" w:gutter="0" w:footer="0" w:header="0"/>
        </w:sectPr>
      </w:pPr>
    </w:p>
    <w:bookmarkStart w:id="43" w:name="page44"/>
    <w:bookmarkEnd w:id="43"/>
    <w:p>
      <w:pPr>
        <w:jc w:val="center"/>
        <w:ind w:right="1519"/>
        <w:spacing w:after="0" w:line="257" w:lineRule="auto"/>
        <w:rPr>
          <w:sz w:val="20"/>
          <w:szCs w:val="20"/>
          <w:color w:val="auto"/>
        </w:rPr>
      </w:pPr>
      <w:r>
        <w:rPr>
          <w:rFonts w:ascii="Arial" w:cs="Arial" w:eastAsia="Arial" w:hAnsi="Arial"/>
          <w:sz w:val="17"/>
          <w:szCs w:val="17"/>
          <w:color w:val="auto"/>
        </w:rPr>
        <w:t>SECURITY NATIONAL FINANCIAL CORPORATION AND SUBSIDIARIES Notes to Condensed Consolidated Financial Statements March 31, 2020 (Unaudited)</w:t>
      </w:r>
    </w:p>
    <w:p>
      <w:pPr>
        <w:spacing w:after="0" w:line="75" w:lineRule="exact"/>
        <w:rPr>
          <w:sz w:val="20"/>
          <w:szCs w:val="20"/>
          <w:color w:val="auto"/>
        </w:rPr>
      </w:pPr>
    </w:p>
    <w:p>
      <w:pPr>
        <w:ind w:left="360" w:hanging="355"/>
        <w:spacing w:after="0"/>
        <w:tabs>
          <w:tab w:leader="none" w:pos="360"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Reinsurance, Commitments and Contingencies</w:t>
      </w:r>
      <w:r>
        <w:rPr>
          <w:rFonts w:ascii="Arial" w:cs="Arial" w:eastAsia="Arial" w:hAnsi="Arial"/>
          <w:sz w:val="17"/>
          <w:szCs w:val="17"/>
          <w:color w:val="auto"/>
        </w:rPr>
        <w:t xml:space="preserve"> (Continued)</w:t>
      </w:r>
    </w:p>
    <w:p>
      <w:pPr>
        <w:spacing w:after="0" w:line="225" w:lineRule="exact"/>
        <w:rPr>
          <w:sz w:val="20"/>
          <w:szCs w:val="20"/>
          <w:color w:val="auto"/>
        </w:rPr>
      </w:pPr>
    </w:p>
    <w:p>
      <w:pPr>
        <w:jc w:val="both"/>
        <w:ind w:right="1519"/>
        <w:spacing w:after="0" w:line="265" w:lineRule="auto"/>
        <w:rPr>
          <w:sz w:val="20"/>
          <w:szCs w:val="20"/>
          <w:color w:val="auto"/>
        </w:rPr>
      </w:pPr>
      <w:r>
        <w:rPr>
          <w:rFonts w:ascii="Arial" w:cs="Arial" w:eastAsia="Arial" w:hAnsi="Arial"/>
          <w:sz w:val="16"/>
          <w:szCs w:val="16"/>
          <w:color w:val="auto"/>
        </w:rPr>
        <w:t>On January 15, 2020, SecurityNational Mortgage filed a motion to dismiss Lehman Holdings’ RMBS action in the Bankruptcy Court for lack of subject matter jurisdiction and standing. It was not filed in the Bankruptcy Court but in the United States District Court for the Southern District of New York. The District Court referred the matter to a magistrate judge for general pretrial, which “includes scheduling, discovery, non-dispositive pretrial motions, and settlement,” as well as for “a Report and Recommendation” as to the pending motion. The final disposition of the motion will be with the District Court judge. Lehman Holdings has asked the District Court to transfer the case to one of two other judges allegedly due to related matters. No action has been taken by the District Court to transfer the case.</w:t>
      </w:r>
    </w:p>
    <w:p>
      <w:pPr>
        <w:spacing w:after="0" w:line="164" w:lineRule="exact"/>
        <w:rPr>
          <w:sz w:val="20"/>
          <w:szCs w:val="20"/>
          <w:color w:val="auto"/>
        </w:rPr>
      </w:pPr>
    </w:p>
    <w:p>
      <w:pPr>
        <w:jc w:val="both"/>
        <w:ind w:right="1519"/>
        <w:spacing w:after="0" w:line="269" w:lineRule="auto"/>
        <w:rPr>
          <w:sz w:val="20"/>
          <w:szCs w:val="20"/>
          <w:color w:val="auto"/>
        </w:rPr>
      </w:pPr>
      <w:r>
        <w:rPr>
          <w:rFonts w:ascii="Arial" w:cs="Arial" w:eastAsia="Arial" w:hAnsi="Arial"/>
          <w:sz w:val="16"/>
          <w:szCs w:val="16"/>
          <w:color w:val="auto"/>
        </w:rPr>
        <w:t>However, Lehman Holdings filed its response brief to the motion and SecurityNational Mortgage filed its reply so the matter is now fully briefed. No decision has been made as to whether the magistrate judge will hold oral argument. In view of SecurityNational Mortgage’s motion to dismiss, Lehman Holdings requested that the mediation set for January 23, 2020 be adjourned “pending resolution of your [SecurityNational Mortgage] motion by the court.” On January 17, 2020, the mediator adjourned the scheduled mediation without a date.</w:t>
      </w:r>
    </w:p>
    <w:p>
      <w:pPr>
        <w:spacing w:after="0" w:line="162" w:lineRule="exact"/>
        <w:rPr>
          <w:sz w:val="20"/>
          <w:szCs w:val="20"/>
          <w:color w:val="auto"/>
        </w:rPr>
      </w:pPr>
    </w:p>
    <w:p>
      <w:pPr>
        <w:jc w:val="both"/>
        <w:ind w:right="1519"/>
        <w:spacing w:after="0" w:line="284" w:lineRule="auto"/>
        <w:rPr>
          <w:sz w:val="20"/>
          <w:szCs w:val="20"/>
          <w:color w:val="auto"/>
        </w:rPr>
      </w:pPr>
      <w:r>
        <w:rPr>
          <w:rFonts w:ascii="Arial" w:cs="Arial" w:eastAsia="Arial" w:hAnsi="Arial"/>
          <w:sz w:val="15"/>
          <w:szCs w:val="15"/>
          <w:color w:val="auto"/>
        </w:rPr>
        <w:t>On March 17, 2020, Lehman Holdings filed a motion for partial summary judgment against dozens of defendants asserting that sufficient notice was given defendants concerning the settlement of the RMBS claims so that Lehman Holdings, as an indemnitee, would not have to prove that it (Lehman Holdings) had liability to the RMBS Trustees, but only that its settlement was reasonable and in good faith. Defendants involved will file a response brief that for various reasons Lehman Holdings cannot establish sufficient notice as required by law. Defendants are intending to file a cross motion to seek an affirmative ruling on the issue of Lehman Holdings’ motion. Thereafter, Lehman Holdings is entitled to file a reply brief and also a response to defendants’ cross motion. Defendants then would have the opportunity to file a reply. Even if Lehman Holdings were to prevail on its motion, it does not absolve Lehman Holdings of its burden to prove indemnity liability to the defendants.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Debt Covenants for Mortgage Warehouse Lines of Credit</w:t>
      </w:r>
    </w:p>
    <w:p>
      <w:pPr>
        <w:spacing w:after="0" w:line="208" w:lineRule="exact"/>
        <w:rPr>
          <w:sz w:val="20"/>
          <w:szCs w:val="20"/>
          <w:color w:val="auto"/>
        </w:rPr>
      </w:pPr>
    </w:p>
    <w:p>
      <w:pPr>
        <w:jc w:val="both"/>
        <w:ind w:right="1519"/>
        <w:spacing w:after="0" w:line="246" w:lineRule="auto"/>
        <w:rPr>
          <w:sz w:val="20"/>
          <w:szCs w:val="20"/>
          <w:color w:val="auto"/>
        </w:rPr>
      </w:pPr>
      <w:r>
        <w:rPr>
          <w:rFonts w:ascii="Arial" w:cs="Arial" w:eastAsia="Arial" w:hAnsi="Arial"/>
          <w:sz w:val="17"/>
          <w:szCs w:val="17"/>
          <w:color w:val="auto"/>
        </w:rPr>
        <w:t>The Company, through its subsidiary SecurityNational Mortgage, has a $100,000,000 line of credit with Wells Fargo Bank N.A. The agreement charges interest at the 1-Month LIBOR rate plus 2.1% and matures on June 16, 2020. SecurityNational Mortgage is required to comply with covenants for adjusted tangible net worth, unrestricted cash balance, the ratio of indebtedness to adjusted tangible net worth, and the liquidity overhead coverage ratio, and a quarterly gross profit of at least $1.00. SecurityNational Mortgage has requested but not yet received a waiver from Wells Fargo Bank N.A. as SecurityNational Mortgage did not meet the indebtedness to adjusted tangible net worth ratio for March or April 2020 due to high mortgage origination volume in both months that resulted in aggregate borrowings in excess of the defined limits. SecurityNational Mortgage plans to negotiate an amendment to adjust the ratio to return to compliance when SecurityNational Mortgage renews the agreement at the end of May 2020.</w:t>
      </w:r>
    </w:p>
    <w:p>
      <w:pPr>
        <w:spacing w:after="0" w:line="183" w:lineRule="exact"/>
        <w:rPr>
          <w:sz w:val="20"/>
          <w:szCs w:val="20"/>
          <w:color w:val="auto"/>
        </w:rPr>
      </w:pPr>
    </w:p>
    <w:p>
      <w:pPr>
        <w:jc w:val="both"/>
        <w:ind w:right="1519"/>
        <w:spacing w:after="0" w:line="267" w:lineRule="auto"/>
        <w:rPr>
          <w:sz w:val="20"/>
          <w:szCs w:val="20"/>
          <w:color w:val="auto"/>
        </w:rPr>
      </w:pPr>
      <w:r>
        <w:rPr>
          <w:rFonts w:ascii="Arial" w:cs="Arial" w:eastAsia="Arial" w:hAnsi="Arial"/>
          <w:sz w:val="16"/>
          <w:szCs w:val="16"/>
          <w:color w:val="auto"/>
        </w:rPr>
        <w:t>The Company, through its subsidiary SecurityNational Mortgage, also uses a line of credit with Texas Capital Bank N.A. This agreement with the bank allows SecurityNational Mortgage to borrow up to $100,000,000 for the sole purpose of funding mortgage loans. The agreement charges interest at the 1-Month LIBOR rate plus 3% and matures on September 9, 2020. The Company is required to comply with covenants for adjusted tangible net worth, unrestricted cash balance, and minimum combined pre-tax income (excluding any changes in the fair value of mortgage servicing rights) of at least $1.00 on a rolling four-quarter basis.</w:t>
      </w:r>
    </w:p>
    <w:p>
      <w:pPr>
        <w:spacing w:after="0" w:line="163" w:lineRule="exact"/>
        <w:rPr>
          <w:sz w:val="20"/>
          <w:szCs w:val="20"/>
          <w:color w:val="auto"/>
        </w:rPr>
      </w:pPr>
    </w:p>
    <w:p>
      <w:pPr>
        <w:jc w:val="both"/>
        <w:ind w:right="1519"/>
        <w:spacing w:after="0" w:line="286" w:lineRule="auto"/>
        <w:rPr>
          <w:sz w:val="20"/>
          <w:szCs w:val="20"/>
          <w:color w:val="auto"/>
        </w:rPr>
      </w:pPr>
      <w:r>
        <w:rPr>
          <w:rFonts w:ascii="Arial" w:cs="Arial" w:eastAsia="Arial" w:hAnsi="Arial"/>
          <w:sz w:val="15"/>
          <w:szCs w:val="15"/>
          <w:color w:val="auto"/>
        </w:rPr>
        <w:t>The agreements for both warehouse lines include cross default provisions in that a covenant violation under one agreement constitutes a covenant violation under the other agreement. SecurityNational Mortgage has requested but not yet received a waiver from Texas Capital Bank in regard to its current violation with Wells Fargo Bank N.A. As of March 31, 2020, the Company had approximately $74,955,000 and $98,074,000 outstanding on the Texas Capital Bank and Wells Fargo warehouse lines, respectively. In the unlikely event SecurityNational Mortgage is required to repay both warehouse lines, SecurityNational Mortgage has sufficient cash and borrowing capacity to do so and to continue to fund its origination activities through the other internal funding sources.</w:t>
      </w:r>
    </w:p>
    <w:p>
      <w:pPr>
        <w:spacing w:after="0" w:line="163"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93345</wp:posOffset>
            </wp:positionV>
            <wp:extent cx="498983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989830" cy="29845"/>
                    </a:xfrm>
                    <a:prstGeom prst="rect">
                      <a:avLst/>
                    </a:prstGeom>
                    <a:noFill/>
                  </pic:spPr>
                </pic:pic>
              </a:graphicData>
            </a:graphic>
          </wp:anchor>
        </w:drawing>
      </w:r>
    </w:p>
    <w:p>
      <w:pPr>
        <w:sectPr>
          <w:pgSz w:w="11900" w:h="16838" w:orient="portrait"/>
          <w:cols w:equalWidth="0" w:num="1">
            <w:col w:w="9379"/>
          </w:cols>
          <w:pgMar w:left="1080" w:top="124" w:right="1440" w:bottom="1440" w:gutter="0" w:footer="0" w:header="0"/>
        </w:sectPr>
      </w:pPr>
    </w:p>
    <w:bookmarkStart w:id="44" w:name="page45"/>
    <w:bookmarkEnd w:id="44"/>
    <w:p>
      <w:pPr>
        <w:jc w:val="center"/>
        <w:ind w:right="1519"/>
        <w:spacing w:after="0" w:line="257" w:lineRule="auto"/>
        <w:rPr>
          <w:sz w:val="20"/>
          <w:szCs w:val="20"/>
          <w:color w:val="auto"/>
        </w:rPr>
      </w:pPr>
      <w:r>
        <w:rPr>
          <w:rFonts w:ascii="Arial" w:cs="Arial" w:eastAsia="Arial" w:hAnsi="Arial"/>
          <w:sz w:val="17"/>
          <w:szCs w:val="17"/>
          <w:color w:val="auto"/>
        </w:rPr>
        <w:t>SECURITY NATIONAL FINANCIAL CORPORATION AND SUBSIDIARIES Notes to Condensed Consolidated Financial Statements March 31, 2020 (Unaudited)</w:t>
      </w:r>
    </w:p>
    <w:p>
      <w:pPr>
        <w:spacing w:after="0" w:line="75" w:lineRule="exact"/>
        <w:rPr>
          <w:sz w:val="20"/>
          <w:szCs w:val="20"/>
          <w:color w:val="auto"/>
        </w:rPr>
      </w:pPr>
    </w:p>
    <w:p>
      <w:pPr>
        <w:ind w:left="360" w:hanging="355"/>
        <w:spacing w:after="0"/>
        <w:tabs>
          <w:tab w:leader="none" w:pos="360"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Reinsurance, Commitments and Contingencies</w:t>
      </w:r>
      <w:r>
        <w:rPr>
          <w:rFonts w:ascii="Arial" w:cs="Arial" w:eastAsia="Arial" w:hAnsi="Arial"/>
          <w:sz w:val="17"/>
          <w:szCs w:val="17"/>
          <w:color w:val="auto"/>
        </w:rPr>
        <w:t xml:space="preserve"> (Continued)</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Contingencies and Commitments</w:t>
      </w:r>
    </w:p>
    <w:p>
      <w:pPr>
        <w:spacing w:after="0" w:line="208" w:lineRule="exact"/>
        <w:rPr>
          <w:sz w:val="20"/>
          <w:szCs w:val="20"/>
          <w:color w:val="auto"/>
        </w:rPr>
      </w:pPr>
    </w:p>
    <w:p>
      <w:pPr>
        <w:jc w:val="both"/>
        <w:ind w:right="1519"/>
        <w:spacing w:after="0" w:line="248" w:lineRule="auto"/>
        <w:rPr>
          <w:sz w:val="20"/>
          <w:szCs w:val="20"/>
          <w:color w:val="auto"/>
        </w:rPr>
      </w:pPr>
      <w:r>
        <w:rPr>
          <w:rFonts w:ascii="Arial" w:cs="Arial" w:eastAsia="Arial" w:hAnsi="Arial"/>
          <w:sz w:val="17"/>
          <w:szCs w:val="17"/>
          <w:color w:val="auto"/>
        </w:rPr>
        <w:t>The Company has entered into commitments to fund construction and land development loans and has also provided financing for land acquisition and development. As of March 31, 2020, the Company’s commitments were approximately $135,902,000 for these loans, of which $94,834,000 had been funded. The Company will advance funds once the work has been completed and an independent inspection is made. The maximum loan commitment ranges between 50% and 80% of appraised value. The Company receives fees and interest for these loans and the interest rate is generally fixed 5.50% to 8.00% per annum. Maturities range between six and eighteen months.</w:t>
      </w:r>
    </w:p>
    <w:p>
      <w:pPr>
        <w:spacing w:after="0" w:line="176" w:lineRule="exact"/>
        <w:rPr>
          <w:sz w:val="20"/>
          <w:szCs w:val="20"/>
          <w:color w:val="auto"/>
        </w:rPr>
      </w:pPr>
    </w:p>
    <w:p>
      <w:pPr>
        <w:jc w:val="both"/>
        <w:ind w:right="1519"/>
        <w:spacing w:after="0" w:line="284" w:lineRule="auto"/>
        <w:rPr>
          <w:sz w:val="20"/>
          <w:szCs w:val="20"/>
          <w:color w:val="auto"/>
        </w:rPr>
      </w:pPr>
      <w:r>
        <w:rPr>
          <w:rFonts w:ascii="Arial" w:cs="Arial" w:eastAsia="Arial" w:hAnsi="Arial"/>
          <w:sz w:val="15"/>
          <w:szCs w:val="15"/>
          <w:color w:val="auto"/>
        </w:rPr>
        <w:t>The Company belongs to a captive insurance group for certain casualty insurance, worker compensation and liability programs. Insurance reserves are maintained relative to these programs. The level of exposure from catastrophic events is limited by the purchase of stop-loss and aggregate liability reinsurance coverage. When estimating the insurance liabilities and related reserves, the captive insurance management considers a number of factors, which include historical claims experience, demographic factors, severity factors and valuations provided by independent third-party actuaries. If actual claims or adverse development of loss reserves occurs and exceed these estimates, additional reserves may be required. The estimation process contains uncertainty since captive insurance management must use judgment to estimate the ultimate cost that will be incurred to settle reported claims and unreported claims for incidents incurred but not reported as of the balance sheet date.</w:t>
      </w:r>
    </w:p>
    <w:p>
      <w:pPr>
        <w:spacing w:after="0" w:line="57" w:lineRule="exact"/>
        <w:rPr>
          <w:sz w:val="20"/>
          <w:szCs w:val="20"/>
          <w:color w:val="auto"/>
        </w:rPr>
      </w:pPr>
    </w:p>
    <w:p>
      <w:pPr>
        <w:jc w:val="both"/>
        <w:ind w:right="1519"/>
        <w:spacing w:after="0" w:line="250" w:lineRule="auto"/>
        <w:rPr>
          <w:sz w:val="20"/>
          <w:szCs w:val="20"/>
          <w:color w:val="auto"/>
        </w:rPr>
      </w:pPr>
      <w:r>
        <w:rPr>
          <w:rFonts w:ascii="Arial" w:cs="Arial" w:eastAsia="Arial" w:hAnsi="Arial"/>
          <w:sz w:val="17"/>
          <w:szCs w:val="17"/>
          <w:color w:val="auto"/>
        </w:rPr>
        <w:t>The Company is a defendant in various other legal actions arising from the normal conduct of business. Management believes that none of the actions will have a material effect on the Company’s financial position or results of operations. Based on management’s assessment and legal counsel’s representations concerning the likelihood of unfavorable outcomes, no amounts have been accrued for the above claims in the consolidated financial statements.</w:t>
      </w:r>
    </w:p>
    <w:p>
      <w:pPr>
        <w:spacing w:after="0" w:line="81" w:lineRule="exact"/>
        <w:rPr>
          <w:sz w:val="20"/>
          <w:szCs w:val="20"/>
          <w:color w:val="auto"/>
        </w:rPr>
      </w:pPr>
    </w:p>
    <w:p>
      <w:pPr>
        <w:jc w:val="both"/>
        <w:ind w:right="1519"/>
        <w:spacing w:after="0" w:line="257" w:lineRule="auto"/>
        <w:rPr>
          <w:sz w:val="20"/>
          <w:szCs w:val="20"/>
          <w:color w:val="auto"/>
        </w:rPr>
      </w:pPr>
      <w:r>
        <w:rPr>
          <w:rFonts w:ascii="Arial" w:cs="Arial" w:eastAsia="Arial" w:hAnsi="Arial"/>
          <w:sz w:val="17"/>
          <w:szCs w:val="17"/>
          <w:color w:val="auto"/>
        </w:rPr>
        <w:t>The Company is not a party to any other material legal proceedings outside the ordinary course of business or to any other legal proceedings, which, if adversely determined, would have a material adverse effect on its financial condition or results of operations.</w:t>
      </w:r>
    </w:p>
    <w:p>
      <w:pPr>
        <w:spacing w:after="0" w:line="200" w:lineRule="exact"/>
        <w:rPr>
          <w:sz w:val="20"/>
          <w:szCs w:val="20"/>
          <w:color w:val="auto"/>
        </w:rPr>
      </w:pPr>
    </w:p>
    <w:p>
      <w:pPr>
        <w:spacing w:after="0" w:line="283"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93345</wp:posOffset>
            </wp:positionV>
            <wp:extent cx="498983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989830" cy="29845"/>
                    </a:xfrm>
                    <a:prstGeom prst="rect">
                      <a:avLst/>
                    </a:prstGeom>
                    <a:noFill/>
                  </pic:spPr>
                </pic:pic>
              </a:graphicData>
            </a:graphic>
          </wp:anchor>
        </w:drawing>
      </w:r>
    </w:p>
    <w:p>
      <w:pPr>
        <w:sectPr>
          <w:pgSz w:w="11900" w:h="16838" w:orient="portrait"/>
          <w:cols w:equalWidth="0" w:num="1">
            <w:col w:w="9379"/>
          </w:cols>
          <w:pgMar w:left="1080" w:top="124" w:right="1440" w:bottom="1440" w:gutter="0" w:footer="0" w:header="0"/>
        </w:sectPr>
      </w:pPr>
    </w:p>
    <w:bookmarkStart w:id="45" w:name="page46"/>
    <w:bookmarkEnd w:id="45"/>
    <w:p>
      <w:pPr>
        <w:jc w:val="center"/>
        <w:ind w:right="1519"/>
        <w:spacing w:after="0" w:line="257" w:lineRule="auto"/>
        <w:rPr>
          <w:sz w:val="20"/>
          <w:szCs w:val="20"/>
          <w:color w:val="auto"/>
        </w:rPr>
      </w:pPr>
      <w:r>
        <w:rPr>
          <w:rFonts w:ascii="Arial" w:cs="Arial" w:eastAsia="Arial" w:hAnsi="Arial"/>
          <w:sz w:val="17"/>
          <w:szCs w:val="17"/>
          <w:color w:val="auto"/>
        </w:rPr>
        <w:t>SECURITY NATIONAL FINANCIAL CORPORATION AND SUBSIDIARIES Notes to Condensed Consolidated Financial Statements March 31, 2020 (Unaudited)</w:t>
      </w:r>
    </w:p>
    <w:p>
      <w:pPr>
        <w:spacing w:after="0" w:line="98" w:lineRule="exact"/>
        <w:rPr>
          <w:sz w:val="20"/>
          <w:szCs w:val="20"/>
          <w:color w:val="auto"/>
        </w:rPr>
      </w:pPr>
    </w:p>
    <w:p>
      <w:pPr>
        <w:ind w:left="360" w:hanging="355"/>
        <w:spacing w:after="0"/>
        <w:tabs>
          <w:tab w:leader="none" w:pos="360"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Mortgage Servicing Rights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Company initially records these MSRs at fair value as discussed in Note 8.</w:t>
      </w:r>
    </w:p>
    <w:p>
      <w:pPr>
        <w:spacing w:after="0" w:line="202" w:lineRule="exact"/>
        <w:rPr>
          <w:sz w:val="20"/>
          <w:szCs w:val="20"/>
          <w:color w:val="auto"/>
        </w:rPr>
      </w:pPr>
    </w:p>
    <w:p>
      <w:pPr>
        <w:jc w:val="both"/>
        <w:ind w:right="1519"/>
        <w:spacing w:after="0" w:line="252" w:lineRule="auto"/>
        <w:rPr>
          <w:sz w:val="20"/>
          <w:szCs w:val="20"/>
          <w:color w:val="auto"/>
        </w:rPr>
      </w:pPr>
      <w:r>
        <w:rPr>
          <w:rFonts w:ascii="Arial" w:cs="Arial" w:eastAsia="Arial" w:hAnsi="Arial"/>
          <w:sz w:val="17"/>
          <w:szCs w:val="17"/>
          <w:color w:val="auto"/>
        </w:rPr>
        <w:t>After being initially recorded at fair value, MSRs backed by mortgage loans are accounted for using the amortization method. Amortization expense is included in other expenses on the consolidated statements of earnings. MSR amortization is determined by amortizing the MSR balance in proportion to, and over the period of the estimated future net servicing income of the underlying financial assets.</w:t>
      </w:r>
    </w:p>
    <w:p>
      <w:pPr>
        <w:spacing w:after="0" w:line="173" w:lineRule="exact"/>
        <w:rPr>
          <w:sz w:val="20"/>
          <w:szCs w:val="20"/>
          <w:color w:val="auto"/>
        </w:rPr>
      </w:pPr>
    </w:p>
    <w:p>
      <w:pPr>
        <w:jc w:val="both"/>
        <w:ind w:right="1519"/>
        <w:spacing w:after="0" w:line="252" w:lineRule="auto"/>
        <w:rPr>
          <w:sz w:val="20"/>
          <w:szCs w:val="20"/>
          <w:color w:val="auto"/>
        </w:rPr>
      </w:pPr>
      <w:r>
        <w:rPr>
          <w:rFonts w:ascii="Arial" w:cs="Arial" w:eastAsia="Arial" w:hAnsi="Arial"/>
          <w:sz w:val="17"/>
          <w:szCs w:val="17"/>
          <w:color w:val="auto"/>
        </w:rPr>
        <w:t>The Company periodically assesses MSRs for impairment. Impairment occurs when the current fair value of the MSR falls below the asset’s carrying value (carrying value is the amortized cost reduced by any related valuation allowance). If MSRs are impaired, the impairment is recognized in current-period earnings and the carrying value of the MSRs is adjusted through a valuation allowance.</w:t>
      </w:r>
    </w:p>
    <w:p>
      <w:pPr>
        <w:spacing w:after="0" w:line="173" w:lineRule="exact"/>
        <w:rPr>
          <w:sz w:val="20"/>
          <w:szCs w:val="20"/>
          <w:color w:val="auto"/>
        </w:rPr>
      </w:pPr>
    </w:p>
    <w:p>
      <w:pPr>
        <w:jc w:val="both"/>
        <w:ind w:right="1519"/>
        <w:spacing w:after="0" w:line="252" w:lineRule="auto"/>
        <w:rPr>
          <w:sz w:val="20"/>
          <w:szCs w:val="20"/>
          <w:color w:val="auto"/>
        </w:rPr>
      </w:pPr>
      <w:r>
        <w:rPr>
          <w:rFonts w:ascii="Arial" w:cs="Arial" w:eastAsia="Arial" w:hAnsi="Arial"/>
          <w:sz w:val="17"/>
          <w:szCs w:val="17"/>
          <w:color w:val="auto"/>
        </w:rPr>
        <w:t>Management periodically reviews the various loan strata to determine whether the value of the MSRs in a given stratum is impaired and likely to recover. When management deems recovery of the value to be unlikely in the foreseeable future, a write-down of the cost of the MSRs for that stratum to its estimated recoverable value is charged to the valuation allowance.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MSR activity for the periods presented.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840" w:type="dxa"/>
            <w:vAlign w:val="bottom"/>
            <w:gridSpan w:val="2"/>
          </w:tcPr>
          <w:p>
            <w:pPr>
              <w:ind w:left="340"/>
              <w:spacing w:after="0"/>
              <w:rPr>
                <w:sz w:val="20"/>
                <w:szCs w:val="20"/>
                <w:color w:val="auto"/>
              </w:rPr>
            </w:pPr>
            <w:r>
              <w:rPr>
                <w:rFonts w:ascii="Arial" w:cs="Arial" w:eastAsia="Arial" w:hAnsi="Arial"/>
                <w:sz w:val="17"/>
                <w:szCs w:val="17"/>
                <w:color w:val="auto"/>
              </w:rPr>
              <w:t>As of March 31</w:t>
            </w:r>
          </w:p>
        </w:tc>
        <w:tc>
          <w:tcPr>
            <w:tcW w:w="1640" w:type="dxa"/>
            <w:vAlign w:val="bottom"/>
            <w:gridSpan w:val="2"/>
          </w:tcPr>
          <w:p>
            <w:pPr>
              <w:jc w:val="right"/>
              <w:ind w:right="114"/>
              <w:spacing w:after="0"/>
              <w:rPr>
                <w:sz w:val="20"/>
                <w:szCs w:val="20"/>
                <w:color w:val="auto"/>
              </w:rPr>
            </w:pPr>
            <w:r>
              <w:rPr>
                <w:rFonts w:ascii="Arial" w:cs="Arial" w:eastAsia="Arial" w:hAnsi="Arial"/>
                <w:sz w:val="17"/>
                <w:szCs w:val="17"/>
                <w:color w:val="auto"/>
                <w:w w:val="97"/>
              </w:rPr>
              <w:t>As of December 31</w:t>
            </w:r>
          </w:p>
        </w:tc>
      </w:tr>
      <w:tr>
        <w:trPr>
          <w:trHeight w:val="221"/>
        </w:trPr>
        <w:tc>
          <w:tcPr>
            <w:tcW w:w="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32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14"/>
              <w:spacing w:after="0"/>
              <w:rPr>
                <w:sz w:val="20"/>
                <w:szCs w:val="20"/>
                <w:color w:val="auto"/>
              </w:rPr>
            </w:pPr>
            <w:r>
              <w:rPr>
                <w:rFonts w:ascii="Arial" w:cs="Arial" w:eastAsia="Arial" w:hAnsi="Arial"/>
                <w:sz w:val="17"/>
                <w:szCs w:val="17"/>
                <w:color w:val="auto"/>
              </w:rPr>
              <w:t>2020</w:t>
            </w: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14"/>
              <w:spacing w:after="0"/>
              <w:rPr>
                <w:sz w:val="20"/>
                <w:szCs w:val="20"/>
                <w:color w:val="auto"/>
              </w:rPr>
            </w:pPr>
            <w:r>
              <w:rPr>
                <w:rFonts w:ascii="Arial" w:cs="Arial" w:eastAsia="Arial" w:hAnsi="Arial"/>
                <w:sz w:val="17"/>
                <w:szCs w:val="17"/>
                <w:color w:val="auto"/>
              </w:rPr>
              <w:t>2019</w:t>
            </w:r>
          </w:p>
        </w:tc>
      </w:tr>
      <w:tr>
        <w:trPr>
          <w:trHeight w:val="218"/>
        </w:trPr>
        <w:tc>
          <w:tcPr>
            <w:tcW w:w="43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Amortized cost:</w:t>
            </w:r>
          </w:p>
        </w:tc>
        <w:tc>
          <w:tcPr>
            <w:tcW w:w="6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4380" w:type="dxa"/>
            <w:vAlign w:val="bottom"/>
            <w:gridSpan w:val="3"/>
          </w:tcPr>
          <w:p>
            <w:pPr>
              <w:ind w:left="20"/>
              <w:spacing w:after="0"/>
              <w:rPr>
                <w:sz w:val="20"/>
                <w:szCs w:val="20"/>
                <w:color w:val="auto"/>
              </w:rPr>
            </w:pPr>
            <w:r>
              <w:rPr>
                <w:rFonts w:ascii="Arial" w:cs="Arial" w:eastAsia="Arial" w:hAnsi="Arial"/>
                <w:sz w:val="17"/>
                <w:szCs w:val="17"/>
                <w:color w:val="auto"/>
              </w:rPr>
              <w:t>Balance before valuation allowance at beginning of year</w:t>
            </w:r>
          </w:p>
        </w:tc>
        <w:tc>
          <w:tcPr>
            <w:tcW w:w="620" w:type="dxa"/>
            <w:vAlign w:val="bottom"/>
          </w:tcPr>
          <w:p>
            <w:pPr>
              <w:ind w:left="320"/>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4"/>
              <w:spacing w:after="0"/>
              <w:rPr>
                <w:sz w:val="20"/>
                <w:szCs w:val="20"/>
                <w:color w:val="auto"/>
              </w:rPr>
            </w:pPr>
            <w:r>
              <w:rPr>
                <w:rFonts w:ascii="Arial" w:cs="Arial" w:eastAsia="Arial" w:hAnsi="Arial"/>
                <w:sz w:val="17"/>
                <w:szCs w:val="17"/>
                <w:color w:val="auto"/>
              </w:rPr>
              <w:t>17,155,529</w:t>
            </w:r>
          </w:p>
        </w:tc>
        <w:tc>
          <w:tcPr>
            <w:tcW w:w="52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20,016,822</w:t>
            </w:r>
          </w:p>
        </w:tc>
      </w:tr>
      <w:tr>
        <w:trPr>
          <w:trHeight w:val="226"/>
        </w:trPr>
        <w:tc>
          <w:tcPr>
            <w:tcW w:w="43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MSR additions resulting from loan sales</w:t>
            </w:r>
          </w:p>
        </w:tc>
        <w:tc>
          <w:tcPr>
            <w:tcW w:w="6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1,677,178</w:t>
            </w: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4,194,502</w:t>
            </w:r>
          </w:p>
        </w:tc>
      </w:tr>
      <w:tr>
        <w:trPr>
          <w:trHeight w:val="230"/>
        </w:trPr>
        <w:tc>
          <w:tcPr>
            <w:tcW w:w="4380" w:type="dxa"/>
            <w:vAlign w:val="bottom"/>
            <w:gridSpan w:val="3"/>
          </w:tcPr>
          <w:p>
            <w:pPr>
              <w:ind w:left="20"/>
              <w:spacing w:after="0"/>
              <w:rPr>
                <w:sz w:val="20"/>
                <w:szCs w:val="20"/>
                <w:color w:val="auto"/>
              </w:rPr>
            </w:pPr>
            <w:r>
              <w:rPr>
                <w:rFonts w:ascii="Arial" w:cs="Arial" w:eastAsia="Arial" w:hAnsi="Arial"/>
                <w:sz w:val="17"/>
                <w:szCs w:val="17"/>
                <w:color w:val="auto"/>
              </w:rPr>
              <w:t>Amortization (1)</w:t>
            </w:r>
          </w:p>
        </w:tc>
        <w:tc>
          <w:tcPr>
            <w:tcW w:w="620" w:type="dxa"/>
            <w:vAlign w:val="bottom"/>
          </w:tcPr>
          <w:p>
            <w:pPr>
              <w:spacing w:after="0"/>
              <w:rPr>
                <w:sz w:val="19"/>
                <w:szCs w:val="19"/>
                <w:color w:val="auto"/>
              </w:rPr>
            </w:pPr>
          </w:p>
        </w:tc>
        <w:tc>
          <w:tcPr>
            <w:tcW w:w="1220" w:type="dxa"/>
            <w:vAlign w:val="bottom"/>
          </w:tcPr>
          <w:p>
            <w:pPr>
              <w:jc w:val="right"/>
              <w:ind w:right="14"/>
              <w:spacing w:after="0"/>
              <w:rPr>
                <w:sz w:val="20"/>
                <w:szCs w:val="20"/>
                <w:color w:val="auto"/>
              </w:rPr>
            </w:pPr>
            <w:r>
              <w:rPr>
                <w:rFonts w:ascii="Arial" w:cs="Arial" w:eastAsia="Arial" w:hAnsi="Arial"/>
                <w:sz w:val="17"/>
                <w:szCs w:val="17"/>
                <w:color w:val="auto"/>
              </w:rPr>
              <w:t>(2,055,576)</w:t>
            </w: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(7,055,795)</w:t>
            </w:r>
          </w:p>
        </w:tc>
      </w:tr>
      <w:tr>
        <w:trPr>
          <w:trHeight w:val="294"/>
        </w:trPr>
        <w:tc>
          <w:tcPr>
            <w:tcW w:w="43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Application of valuation allowance to write down MSRs</w:t>
            </w:r>
          </w:p>
        </w:tc>
        <w:tc>
          <w:tcPr>
            <w:tcW w:w="6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25"/>
        </w:trPr>
        <w:tc>
          <w:tcPr>
            <w:tcW w:w="20" w:type="dxa"/>
            <w:vAlign w:val="bottom"/>
            <w:shd w:val="clear" w:color="auto" w:fill="CCEEFF"/>
          </w:tcPr>
          <w:p>
            <w:pPr>
              <w:spacing w:after="0"/>
              <w:rPr>
                <w:sz w:val="19"/>
                <w:szCs w:val="19"/>
                <w:color w:val="auto"/>
              </w:rPr>
            </w:pPr>
          </w:p>
        </w:tc>
        <w:tc>
          <w:tcPr>
            <w:tcW w:w="436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with other than temporary impairment</w:t>
            </w:r>
          </w:p>
        </w:tc>
        <w:tc>
          <w:tcPr>
            <w:tcW w:w="6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1"/>
        </w:trPr>
        <w:tc>
          <w:tcPr>
            <w:tcW w:w="438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Balance before valuation allowance at end of period</w:t>
            </w:r>
          </w:p>
        </w:tc>
        <w:tc>
          <w:tcPr>
            <w:tcW w:w="620" w:type="dxa"/>
            <w:vAlign w:val="bottom"/>
            <w:tcBorders>
              <w:bottom w:val="single" w:sz="8" w:color="auto"/>
            </w:tcBorders>
          </w:tcPr>
          <w:p>
            <w:pPr>
              <w:ind w:left="320"/>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16,777,131</w:t>
            </w:r>
          </w:p>
        </w:tc>
        <w:tc>
          <w:tcPr>
            <w:tcW w:w="5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17,155,529</w:t>
            </w:r>
          </w:p>
        </w:tc>
      </w:tr>
      <w:tr>
        <w:trPr>
          <w:trHeight w:val="205"/>
        </w:trPr>
        <w:tc>
          <w:tcPr>
            <w:tcW w:w="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0"/>
        </w:trPr>
        <w:tc>
          <w:tcPr>
            <w:tcW w:w="4380" w:type="dxa"/>
            <w:vAlign w:val="bottom"/>
            <w:gridSpan w:val="3"/>
          </w:tcPr>
          <w:p>
            <w:pPr>
              <w:ind w:left="20"/>
              <w:spacing w:after="0"/>
              <w:rPr>
                <w:sz w:val="20"/>
                <w:szCs w:val="20"/>
                <w:color w:val="auto"/>
              </w:rPr>
            </w:pPr>
            <w:r>
              <w:rPr>
                <w:rFonts w:ascii="Arial" w:cs="Arial" w:eastAsia="Arial" w:hAnsi="Arial"/>
                <w:sz w:val="17"/>
                <w:szCs w:val="17"/>
                <w:color w:val="auto"/>
              </w:rPr>
              <w:t>Valuation allowance for impairment of MSRs:</w:t>
            </w:r>
          </w:p>
        </w:tc>
        <w:tc>
          <w:tcPr>
            <w:tcW w:w="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8"/>
        </w:trPr>
        <w:tc>
          <w:tcPr>
            <w:tcW w:w="43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Balance at beginning of year</w:t>
            </w:r>
          </w:p>
        </w:tc>
        <w:tc>
          <w:tcPr>
            <w:tcW w:w="6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4380" w:type="dxa"/>
            <w:vAlign w:val="bottom"/>
            <w:gridSpan w:val="3"/>
          </w:tcPr>
          <w:p>
            <w:pPr>
              <w:ind w:left="20"/>
              <w:spacing w:after="0"/>
              <w:rPr>
                <w:sz w:val="20"/>
                <w:szCs w:val="20"/>
                <w:color w:val="auto"/>
              </w:rPr>
            </w:pPr>
            <w:r>
              <w:rPr>
                <w:rFonts w:ascii="Arial" w:cs="Arial" w:eastAsia="Arial" w:hAnsi="Arial"/>
                <w:sz w:val="17"/>
                <w:szCs w:val="17"/>
                <w:color w:val="auto"/>
              </w:rPr>
              <w:t>Additions</w:t>
            </w:r>
          </w:p>
        </w:tc>
        <w:tc>
          <w:tcPr>
            <w:tcW w:w="620" w:type="dxa"/>
            <w:vAlign w:val="bottom"/>
          </w:tcPr>
          <w:p>
            <w:pPr>
              <w:spacing w:after="0"/>
              <w:rPr>
                <w:sz w:val="19"/>
                <w:szCs w:val="19"/>
                <w:color w:val="auto"/>
              </w:rPr>
            </w:pPr>
          </w:p>
        </w:tc>
        <w:tc>
          <w:tcPr>
            <w:tcW w:w="1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94"/>
        </w:trPr>
        <w:tc>
          <w:tcPr>
            <w:tcW w:w="43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Application of valuation allowance to write down MSRs</w:t>
            </w:r>
          </w:p>
        </w:tc>
        <w:tc>
          <w:tcPr>
            <w:tcW w:w="6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25"/>
        </w:trPr>
        <w:tc>
          <w:tcPr>
            <w:tcW w:w="20" w:type="dxa"/>
            <w:vAlign w:val="bottom"/>
            <w:shd w:val="clear" w:color="auto" w:fill="CCEEFF"/>
          </w:tcPr>
          <w:p>
            <w:pPr>
              <w:spacing w:after="0"/>
              <w:rPr>
                <w:sz w:val="19"/>
                <w:szCs w:val="19"/>
                <w:color w:val="auto"/>
              </w:rPr>
            </w:pPr>
          </w:p>
        </w:tc>
        <w:tc>
          <w:tcPr>
            <w:tcW w:w="436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with other than temporary impairment</w:t>
            </w:r>
          </w:p>
        </w:tc>
        <w:tc>
          <w:tcPr>
            <w:tcW w:w="6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1"/>
        </w:trPr>
        <w:tc>
          <w:tcPr>
            <w:tcW w:w="438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Balance at end of period</w:t>
            </w:r>
          </w:p>
        </w:tc>
        <w:tc>
          <w:tcPr>
            <w:tcW w:w="620" w:type="dxa"/>
            <w:vAlign w:val="bottom"/>
            <w:tcBorders>
              <w:bottom w:val="single" w:sz="8" w:color="auto"/>
            </w:tcBorders>
          </w:tcPr>
          <w:p>
            <w:pPr>
              <w:ind w:left="440"/>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05"/>
        </w:trPr>
        <w:tc>
          <w:tcPr>
            <w:tcW w:w="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74"/>
        </w:trPr>
        <w:tc>
          <w:tcPr>
            <w:tcW w:w="438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Mortgage servicing rights, net</w:t>
            </w:r>
          </w:p>
        </w:tc>
        <w:tc>
          <w:tcPr>
            <w:tcW w:w="620" w:type="dxa"/>
            <w:vAlign w:val="bottom"/>
            <w:tcBorders>
              <w:bottom w:val="single" w:sz="8" w:color="auto"/>
            </w:tcBorders>
          </w:tcPr>
          <w:p>
            <w:pPr>
              <w:ind w:left="320"/>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16,777,131</w:t>
            </w:r>
          </w:p>
        </w:tc>
        <w:tc>
          <w:tcPr>
            <w:tcW w:w="5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17,155,529</w:t>
            </w:r>
          </w:p>
        </w:tc>
      </w:tr>
      <w:tr>
        <w:trPr>
          <w:trHeight w:val="186"/>
        </w:trPr>
        <w:tc>
          <w:tcPr>
            <w:tcW w:w="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2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74"/>
        </w:trPr>
        <w:tc>
          <w:tcPr>
            <w:tcW w:w="438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Estimated fair value of MSRs at end of period</w:t>
            </w:r>
          </w:p>
        </w:tc>
        <w:tc>
          <w:tcPr>
            <w:tcW w:w="620" w:type="dxa"/>
            <w:vAlign w:val="bottom"/>
            <w:tcBorders>
              <w:bottom w:val="single" w:sz="8" w:color="auto"/>
            </w:tcBorders>
          </w:tcPr>
          <w:p>
            <w:pPr>
              <w:ind w:left="320"/>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16,976,241</w:t>
            </w:r>
          </w:p>
        </w:tc>
        <w:tc>
          <w:tcPr>
            <w:tcW w:w="5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22,784,571</w:t>
            </w:r>
          </w:p>
        </w:tc>
      </w:tr>
      <w:tr>
        <w:trPr>
          <w:trHeight w:val="177"/>
        </w:trPr>
        <w:tc>
          <w:tcPr>
            <w:tcW w:w="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3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r>
    </w:tbl>
    <w:p>
      <w:pPr>
        <w:spacing w:after="0" w:line="9" w:lineRule="exact"/>
        <w:rPr>
          <w:sz w:val="20"/>
          <w:szCs w:val="20"/>
          <w:color w:val="auto"/>
        </w:rPr>
      </w:pPr>
    </w:p>
    <w:p>
      <w:pPr>
        <w:ind w:left="3840" w:right="3579" w:hanging="3823"/>
        <w:spacing w:after="0" w:line="542" w:lineRule="auto"/>
        <w:tabs>
          <w:tab w:leader="none" w:pos="251"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Included in other expenses on the condensed consolidated statements of earnings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498983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989830" cy="29845"/>
                    </a:xfrm>
                    <a:prstGeom prst="rect">
                      <a:avLst/>
                    </a:prstGeom>
                    <a:noFill/>
                  </pic:spPr>
                </pic:pic>
              </a:graphicData>
            </a:graphic>
          </wp:anchor>
        </w:drawing>
      </w:r>
    </w:p>
    <w:p>
      <w:pPr>
        <w:sectPr>
          <w:pgSz w:w="11900" w:h="16838" w:orient="portrait"/>
          <w:cols w:equalWidth="0" w:num="1">
            <w:col w:w="9379"/>
          </w:cols>
          <w:pgMar w:left="1080" w:top="124" w:right="1440" w:bottom="1440" w:gutter="0" w:footer="0" w:header="0"/>
        </w:sectPr>
      </w:pPr>
    </w:p>
    <w:bookmarkStart w:id="46" w:name="page47"/>
    <w:bookmarkEnd w:id="46"/>
    <w:p>
      <w:pPr>
        <w:jc w:val="center"/>
        <w:ind w:right="1519"/>
        <w:spacing w:after="0" w:line="251" w:lineRule="auto"/>
        <w:rPr>
          <w:sz w:val="20"/>
          <w:szCs w:val="20"/>
          <w:color w:val="auto"/>
        </w:rPr>
      </w:pPr>
      <w:r>
        <w:rPr>
          <w:rFonts w:ascii="Arial" w:cs="Arial" w:eastAsia="Arial" w:hAnsi="Arial"/>
          <w:sz w:val="17"/>
          <w:szCs w:val="17"/>
          <w:color w:val="auto"/>
        </w:rPr>
        <w:t>SECURITY NATIONAL FINANCIAL CORPORATION AND SUBSIDIARIES Notes to Condensed Consolidated Financial Statements March 31, 2020 (Unaudited)</w:t>
      </w:r>
    </w:p>
    <w:p>
      <w:pPr>
        <w:spacing w:after="0" w:line="2" w:lineRule="exact"/>
        <w:rPr>
          <w:sz w:val="20"/>
          <w:szCs w:val="20"/>
          <w:color w:val="auto"/>
        </w:rPr>
      </w:pPr>
    </w:p>
    <w:p>
      <w:pPr>
        <w:ind w:left="360" w:hanging="355"/>
        <w:spacing w:after="0"/>
        <w:tabs>
          <w:tab w:leader="none" w:pos="360"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Mortgage Servicing Rights</w:t>
      </w:r>
      <w:r>
        <w:rPr>
          <w:rFonts w:ascii="Arial" w:cs="Arial" w:eastAsia="Arial" w:hAnsi="Arial"/>
          <w:sz w:val="17"/>
          <w:szCs w:val="17"/>
          <w:color w:val="auto"/>
        </w:rPr>
        <w:t xml:space="preserve"> (Continued)</w:t>
      </w:r>
    </w:p>
    <w:p>
      <w:pPr>
        <w:spacing w:after="0" w:line="219" w:lineRule="exact"/>
        <w:rPr>
          <w:sz w:val="20"/>
          <w:szCs w:val="20"/>
          <w:color w:val="auto"/>
        </w:rPr>
      </w:pPr>
    </w:p>
    <w:p>
      <w:pPr>
        <w:ind w:right="1799"/>
        <w:spacing w:after="0" w:line="270" w:lineRule="auto"/>
        <w:rPr>
          <w:sz w:val="20"/>
          <w:szCs w:val="20"/>
          <w:color w:val="auto"/>
        </w:rPr>
      </w:pPr>
      <w:r>
        <w:rPr>
          <w:rFonts w:ascii="Arial" w:cs="Arial" w:eastAsia="Arial" w:hAnsi="Arial"/>
          <w:sz w:val="17"/>
          <w:szCs w:val="17"/>
          <w:color w:val="auto"/>
        </w:rPr>
        <w:t>The following table summarizes the Company’s estimate of future amortization of its existing MSRs carried at amortized cost: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200" w:type="dxa"/>
            <w:vAlign w:val="bottom"/>
          </w:tcPr>
          <w:p>
            <w:pPr>
              <w:spacing w:after="0"/>
              <w:rPr>
                <w:sz w:val="17"/>
                <w:szCs w:val="17"/>
                <w:color w:val="auto"/>
              </w:rPr>
            </w:pPr>
          </w:p>
        </w:tc>
        <w:tc>
          <w:tcPr>
            <w:tcW w:w="1640" w:type="dxa"/>
            <w:vAlign w:val="bottom"/>
            <w:gridSpan w:val="2"/>
          </w:tcPr>
          <w:p>
            <w:pPr>
              <w:jc w:val="right"/>
              <w:ind w:right="202"/>
              <w:spacing w:after="0"/>
              <w:rPr>
                <w:sz w:val="20"/>
                <w:szCs w:val="20"/>
                <w:color w:val="auto"/>
              </w:rPr>
            </w:pPr>
            <w:r>
              <w:rPr>
                <w:rFonts w:ascii="Arial" w:cs="Arial" w:eastAsia="Arial" w:hAnsi="Arial"/>
                <w:sz w:val="17"/>
                <w:szCs w:val="17"/>
                <w:color w:val="auto"/>
              </w:rPr>
              <w:t>Estimated MSR</w:t>
            </w:r>
          </w:p>
        </w:tc>
      </w:tr>
      <w:tr>
        <w:trPr>
          <w:trHeight w:val="221"/>
        </w:trPr>
        <w:tc>
          <w:tcPr>
            <w:tcW w:w="12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gridSpan w:val="2"/>
          </w:tcPr>
          <w:p>
            <w:pPr>
              <w:ind w:left="360"/>
              <w:spacing w:after="0"/>
              <w:rPr>
                <w:sz w:val="20"/>
                <w:szCs w:val="20"/>
                <w:color w:val="auto"/>
              </w:rPr>
            </w:pPr>
            <w:r>
              <w:rPr>
                <w:rFonts w:ascii="Arial" w:cs="Arial" w:eastAsia="Arial" w:hAnsi="Arial"/>
                <w:sz w:val="17"/>
                <w:szCs w:val="17"/>
                <w:color w:val="auto"/>
              </w:rPr>
              <w:t>Amortization</w:t>
            </w:r>
          </w:p>
        </w:tc>
      </w:tr>
      <w:tr>
        <w:trPr>
          <w:trHeight w:val="206"/>
        </w:trPr>
        <w:tc>
          <w:tcPr>
            <w:tcW w:w="1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2020</w:t>
            </w:r>
          </w:p>
        </w:tc>
        <w:tc>
          <w:tcPr>
            <w:tcW w:w="6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4,027,387</w:t>
            </w:r>
          </w:p>
        </w:tc>
      </w:tr>
      <w:tr>
        <w:trPr>
          <w:trHeight w:val="219"/>
        </w:trPr>
        <w:tc>
          <w:tcPr>
            <w:tcW w:w="1200" w:type="dxa"/>
            <w:vAlign w:val="bottom"/>
          </w:tcPr>
          <w:p>
            <w:pPr>
              <w:ind w:left="20"/>
              <w:spacing w:after="0"/>
              <w:rPr>
                <w:sz w:val="20"/>
                <w:szCs w:val="20"/>
                <w:color w:val="auto"/>
              </w:rPr>
            </w:pPr>
            <w:r>
              <w:rPr>
                <w:rFonts w:ascii="Arial" w:cs="Arial" w:eastAsia="Arial" w:hAnsi="Arial"/>
                <w:sz w:val="17"/>
                <w:szCs w:val="17"/>
                <w:color w:val="auto"/>
              </w:rPr>
              <w:t>2021</w:t>
            </w:r>
          </w:p>
        </w:tc>
        <w:tc>
          <w:tcPr>
            <w:tcW w:w="6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2,899,758</w:t>
            </w:r>
          </w:p>
        </w:tc>
      </w:tr>
      <w:tr>
        <w:trPr>
          <w:trHeight w:val="225"/>
        </w:trPr>
        <w:tc>
          <w:tcPr>
            <w:tcW w:w="1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6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2,191,385</w:t>
            </w:r>
          </w:p>
        </w:tc>
      </w:tr>
      <w:tr>
        <w:trPr>
          <w:trHeight w:val="219"/>
        </w:trPr>
        <w:tc>
          <w:tcPr>
            <w:tcW w:w="1200" w:type="dxa"/>
            <w:vAlign w:val="bottom"/>
          </w:tcPr>
          <w:p>
            <w:pPr>
              <w:ind w:left="20"/>
              <w:spacing w:after="0"/>
              <w:rPr>
                <w:sz w:val="20"/>
                <w:szCs w:val="20"/>
                <w:color w:val="auto"/>
              </w:rPr>
            </w:pPr>
            <w:r>
              <w:rPr>
                <w:rFonts w:ascii="Arial" w:cs="Arial" w:eastAsia="Arial" w:hAnsi="Arial"/>
                <w:sz w:val="17"/>
                <w:szCs w:val="17"/>
                <w:color w:val="auto"/>
              </w:rPr>
              <w:t>2023</w:t>
            </w:r>
          </w:p>
        </w:tc>
        <w:tc>
          <w:tcPr>
            <w:tcW w:w="6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1,678,517</w:t>
            </w:r>
          </w:p>
        </w:tc>
      </w:tr>
      <w:tr>
        <w:trPr>
          <w:trHeight w:val="225"/>
        </w:trPr>
        <w:tc>
          <w:tcPr>
            <w:tcW w:w="1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6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1,311,478</w:t>
            </w:r>
          </w:p>
        </w:tc>
      </w:tr>
      <w:tr>
        <w:trPr>
          <w:trHeight w:val="219"/>
        </w:trPr>
        <w:tc>
          <w:tcPr>
            <w:tcW w:w="1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6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4,668,606</w:t>
            </w:r>
          </w:p>
        </w:tc>
      </w:tr>
      <w:tr>
        <w:trPr>
          <w:trHeight w:val="205"/>
        </w:trPr>
        <w:tc>
          <w:tcPr>
            <w:tcW w:w="1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68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16,777,131</w:t>
            </w:r>
          </w:p>
        </w:tc>
      </w:tr>
      <w:tr>
        <w:trPr>
          <w:trHeight w:val="20"/>
        </w:trPr>
        <w:tc>
          <w:tcPr>
            <w:tcW w:w="1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519"/>
        <w:spacing w:after="0" w:line="270" w:lineRule="auto"/>
        <w:rPr>
          <w:sz w:val="20"/>
          <w:szCs w:val="20"/>
          <w:color w:val="auto"/>
        </w:rPr>
      </w:pPr>
      <w:r>
        <w:rPr>
          <w:rFonts w:ascii="Arial" w:cs="Arial" w:eastAsia="Arial" w:hAnsi="Arial"/>
          <w:sz w:val="17"/>
          <w:szCs w:val="17"/>
          <w:color w:val="auto"/>
        </w:rPr>
        <w:t>The Company collected the following contractual servicing fee income and late fee income as reported in other revenues on the condensed consolidated statement of earnings: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0" w:type="dxa"/>
            <w:vAlign w:val="bottom"/>
            <w:gridSpan w:val="5"/>
          </w:tcPr>
          <w:p>
            <w:pPr>
              <w:jc w:val="center"/>
              <w:ind w:right="362"/>
              <w:spacing w:after="0"/>
              <w:rPr>
                <w:sz w:val="20"/>
                <w:szCs w:val="20"/>
                <w:color w:val="auto"/>
              </w:rPr>
            </w:pPr>
            <w:r>
              <w:rPr>
                <w:rFonts w:ascii="Arial" w:cs="Arial" w:eastAsia="Arial" w:hAnsi="Arial"/>
                <w:sz w:val="16"/>
                <w:szCs w:val="16"/>
                <w:color w:val="auto"/>
                <w:w w:val="88"/>
              </w:rPr>
              <w:t>Three Months Ended</w:t>
            </w:r>
          </w:p>
        </w:tc>
      </w:tr>
      <w:tr>
        <w:trPr>
          <w:trHeight w:val="205"/>
        </w:trPr>
        <w:tc>
          <w:tcPr>
            <w:tcW w:w="20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center"/>
              <w:ind w:left="462"/>
              <w:spacing w:after="0"/>
              <w:rPr>
                <w:sz w:val="20"/>
                <w:szCs w:val="20"/>
                <w:color w:val="auto"/>
              </w:rPr>
            </w:pPr>
            <w:r>
              <w:rPr>
                <w:rFonts w:ascii="Arial" w:cs="Arial" w:eastAsia="Arial" w:hAnsi="Arial"/>
                <w:sz w:val="16"/>
                <w:szCs w:val="16"/>
                <w:color w:val="auto"/>
                <w:w w:val="89"/>
              </w:rPr>
              <w:t>March 31</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203"/>
        </w:trPr>
        <w:tc>
          <w:tcPr>
            <w:tcW w:w="20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color w:val="auto"/>
                <w:w w:val="95"/>
              </w:rPr>
              <w:t>2020</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color w:val="auto"/>
                <w:w w:val="89"/>
              </w:rPr>
              <w:t>2019</w:t>
            </w:r>
          </w:p>
        </w:tc>
      </w:tr>
      <w:tr>
        <w:trPr>
          <w:trHeight w:val="208"/>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Contractual servicing fees</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1,784,944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1,858,599</w:t>
            </w:r>
          </w:p>
        </w:tc>
      </w:tr>
      <w:tr>
        <w:trPr>
          <w:trHeight w:val="205"/>
        </w:trPr>
        <w:tc>
          <w:tcPr>
            <w:tcW w:w="2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Late fees</w:t>
            </w: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97,808</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87,291</w:t>
            </w:r>
          </w:p>
        </w:tc>
      </w:tr>
      <w:tr>
        <w:trPr>
          <w:trHeight w:val="208"/>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1,882,752</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1,945,890</w:t>
            </w:r>
          </w:p>
        </w:tc>
      </w:tr>
      <w:tr>
        <w:trPr>
          <w:trHeight w:val="20"/>
        </w:trPr>
        <w:tc>
          <w:tcPr>
            <w:tcW w:w="2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519"/>
        <w:spacing w:after="0" w:line="270" w:lineRule="auto"/>
        <w:rPr>
          <w:sz w:val="20"/>
          <w:szCs w:val="20"/>
          <w:color w:val="auto"/>
        </w:rPr>
      </w:pPr>
      <w:r>
        <w:rPr>
          <w:rFonts w:ascii="Arial" w:cs="Arial" w:eastAsia="Arial" w:hAnsi="Arial"/>
          <w:sz w:val="17"/>
          <w:szCs w:val="17"/>
          <w:color w:val="auto"/>
        </w:rPr>
        <w:t>The following is a summary of the unpaid principal balances (“UPB”) of the servicing portfolio for the periods presented: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260" w:type="dxa"/>
            <w:vAlign w:val="bottom"/>
          </w:tcPr>
          <w:p>
            <w:pPr>
              <w:spacing w:after="0"/>
              <w:rPr>
                <w:sz w:val="17"/>
                <w:szCs w:val="17"/>
                <w:color w:val="auto"/>
              </w:rPr>
            </w:pPr>
          </w:p>
        </w:tc>
        <w:tc>
          <w:tcPr>
            <w:tcW w:w="1880" w:type="dxa"/>
            <w:vAlign w:val="bottom"/>
            <w:gridSpan w:val="3"/>
          </w:tcPr>
          <w:p>
            <w:pPr>
              <w:ind w:left="140"/>
              <w:spacing w:after="0"/>
              <w:rPr>
                <w:sz w:val="20"/>
                <w:szCs w:val="20"/>
                <w:color w:val="auto"/>
              </w:rPr>
            </w:pPr>
            <w:r>
              <w:rPr>
                <w:rFonts w:ascii="Arial" w:cs="Arial" w:eastAsia="Arial" w:hAnsi="Arial"/>
                <w:sz w:val="16"/>
                <w:szCs w:val="16"/>
                <w:color w:val="auto"/>
              </w:rPr>
              <w:t>As of March 31 2020</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w w:val="89"/>
              </w:rPr>
              <w:t>As of December 31 2019</w:t>
            </w:r>
          </w:p>
        </w:tc>
      </w:tr>
      <w:tr>
        <w:trPr>
          <w:trHeight w:val="208"/>
        </w:trPr>
        <w:tc>
          <w:tcPr>
            <w:tcW w:w="1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Servicing UPB</w:t>
            </w:r>
          </w:p>
        </w:tc>
        <w:tc>
          <w:tcPr>
            <w:tcW w:w="58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2,820,985,128</w:t>
            </w: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2,804,139,415</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key assumptions were used in determining MSR value: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40" w:type="dxa"/>
            <w:vAlign w:val="bottom"/>
            <w:gridSpan w:val="3"/>
          </w:tcPr>
          <w:p>
            <w:pPr>
              <w:jc w:val="center"/>
              <w:spacing w:after="0"/>
              <w:rPr>
                <w:sz w:val="20"/>
                <w:szCs w:val="20"/>
                <w:color w:val="auto"/>
              </w:rPr>
            </w:pPr>
            <w:r>
              <w:rPr>
                <w:rFonts w:ascii="Arial" w:cs="Arial" w:eastAsia="Arial" w:hAnsi="Arial"/>
                <w:sz w:val="16"/>
                <w:szCs w:val="16"/>
                <w:color w:val="auto"/>
                <w:w w:val="85"/>
              </w:rPr>
              <w:t>Prepayment</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Arial" w:cs="Arial" w:eastAsia="Arial" w:hAnsi="Arial"/>
                <w:sz w:val="16"/>
                <w:szCs w:val="16"/>
                <w:color w:val="auto"/>
                <w:w w:val="87"/>
              </w:rPr>
              <w:t>Average</w:t>
            </w:r>
          </w:p>
        </w:tc>
        <w:tc>
          <w:tcPr>
            <w:tcW w:w="120" w:type="dxa"/>
            <w:vAlign w:val="bottom"/>
          </w:tcPr>
          <w:p>
            <w:pPr>
              <w:spacing w:after="0"/>
              <w:rPr>
                <w:sz w:val="16"/>
                <w:szCs w:val="16"/>
                <w:color w:val="auto"/>
              </w:rPr>
            </w:pPr>
          </w:p>
        </w:tc>
        <w:tc>
          <w:tcPr>
            <w:tcW w:w="1160" w:type="dxa"/>
            <w:vAlign w:val="bottom"/>
            <w:gridSpan w:val="5"/>
          </w:tcPr>
          <w:p>
            <w:pPr>
              <w:jc w:val="center"/>
              <w:ind w:left="82"/>
              <w:spacing w:after="0"/>
              <w:rPr>
                <w:sz w:val="20"/>
                <w:szCs w:val="20"/>
                <w:color w:val="auto"/>
              </w:rPr>
            </w:pPr>
            <w:r>
              <w:rPr>
                <w:rFonts w:ascii="Arial" w:cs="Arial" w:eastAsia="Arial" w:hAnsi="Arial"/>
                <w:sz w:val="16"/>
                <w:szCs w:val="16"/>
                <w:color w:val="auto"/>
                <w:w w:val="89"/>
              </w:rPr>
              <w:t>Discount</w:t>
            </w:r>
          </w:p>
        </w:tc>
      </w:tr>
      <w:tr>
        <w:trPr>
          <w:trHeight w:val="20"/>
        </w:trPr>
        <w:tc>
          <w:tcPr>
            <w:tcW w:w="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0"/>
        </w:trPr>
        <w:tc>
          <w:tcPr>
            <w:tcW w:w="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center"/>
              <w:ind w:right="160"/>
              <w:spacing w:after="0" w:line="167" w:lineRule="exact"/>
              <w:rPr>
                <w:sz w:val="20"/>
                <w:szCs w:val="20"/>
                <w:color w:val="auto"/>
              </w:rPr>
            </w:pPr>
            <w:r>
              <w:rPr>
                <w:rFonts w:ascii="Arial" w:cs="Arial" w:eastAsia="Arial" w:hAnsi="Arial"/>
                <w:sz w:val="16"/>
                <w:szCs w:val="16"/>
                <w:color w:val="auto"/>
                <w:w w:val="81"/>
              </w:rPr>
              <w:t>Speeds</w:t>
            </w:r>
          </w:p>
        </w:tc>
        <w:tc>
          <w:tcPr>
            <w:tcW w:w="440" w:type="dxa"/>
            <w:vAlign w:val="bottom"/>
          </w:tcPr>
          <w:p>
            <w:pPr>
              <w:spacing w:after="0"/>
              <w:rPr>
                <w:sz w:val="14"/>
                <w:szCs w:val="14"/>
                <w:color w:val="auto"/>
              </w:rPr>
            </w:pPr>
          </w:p>
        </w:tc>
        <w:tc>
          <w:tcPr>
            <w:tcW w:w="640" w:type="dxa"/>
            <w:vAlign w:val="bottom"/>
            <w:gridSpan w:val="2"/>
          </w:tcPr>
          <w:p>
            <w:pPr>
              <w:spacing w:after="0" w:line="167" w:lineRule="exact"/>
              <w:rPr>
                <w:sz w:val="20"/>
                <w:szCs w:val="20"/>
                <w:color w:val="auto"/>
              </w:rPr>
            </w:pPr>
            <w:r>
              <w:rPr>
                <w:rFonts w:ascii="Arial" w:cs="Arial" w:eastAsia="Arial" w:hAnsi="Arial"/>
                <w:sz w:val="16"/>
                <w:szCs w:val="16"/>
                <w:color w:val="auto"/>
                <w:w w:val="74"/>
              </w:rPr>
              <w:t>Life (Years)</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gridSpan w:val="4"/>
          </w:tcPr>
          <w:p>
            <w:pPr>
              <w:jc w:val="center"/>
              <w:ind w:right="220"/>
              <w:spacing w:after="0" w:line="167" w:lineRule="exact"/>
              <w:rPr>
                <w:sz w:val="20"/>
                <w:szCs w:val="20"/>
                <w:color w:val="auto"/>
              </w:rPr>
            </w:pPr>
            <w:r>
              <w:rPr>
                <w:rFonts w:ascii="Arial" w:cs="Arial" w:eastAsia="Arial" w:hAnsi="Arial"/>
                <w:sz w:val="16"/>
                <w:szCs w:val="16"/>
                <w:color w:val="auto"/>
                <w:w w:val="82"/>
              </w:rPr>
              <w:t>Rate</w:t>
            </w:r>
          </w:p>
        </w:tc>
      </w:tr>
      <w:tr>
        <w:trPr>
          <w:trHeight w:val="210"/>
        </w:trPr>
        <w:tc>
          <w:tcPr>
            <w:tcW w:w="68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March 31,</w:t>
            </w:r>
          </w:p>
        </w:tc>
        <w:tc>
          <w:tcPr>
            <w:tcW w:w="1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1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4"/>
              </w:rPr>
              <w:t>21.20</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center"/>
              <w:ind w:left="42"/>
              <w:spacing w:after="0"/>
              <w:rPr>
                <w:sz w:val="20"/>
                <w:szCs w:val="20"/>
                <w:color w:val="auto"/>
              </w:rPr>
            </w:pPr>
            <w:r>
              <w:rPr>
                <w:rFonts w:ascii="Arial" w:cs="Arial" w:eastAsia="Arial" w:hAnsi="Arial"/>
                <w:sz w:val="16"/>
                <w:szCs w:val="16"/>
                <w:color w:val="auto"/>
                <w:w w:val="89"/>
              </w:rPr>
              <w:t>3.85</w:t>
            </w: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gridSpan w:val="2"/>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9.51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199"/>
        </w:trPr>
        <w:tc>
          <w:tcPr>
            <w:tcW w:w="680" w:type="dxa"/>
            <w:vAlign w:val="bottom"/>
          </w:tcPr>
          <w:p>
            <w:pPr>
              <w:ind w:left="20"/>
              <w:spacing w:after="0"/>
              <w:rPr>
                <w:sz w:val="20"/>
                <w:szCs w:val="20"/>
                <w:color w:val="auto"/>
              </w:rPr>
            </w:pPr>
            <w:r>
              <w:rPr>
                <w:rFonts w:ascii="Arial" w:cs="Arial" w:eastAsia="Arial" w:hAnsi="Arial"/>
                <w:sz w:val="16"/>
                <w:szCs w:val="16"/>
                <w:color w:val="auto"/>
                <w:w w:val="86"/>
              </w:rPr>
              <w:t>December</w:t>
            </w:r>
          </w:p>
        </w:tc>
        <w:tc>
          <w:tcPr>
            <w:tcW w:w="1320" w:type="dxa"/>
            <w:vAlign w:val="bottom"/>
          </w:tcPr>
          <w:p>
            <w:pPr>
              <w:ind w:left="20"/>
              <w:spacing w:after="0"/>
              <w:rPr>
                <w:sz w:val="20"/>
                <w:szCs w:val="20"/>
                <w:color w:val="auto"/>
              </w:rPr>
            </w:pPr>
            <w:r>
              <w:rPr>
                <w:rFonts w:ascii="Arial" w:cs="Arial" w:eastAsia="Arial" w:hAnsi="Arial"/>
                <w:sz w:val="16"/>
                <w:szCs w:val="16"/>
                <w:color w:val="auto"/>
              </w:rPr>
              <w:t>31, 2019</w:t>
            </w:r>
          </w:p>
        </w:tc>
        <w:tc>
          <w:tcPr>
            <w:tcW w:w="580" w:type="dxa"/>
            <w:vAlign w:val="bottom"/>
            <w:gridSpan w:val="2"/>
          </w:tcPr>
          <w:p>
            <w:pPr>
              <w:jc w:val="center"/>
              <w:ind w:left="82"/>
              <w:spacing w:after="0"/>
              <w:rPr>
                <w:sz w:val="20"/>
                <w:szCs w:val="20"/>
                <w:color w:val="auto"/>
              </w:rPr>
            </w:pPr>
            <w:r>
              <w:rPr>
                <w:rFonts w:ascii="Arial" w:cs="Arial" w:eastAsia="Arial" w:hAnsi="Arial"/>
                <w:sz w:val="16"/>
                <w:szCs w:val="16"/>
                <w:color w:val="auto"/>
                <w:w w:val="84"/>
              </w:rPr>
              <w:t>15.30</w:t>
            </w:r>
          </w:p>
        </w:tc>
        <w:tc>
          <w:tcPr>
            <w:tcW w:w="160" w:type="dxa"/>
            <w:vAlign w:val="bottom"/>
          </w:tcPr>
          <w:p>
            <w:pPr>
              <w:spacing w:after="0"/>
              <w:rPr>
                <w:sz w:val="17"/>
                <w:szCs w:val="17"/>
                <w:color w:val="auto"/>
              </w:rPr>
            </w:pPr>
          </w:p>
        </w:tc>
        <w:tc>
          <w:tcPr>
            <w:tcW w:w="1080" w:type="dxa"/>
            <w:vAlign w:val="bottom"/>
            <w:gridSpan w:val="3"/>
          </w:tcPr>
          <w:p>
            <w:pPr>
              <w:jc w:val="center"/>
              <w:ind w:left="482"/>
              <w:spacing w:after="0"/>
              <w:rPr>
                <w:sz w:val="20"/>
                <w:szCs w:val="20"/>
                <w:color w:val="auto"/>
              </w:rPr>
            </w:pPr>
            <w:r>
              <w:rPr>
                <w:rFonts w:ascii="Arial" w:cs="Arial" w:eastAsia="Arial" w:hAnsi="Arial"/>
                <w:sz w:val="16"/>
                <w:szCs w:val="16"/>
                <w:color w:val="auto"/>
                <w:w w:val="89"/>
              </w:rPr>
              <w:t>5.27</w:t>
            </w:r>
          </w:p>
        </w:tc>
        <w:tc>
          <w:tcPr>
            <w:tcW w:w="120" w:type="dxa"/>
            <w:vAlign w:val="bottom"/>
          </w:tcPr>
          <w:p>
            <w:pPr>
              <w:spacing w:after="0"/>
              <w:rPr>
                <w:sz w:val="17"/>
                <w:szCs w:val="17"/>
                <w:color w:val="auto"/>
              </w:rPr>
            </w:pPr>
          </w:p>
        </w:tc>
        <w:tc>
          <w:tcPr>
            <w:tcW w:w="800" w:type="dxa"/>
            <w:vAlign w:val="bottom"/>
            <w:gridSpan w:val="3"/>
          </w:tcPr>
          <w:p>
            <w:pPr>
              <w:jc w:val="center"/>
              <w:ind w:left="442"/>
              <w:spacing w:after="0"/>
              <w:rPr>
                <w:sz w:val="20"/>
                <w:szCs w:val="20"/>
                <w:color w:val="auto"/>
              </w:rPr>
            </w:pPr>
            <w:r>
              <w:rPr>
                <w:rFonts w:ascii="Arial" w:cs="Arial" w:eastAsia="Arial" w:hAnsi="Arial"/>
                <w:sz w:val="16"/>
                <w:szCs w:val="16"/>
                <w:color w:val="auto"/>
                <w:w w:val="89"/>
              </w:rPr>
              <w:t>9.51</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r>
    </w:tbl>
    <w:p>
      <w:pPr>
        <w:spacing w:after="0" w:line="102" w:lineRule="exact"/>
        <w:rPr>
          <w:sz w:val="20"/>
          <w:szCs w:val="20"/>
          <w:color w:val="auto"/>
        </w:rPr>
      </w:pPr>
    </w:p>
    <w:p>
      <w:pPr>
        <w:ind w:left="280" w:hanging="275"/>
        <w:spacing w:after="0"/>
        <w:tabs>
          <w:tab w:leader="none" w:pos="280"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Income Taxes</w:t>
      </w:r>
    </w:p>
    <w:p>
      <w:pPr>
        <w:spacing w:after="0" w:line="202" w:lineRule="exact"/>
        <w:rPr>
          <w:sz w:val="20"/>
          <w:szCs w:val="20"/>
          <w:color w:val="auto"/>
        </w:rPr>
      </w:pPr>
    </w:p>
    <w:p>
      <w:pPr>
        <w:jc w:val="both"/>
        <w:ind w:right="1519"/>
        <w:spacing w:after="0" w:line="247" w:lineRule="auto"/>
        <w:rPr>
          <w:sz w:val="20"/>
          <w:szCs w:val="20"/>
          <w:color w:val="auto"/>
        </w:rPr>
      </w:pPr>
      <w:r>
        <w:rPr>
          <w:rFonts w:ascii="Arial" w:cs="Arial" w:eastAsia="Arial" w:hAnsi="Arial"/>
          <w:sz w:val="17"/>
          <w:szCs w:val="17"/>
          <w:color w:val="auto"/>
        </w:rPr>
        <w:t>The Company’s overall effective tax rate for the three months ended March 31, 2020 and 2019 was 3.4% and 20.6%, respectively, which resulted in a provision for income taxes of $50,000 and $502,000, respectively. During the first quarter of 2020, the Company recorded a tax benefit of $433,000 related to the enactment of the Coronavirus Aid, Relief and Economic Security ("CARES") Act signed into law March 27, 2020. The benefit is primarily related to the net operating loss carryback provisions enacted by the CARES Act and higher tax rates in those carryback periods. The Company's effective tax rates differ from the U.S. federal statutory rate of 21% partially due to the tax benefit recorded for the CARES Act and its provision for state income taxes. The effective tax rate in the current period decreased when compared to the prior year period largely due to the benefit recorded for the CARES Act.</w:t>
      </w:r>
    </w:p>
    <w:p>
      <w:pPr>
        <w:spacing w:after="0" w:line="200" w:lineRule="exact"/>
        <w:rPr>
          <w:sz w:val="20"/>
          <w:szCs w:val="20"/>
          <w:color w:val="auto"/>
        </w:rPr>
      </w:pPr>
    </w:p>
    <w:p>
      <w:pPr>
        <w:spacing w:after="0" w:line="293"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93345</wp:posOffset>
            </wp:positionV>
            <wp:extent cx="498983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989830" cy="29845"/>
                    </a:xfrm>
                    <a:prstGeom prst="rect">
                      <a:avLst/>
                    </a:prstGeom>
                    <a:noFill/>
                  </pic:spPr>
                </pic:pic>
              </a:graphicData>
            </a:graphic>
          </wp:anchor>
        </w:drawing>
      </w:r>
    </w:p>
    <w:p>
      <w:pPr>
        <w:sectPr>
          <w:pgSz w:w="11900" w:h="16838" w:orient="portrait"/>
          <w:cols w:equalWidth="0" w:num="1">
            <w:col w:w="9379"/>
          </w:cols>
          <w:pgMar w:left="1080" w:top="124" w:right="1440" w:bottom="1440" w:gutter="0" w:footer="0" w:header="0"/>
        </w:sectPr>
      </w:pPr>
    </w:p>
    <w:bookmarkStart w:id="47" w:name="page48"/>
    <w:bookmarkEnd w:id="47"/>
    <w:p>
      <w:pPr>
        <w:jc w:val="center"/>
        <w:ind w:right="1519"/>
        <w:spacing w:after="0" w:line="257" w:lineRule="auto"/>
        <w:rPr>
          <w:sz w:val="20"/>
          <w:szCs w:val="20"/>
          <w:color w:val="auto"/>
        </w:rPr>
      </w:pPr>
      <w:r>
        <w:rPr>
          <w:rFonts w:ascii="Arial" w:cs="Arial" w:eastAsia="Arial" w:hAnsi="Arial"/>
          <w:sz w:val="17"/>
          <w:szCs w:val="17"/>
          <w:color w:val="auto"/>
        </w:rPr>
        <w:t>SECURITY NATIONAL FINANCIAL CORPORATION AND SUBSIDIARIES Notes to Condensed Consolidated Financial Statements March 31, 2020 (Unaudited)</w:t>
      </w:r>
    </w:p>
    <w:p>
      <w:pPr>
        <w:spacing w:after="0" w:line="192" w:lineRule="exact"/>
        <w:rPr>
          <w:sz w:val="20"/>
          <w:szCs w:val="20"/>
          <w:color w:val="auto"/>
        </w:rPr>
      </w:pPr>
    </w:p>
    <w:p>
      <w:pPr>
        <w:ind w:left="280" w:hanging="275"/>
        <w:spacing w:after="0"/>
        <w:tabs>
          <w:tab w:leader="none" w:pos="280"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Revenues from Contracts with Customers</w:t>
      </w:r>
    </w:p>
    <w:p>
      <w:pPr>
        <w:spacing w:after="0" w:line="202" w:lineRule="exact"/>
        <w:rPr>
          <w:sz w:val="20"/>
          <w:szCs w:val="20"/>
          <w:color w:val="auto"/>
        </w:rPr>
      </w:pPr>
    </w:p>
    <w:p>
      <w:pPr>
        <w:jc w:val="both"/>
        <w:ind w:right="1519"/>
        <w:spacing w:after="0" w:line="270" w:lineRule="auto"/>
        <w:rPr>
          <w:sz w:val="20"/>
          <w:szCs w:val="20"/>
          <w:color w:val="auto"/>
        </w:rPr>
      </w:pPr>
      <w:r>
        <w:rPr>
          <w:rFonts w:ascii="Arial" w:cs="Arial" w:eastAsia="Arial" w:hAnsi="Arial"/>
          <w:sz w:val="17"/>
          <w:szCs w:val="17"/>
          <w:color w:val="auto"/>
        </w:rPr>
        <w:t>The Company reports revenues from contracts with customers pursuant to ASC No. 606, Revenue from Contracts with Customers.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about Performance Obligations and Contract Balances</w:t>
      </w:r>
    </w:p>
    <w:p>
      <w:pPr>
        <w:spacing w:after="0" w:line="208" w:lineRule="exact"/>
        <w:rPr>
          <w:sz w:val="20"/>
          <w:szCs w:val="20"/>
          <w:color w:val="auto"/>
        </w:rPr>
      </w:pPr>
    </w:p>
    <w:p>
      <w:pPr>
        <w:jc w:val="both"/>
        <w:ind w:right="1519"/>
        <w:spacing w:after="0" w:line="257" w:lineRule="auto"/>
        <w:rPr>
          <w:sz w:val="20"/>
          <w:szCs w:val="20"/>
          <w:color w:val="auto"/>
        </w:rPr>
      </w:pPr>
      <w:r>
        <w:rPr>
          <w:rFonts w:ascii="Arial" w:cs="Arial" w:eastAsia="Arial" w:hAnsi="Arial"/>
          <w:sz w:val="17"/>
          <w:szCs w:val="17"/>
          <w:color w:val="auto"/>
        </w:rPr>
        <w:t>The Company’s cemetery and mortuary segment sells a variety of goods and services to customers in both at-need and pre-need situations. Due to the timing of the fulfillment of the obligation, revenue is deferred until that obligation is fulfilled.</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The Company’s three types of future obligations are as follows:</w:t>
      </w:r>
    </w:p>
    <w:p>
      <w:pPr>
        <w:spacing w:after="0" w:line="202" w:lineRule="exact"/>
        <w:rPr>
          <w:sz w:val="20"/>
          <w:szCs w:val="20"/>
          <w:color w:val="auto"/>
        </w:rPr>
      </w:pPr>
    </w:p>
    <w:p>
      <w:pPr>
        <w:jc w:val="both"/>
        <w:ind w:right="1519"/>
        <w:spacing w:after="0" w:line="257" w:lineRule="auto"/>
        <w:rPr>
          <w:sz w:val="20"/>
          <w:szCs w:val="20"/>
          <w:color w:val="auto"/>
        </w:rPr>
      </w:pPr>
      <w:r>
        <w:rPr>
          <w:rFonts w:ascii="Arial" w:cs="Arial" w:eastAsia="Arial" w:hAnsi="Arial"/>
          <w:sz w:val="17"/>
          <w:szCs w:val="17"/>
          <w:i w:val="1"/>
          <w:iCs w:val="1"/>
          <w:u w:val="single" w:color="auto"/>
          <w:color w:val="auto"/>
        </w:rPr>
        <w:t>Pre-need Merchandise and Service Revenue</w:t>
      </w:r>
      <w:r>
        <w:rPr>
          <w:rFonts w:ascii="Arial" w:cs="Arial" w:eastAsia="Arial" w:hAnsi="Arial"/>
          <w:sz w:val="17"/>
          <w:szCs w:val="17"/>
          <w:color w:val="auto"/>
        </w:rPr>
        <w:t>: All pre-need merchandise and service revenue is deferred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funds are placed in trust until the need arises, the merchandise is received or the service is performed. The trust is then relieved, and the revenue and commissions are recognized.</w:t>
      </w:r>
    </w:p>
    <w:p>
      <w:pPr>
        <w:spacing w:after="0" w:line="167" w:lineRule="exact"/>
        <w:rPr>
          <w:sz w:val="20"/>
          <w:szCs w:val="20"/>
          <w:color w:val="auto"/>
        </w:rPr>
      </w:pPr>
    </w:p>
    <w:p>
      <w:pPr>
        <w:jc w:val="both"/>
        <w:ind w:right="1519"/>
        <w:spacing w:after="0" w:line="252" w:lineRule="auto"/>
        <w:rPr>
          <w:sz w:val="20"/>
          <w:szCs w:val="20"/>
          <w:color w:val="auto"/>
        </w:rPr>
      </w:pPr>
      <w:r>
        <w:rPr>
          <w:rFonts w:ascii="Arial" w:cs="Arial" w:eastAsia="Arial" w:hAnsi="Arial"/>
          <w:sz w:val="17"/>
          <w:szCs w:val="17"/>
          <w:i w:val="1"/>
          <w:iCs w:val="1"/>
          <w:u w:val="single" w:color="auto"/>
          <w:color w:val="auto"/>
        </w:rPr>
        <w:t>At-need Specialty Merchandise Revenue</w:t>
      </w:r>
      <w:r>
        <w:rPr>
          <w:rFonts w:ascii="Arial" w:cs="Arial" w:eastAsia="Arial" w:hAnsi="Arial"/>
          <w:sz w:val="17"/>
          <w:szCs w:val="17"/>
          <w:color w:val="auto"/>
        </w:rPr>
        <w:t>: At-need specialty merchandise revenue consists of customizable</w:t>
      </w:r>
      <w:r>
        <w:rPr>
          <w:rFonts w:ascii="Arial" w:cs="Arial" w:eastAsia="Arial" w:hAnsi="Arial"/>
          <w:sz w:val="17"/>
          <w:szCs w:val="17"/>
          <w:i w:val="1"/>
          <w:iCs w:val="1"/>
          <w:color w:val="auto"/>
        </w:rPr>
        <w:t xml:space="preserve"> </w:t>
      </w:r>
      <w:r>
        <w:rPr>
          <w:rFonts w:ascii="Arial" w:cs="Arial" w:eastAsia="Arial" w:hAnsi="Arial"/>
          <w:sz w:val="17"/>
          <w:szCs w:val="17"/>
          <w:color w:val="auto"/>
        </w:rPr>
        <w:t>merchandise ordered from a manufacturer such as markers and bases. When specialty merchandise is ordered, it can take time to manufacture and deliver the product. Revenue is deferred until the at-need merchandise is received.</w:t>
      </w:r>
    </w:p>
    <w:p>
      <w:pPr>
        <w:spacing w:after="0" w:line="173" w:lineRule="exact"/>
        <w:rPr>
          <w:sz w:val="20"/>
          <w:szCs w:val="20"/>
          <w:color w:val="auto"/>
        </w:rPr>
      </w:pPr>
    </w:p>
    <w:p>
      <w:pPr>
        <w:jc w:val="both"/>
        <w:ind w:right="1519"/>
        <w:spacing w:after="0" w:line="257" w:lineRule="auto"/>
        <w:rPr>
          <w:sz w:val="20"/>
          <w:szCs w:val="20"/>
          <w:color w:val="auto"/>
        </w:rPr>
      </w:pPr>
      <w:r>
        <w:rPr>
          <w:rFonts w:ascii="Arial" w:cs="Arial" w:eastAsia="Arial" w:hAnsi="Arial"/>
          <w:sz w:val="17"/>
          <w:szCs w:val="17"/>
          <w:i w:val="1"/>
          <w:iCs w:val="1"/>
          <w:u w:val="single" w:color="auto"/>
          <w:color w:val="auto"/>
        </w:rPr>
        <w:t>Deferred Pre-need Land Revenue</w:t>
      </w:r>
      <w:r>
        <w:rPr>
          <w:rFonts w:ascii="Arial" w:cs="Arial" w:eastAsia="Arial" w:hAnsi="Arial"/>
          <w:sz w:val="17"/>
          <w:szCs w:val="17"/>
          <w:color w:val="auto"/>
        </w:rPr>
        <w:t>: Deferred pre-need revenue and corresponding commissions are deferred until</w:t>
      </w:r>
      <w:r>
        <w:rPr>
          <w:rFonts w:ascii="Arial" w:cs="Arial" w:eastAsia="Arial" w:hAnsi="Arial"/>
          <w:sz w:val="17"/>
          <w:szCs w:val="17"/>
          <w:i w:val="1"/>
          <w:iCs w:val="1"/>
          <w:color w:val="auto"/>
        </w:rPr>
        <w:t xml:space="preserve"> </w:t>
      </w:r>
      <w:r>
        <w:rPr>
          <w:rFonts w:ascii="Arial" w:cs="Arial" w:eastAsia="Arial" w:hAnsi="Arial"/>
          <w:sz w:val="17"/>
          <w:szCs w:val="17"/>
          <w:color w:val="auto"/>
        </w:rPr>
        <w:t>10% of the funds are received from the customer through regular monthly payments. Deferred pre-need land revenue is not placed in trust.</w:t>
      </w:r>
    </w:p>
    <w:p>
      <w:pPr>
        <w:spacing w:after="0" w:line="167" w:lineRule="exact"/>
        <w:rPr>
          <w:sz w:val="20"/>
          <w:szCs w:val="20"/>
          <w:color w:val="auto"/>
        </w:rPr>
      </w:pPr>
    </w:p>
    <w:p>
      <w:pPr>
        <w:jc w:val="both"/>
        <w:ind w:right="1519"/>
        <w:spacing w:after="0" w:line="267" w:lineRule="auto"/>
        <w:rPr>
          <w:sz w:val="20"/>
          <w:szCs w:val="20"/>
          <w:color w:val="auto"/>
        </w:rPr>
      </w:pPr>
      <w:r>
        <w:rPr>
          <w:rFonts w:ascii="Arial" w:cs="Arial" w:eastAsia="Arial" w:hAnsi="Arial"/>
          <w:sz w:val="16"/>
          <w:szCs w:val="16"/>
          <w:color w:val="auto"/>
        </w:rPr>
        <w:t>Complete payment of the contract does not constitute fulfillment of the performance obligation. Goods or services are deferred until such time the service is performed or merchandise is received. Pre-need contracts are required to be paid in full prior to a customer using a good or service from a pre-need contract. Goods and services from pre-need contracts can be transferred when paid in full from one owner to another. In such cases, the Company will act as an agent in transferring the requested goods and services. A transfer of goods and services does not fulfill an obligation and revenue remains deferred.</w:t>
      </w:r>
    </w:p>
    <w:p>
      <w:pPr>
        <w:spacing w:after="0" w:line="163" w:lineRule="exact"/>
        <w:rPr>
          <w:sz w:val="20"/>
          <w:szCs w:val="20"/>
          <w:color w:val="auto"/>
        </w:rPr>
      </w:pPr>
    </w:p>
    <w:p>
      <w:pPr>
        <w:jc w:val="both"/>
        <w:ind w:right="1519"/>
        <w:spacing w:after="0" w:line="270" w:lineRule="auto"/>
        <w:rPr>
          <w:sz w:val="20"/>
          <w:szCs w:val="20"/>
          <w:color w:val="auto"/>
        </w:rPr>
      </w:pPr>
      <w:r>
        <w:rPr>
          <w:rFonts w:ascii="Arial" w:cs="Arial" w:eastAsia="Arial" w:hAnsi="Arial"/>
          <w:sz w:val="17"/>
          <w:szCs w:val="17"/>
          <w:color w:val="auto"/>
        </w:rPr>
        <w:t>The opening and closing balances of the Company’s receivables, contract assets and contract liabilities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7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2"/>
          </w:tcPr>
          <w:p>
            <w:pPr>
              <w:jc w:val="right"/>
              <w:ind w:right="94"/>
              <w:spacing w:after="0"/>
              <w:rPr>
                <w:sz w:val="20"/>
                <w:szCs w:val="20"/>
                <w:color w:val="auto"/>
              </w:rPr>
            </w:pPr>
            <w:r>
              <w:rPr>
                <w:rFonts w:ascii="Arial" w:cs="Arial" w:eastAsia="Arial" w:hAnsi="Arial"/>
                <w:sz w:val="17"/>
                <w:szCs w:val="17"/>
                <w:color w:val="auto"/>
              </w:rPr>
              <w:t>Contract Balances</w:t>
            </w:r>
          </w:p>
        </w:tc>
        <w:tc>
          <w:tcPr>
            <w:tcW w:w="7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215"/>
        </w:trPr>
        <w:tc>
          <w:tcPr>
            <w:tcW w:w="27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gridSpan w:val="2"/>
          </w:tcPr>
          <w:p>
            <w:pPr>
              <w:jc w:val="right"/>
              <w:ind w:right="274"/>
              <w:spacing w:after="0"/>
              <w:rPr>
                <w:sz w:val="20"/>
                <w:szCs w:val="20"/>
                <w:color w:val="auto"/>
              </w:rPr>
            </w:pPr>
            <w:r>
              <w:rPr>
                <w:rFonts w:ascii="Arial" w:cs="Arial" w:eastAsia="Arial" w:hAnsi="Arial"/>
                <w:sz w:val="17"/>
                <w:szCs w:val="17"/>
                <w:color w:val="auto"/>
              </w:rPr>
              <w:t>Receivables (1)</w:t>
            </w:r>
          </w:p>
        </w:tc>
        <w:tc>
          <w:tcPr>
            <w:tcW w:w="132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Contract Asset</w:t>
            </w:r>
          </w:p>
        </w:tc>
        <w:tc>
          <w:tcPr>
            <w:tcW w:w="4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tcPr>
          <w:p>
            <w:pPr>
              <w:jc w:val="right"/>
              <w:ind w:right="314"/>
              <w:spacing w:after="0"/>
              <w:rPr>
                <w:sz w:val="20"/>
                <w:szCs w:val="20"/>
                <w:color w:val="auto"/>
              </w:rPr>
            </w:pPr>
            <w:r>
              <w:rPr>
                <w:rFonts w:ascii="Arial" w:cs="Arial" w:eastAsia="Arial" w:hAnsi="Arial"/>
                <w:sz w:val="17"/>
                <w:szCs w:val="17"/>
                <w:color w:val="auto"/>
              </w:rPr>
              <w:t>Contract Liability</w:t>
            </w:r>
          </w:p>
        </w:tc>
      </w:tr>
      <w:tr>
        <w:trPr>
          <w:trHeight w:val="217"/>
        </w:trPr>
        <w:tc>
          <w:tcPr>
            <w:tcW w:w="2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Opening (1/1/2020)</w:t>
            </w:r>
          </w:p>
        </w:tc>
        <w:tc>
          <w:tcPr>
            <w:tcW w:w="6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2,778,879</w:t>
            </w:r>
          </w:p>
        </w:tc>
        <w:tc>
          <w:tcPr>
            <w:tcW w:w="1320" w:type="dxa"/>
            <w:vAlign w:val="bottom"/>
            <w:shd w:val="clear" w:color="auto" w:fill="CCEEFF"/>
          </w:tcPr>
          <w:p>
            <w:pPr>
              <w:jc w:val="right"/>
              <w:ind w:right="854"/>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12,607,978</w:t>
            </w:r>
          </w:p>
        </w:tc>
      </w:tr>
      <w:tr>
        <w:trPr>
          <w:trHeight w:val="230"/>
        </w:trPr>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Closing (3/31/2020)</w:t>
            </w: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3,284,942</w:t>
            </w:r>
          </w:p>
        </w:tc>
        <w:tc>
          <w:tcPr>
            <w:tcW w:w="13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12,689,862</w:t>
            </w:r>
          </w:p>
        </w:tc>
      </w:tr>
      <w:tr>
        <w:trPr>
          <w:trHeight w:val="218"/>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Increase/(decrease)</w:t>
            </w:r>
          </w:p>
        </w:tc>
        <w:tc>
          <w:tcPr>
            <w:tcW w:w="6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506,063</w:t>
            </w:r>
          </w:p>
        </w:tc>
        <w:tc>
          <w:tcPr>
            <w:tcW w:w="13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81,884</w:t>
            </w:r>
          </w:p>
        </w:tc>
      </w:tr>
      <w:tr>
        <w:trPr>
          <w:trHeight w:val="20"/>
        </w:trPr>
        <w:tc>
          <w:tcPr>
            <w:tcW w:w="27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6"/>
        </w:trPr>
        <w:tc>
          <w:tcPr>
            <w:tcW w:w="2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1"/>
        </w:trPr>
        <w:tc>
          <w:tcPr>
            <w:tcW w:w="2700" w:type="dxa"/>
            <w:vAlign w:val="bottom"/>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Contract Balances</w:t>
            </w:r>
          </w:p>
        </w:tc>
        <w:tc>
          <w:tcPr>
            <w:tcW w:w="7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r>
      <w:tr>
        <w:trPr>
          <w:trHeight w:val="215"/>
        </w:trPr>
        <w:tc>
          <w:tcPr>
            <w:tcW w:w="27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gridSpan w:val="2"/>
          </w:tcPr>
          <w:p>
            <w:pPr>
              <w:jc w:val="right"/>
              <w:ind w:right="274"/>
              <w:spacing w:after="0"/>
              <w:rPr>
                <w:sz w:val="20"/>
                <w:szCs w:val="20"/>
                <w:color w:val="auto"/>
              </w:rPr>
            </w:pPr>
            <w:r>
              <w:rPr>
                <w:rFonts w:ascii="Arial" w:cs="Arial" w:eastAsia="Arial" w:hAnsi="Arial"/>
                <w:sz w:val="17"/>
                <w:szCs w:val="17"/>
                <w:color w:val="auto"/>
              </w:rPr>
              <w:t>Receivables (1)</w:t>
            </w:r>
          </w:p>
        </w:tc>
        <w:tc>
          <w:tcPr>
            <w:tcW w:w="132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Contract Asset</w:t>
            </w:r>
          </w:p>
        </w:tc>
        <w:tc>
          <w:tcPr>
            <w:tcW w:w="4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tcPr>
          <w:p>
            <w:pPr>
              <w:jc w:val="right"/>
              <w:ind w:right="314"/>
              <w:spacing w:after="0"/>
              <w:rPr>
                <w:sz w:val="20"/>
                <w:szCs w:val="20"/>
                <w:color w:val="auto"/>
              </w:rPr>
            </w:pPr>
            <w:r>
              <w:rPr>
                <w:rFonts w:ascii="Arial" w:cs="Arial" w:eastAsia="Arial" w:hAnsi="Arial"/>
                <w:sz w:val="17"/>
                <w:szCs w:val="17"/>
                <w:color w:val="auto"/>
              </w:rPr>
              <w:t>Contract Liability</w:t>
            </w:r>
          </w:p>
        </w:tc>
      </w:tr>
      <w:tr>
        <w:trPr>
          <w:trHeight w:val="217"/>
        </w:trPr>
        <w:tc>
          <w:tcPr>
            <w:tcW w:w="2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Opening (1/1/2019)</w:t>
            </w:r>
          </w:p>
        </w:tc>
        <w:tc>
          <w:tcPr>
            <w:tcW w:w="6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2,816,225</w:t>
            </w:r>
          </w:p>
        </w:tc>
        <w:tc>
          <w:tcPr>
            <w:tcW w:w="1320" w:type="dxa"/>
            <w:vAlign w:val="bottom"/>
            <w:shd w:val="clear" w:color="auto" w:fill="CCEEFF"/>
          </w:tcPr>
          <w:p>
            <w:pPr>
              <w:jc w:val="right"/>
              <w:ind w:right="854"/>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12,508,625</w:t>
            </w:r>
          </w:p>
        </w:tc>
      </w:tr>
      <w:tr>
        <w:trPr>
          <w:trHeight w:val="230"/>
        </w:trPr>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Closing (12/31/2019)</w:t>
            </w: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2,778,879</w:t>
            </w:r>
          </w:p>
        </w:tc>
        <w:tc>
          <w:tcPr>
            <w:tcW w:w="13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12,607,978</w:t>
            </w:r>
          </w:p>
        </w:tc>
      </w:tr>
      <w:tr>
        <w:trPr>
          <w:trHeight w:val="218"/>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Increase/(decrease)</w:t>
            </w:r>
          </w:p>
        </w:tc>
        <w:tc>
          <w:tcPr>
            <w:tcW w:w="6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(37,346)</w:t>
            </w:r>
          </w:p>
        </w:tc>
        <w:tc>
          <w:tcPr>
            <w:tcW w:w="13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99,353</w:t>
            </w:r>
          </w:p>
        </w:tc>
      </w:tr>
      <w:tr>
        <w:trPr>
          <w:trHeight w:val="20"/>
        </w:trPr>
        <w:tc>
          <w:tcPr>
            <w:tcW w:w="27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4989830" cy="1631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989830" cy="163195"/>
                    </a:xfrm>
                    <a:prstGeom prst="rect">
                      <a:avLst/>
                    </a:prstGeom>
                    <a:noFill/>
                  </pic:spPr>
                </pic:pic>
              </a:graphicData>
            </a:graphic>
          </wp:anchor>
        </w:drawing>
      </w:r>
    </w:p>
    <w:p>
      <w:pPr>
        <w:spacing w:after="0" w:line="211" w:lineRule="exact"/>
        <w:rPr>
          <w:sz w:val="20"/>
          <w:szCs w:val="20"/>
          <w:color w:val="auto"/>
        </w:rPr>
      </w:pPr>
    </w:p>
    <w:p>
      <w:pPr>
        <w:ind w:left="260" w:hanging="243"/>
        <w:spacing w:after="0"/>
        <w:tabs>
          <w:tab w:leader="none" w:pos="2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Included in Receivables, net on the condensed consolidated balance sheets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21" w:lineRule="exact"/>
        <w:rPr>
          <w:rFonts w:ascii="Arial" w:cs="Arial" w:eastAsia="Arial" w:hAnsi="Arial"/>
          <w:sz w:val="17"/>
          <w:szCs w:val="17"/>
          <w:color w:val="auto"/>
        </w:rPr>
      </w:pPr>
    </w:p>
    <w:p>
      <w:pPr>
        <w:ind w:left="3840"/>
        <w:spacing w:after="0"/>
        <w:rPr>
          <w:rFonts w:ascii="Arial" w:cs="Arial" w:eastAsia="Arial" w:hAnsi="Arial"/>
          <w:sz w:val="17"/>
          <w:szCs w:val="17"/>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93345</wp:posOffset>
            </wp:positionV>
            <wp:extent cx="498983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989830" cy="29845"/>
                    </a:xfrm>
                    <a:prstGeom prst="rect">
                      <a:avLst/>
                    </a:prstGeom>
                    <a:noFill/>
                  </pic:spPr>
                </pic:pic>
              </a:graphicData>
            </a:graphic>
          </wp:anchor>
        </w:drawing>
      </w:r>
    </w:p>
    <w:p>
      <w:pPr>
        <w:sectPr>
          <w:pgSz w:w="11900" w:h="16838" w:orient="portrait"/>
          <w:cols w:equalWidth="0" w:num="1">
            <w:col w:w="9379"/>
          </w:cols>
          <w:pgMar w:left="1080" w:top="124" w:right="1440" w:bottom="1440" w:gutter="0" w:footer="0" w:header="0"/>
        </w:sectPr>
      </w:pPr>
    </w:p>
    <w:bookmarkStart w:id="48" w:name="page49"/>
    <w:bookmarkEnd w:id="48"/>
    <w:p>
      <w:pPr>
        <w:jc w:val="center"/>
        <w:ind w:right="1519"/>
        <w:spacing w:after="0" w:line="257" w:lineRule="auto"/>
        <w:rPr>
          <w:sz w:val="20"/>
          <w:szCs w:val="20"/>
          <w:color w:val="auto"/>
        </w:rPr>
      </w:pPr>
      <w:r>
        <w:rPr>
          <w:rFonts w:ascii="Arial" w:cs="Arial" w:eastAsia="Arial" w:hAnsi="Arial"/>
          <w:sz w:val="17"/>
          <w:szCs w:val="17"/>
          <w:color w:val="auto"/>
        </w:rPr>
        <w:t>SECURITY NATIONAL FINANCIAL CORPORATION AND SUBSIDIARIES Notes to Condensed Consolidated Financial Statements March 31, 2020 (Unaudited)</w:t>
      </w:r>
    </w:p>
    <w:p>
      <w:pPr>
        <w:spacing w:after="0" w:line="75" w:lineRule="exact"/>
        <w:rPr>
          <w:sz w:val="20"/>
          <w:szCs w:val="20"/>
          <w:color w:val="auto"/>
        </w:rPr>
      </w:pPr>
    </w:p>
    <w:p>
      <w:pPr>
        <w:ind w:left="280" w:hanging="275"/>
        <w:spacing w:after="0"/>
        <w:tabs>
          <w:tab w:leader="none" w:pos="280"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Revenues from Contracts with Customers</w:t>
      </w:r>
      <w:r>
        <w:rPr>
          <w:rFonts w:ascii="Arial" w:cs="Arial" w:eastAsia="Arial" w:hAnsi="Arial"/>
          <w:sz w:val="17"/>
          <w:szCs w:val="17"/>
          <w:color w:val="auto"/>
        </w:rPr>
        <w:t xml:space="preserve"> (Continued)</w:t>
      </w:r>
    </w:p>
    <w:p>
      <w:pPr>
        <w:spacing w:after="0" w:line="225" w:lineRule="exact"/>
        <w:rPr>
          <w:sz w:val="20"/>
          <w:szCs w:val="20"/>
          <w:color w:val="auto"/>
        </w:rPr>
      </w:pPr>
    </w:p>
    <w:p>
      <w:pPr>
        <w:ind w:right="1519"/>
        <w:spacing w:after="0" w:line="270" w:lineRule="auto"/>
        <w:rPr>
          <w:sz w:val="20"/>
          <w:szCs w:val="20"/>
          <w:color w:val="auto"/>
        </w:rPr>
      </w:pPr>
      <w:r>
        <w:rPr>
          <w:rFonts w:ascii="Arial" w:cs="Arial" w:eastAsia="Arial" w:hAnsi="Arial"/>
          <w:sz w:val="17"/>
          <w:szCs w:val="17"/>
          <w:color w:val="auto"/>
        </w:rPr>
        <w:t>The amount of revenue recognized and included in the opening contract liability balance for the three months ended March 31, 2020 and 2019 was $950,772 and $741,520, respectively.</w:t>
      </w:r>
    </w:p>
    <w:p>
      <w:pPr>
        <w:spacing w:after="0" w:line="157" w:lineRule="exact"/>
        <w:rPr>
          <w:sz w:val="20"/>
          <w:szCs w:val="20"/>
          <w:color w:val="auto"/>
        </w:rPr>
      </w:pPr>
    </w:p>
    <w:p>
      <w:pPr>
        <w:ind w:right="1519"/>
        <w:spacing w:after="0" w:line="338" w:lineRule="auto"/>
        <w:rPr>
          <w:sz w:val="20"/>
          <w:szCs w:val="20"/>
          <w:color w:val="auto"/>
        </w:rPr>
      </w:pPr>
      <w:r>
        <w:rPr>
          <w:rFonts w:ascii="Arial" w:cs="Arial" w:eastAsia="Arial" w:hAnsi="Arial"/>
          <w:sz w:val="15"/>
          <w:szCs w:val="15"/>
          <w:color w:val="auto"/>
        </w:rPr>
        <w:t>The difference between the opening and closing balances of the Company’s contract assets and contract liabilities primarily results from the timing difference between the Company’s performance and the customer’s payment.</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Disaggregation of Revenue</w:t>
      </w:r>
    </w:p>
    <w:p>
      <w:pPr>
        <w:spacing w:after="0" w:line="208" w:lineRule="exact"/>
        <w:rPr>
          <w:sz w:val="20"/>
          <w:szCs w:val="20"/>
          <w:color w:val="auto"/>
        </w:rPr>
      </w:pPr>
    </w:p>
    <w:p>
      <w:pPr>
        <w:ind w:right="1519"/>
        <w:spacing w:after="0" w:line="270" w:lineRule="auto"/>
        <w:rPr>
          <w:sz w:val="20"/>
          <w:szCs w:val="20"/>
          <w:color w:val="auto"/>
        </w:rPr>
      </w:pPr>
      <w:r>
        <w:rPr>
          <w:rFonts w:ascii="Arial" w:cs="Arial" w:eastAsia="Arial" w:hAnsi="Arial"/>
          <w:sz w:val="17"/>
          <w:szCs w:val="17"/>
          <w:color w:val="auto"/>
        </w:rPr>
        <w:t>The following table disaggregates revenue for the Company’s cemetery and mortuary contracts for the periods presented: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120" w:type="dxa"/>
            <w:vAlign w:val="bottom"/>
            <w:gridSpan w:val="4"/>
          </w:tcPr>
          <w:p>
            <w:pPr>
              <w:ind w:left="100"/>
              <w:spacing w:after="0"/>
              <w:rPr>
                <w:sz w:val="20"/>
                <w:szCs w:val="20"/>
                <w:color w:val="auto"/>
              </w:rPr>
            </w:pPr>
            <w:r>
              <w:rPr>
                <w:rFonts w:ascii="Arial" w:cs="Arial" w:eastAsia="Arial" w:hAnsi="Arial"/>
                <w:sz w:val="17"/>
                <w:szCs w:val="17"/>
                <w:color w:val="auto"/>
              </w:rPr>
              <w:t>Three Months Ended</w:t>
            </w:r>
          </w:p>
        </w:tc>
      </w:tr>
      <w:tr>
        <w:trPr>
          <w:trHeight w:val="221"/>
        </w:trPr>
        <w:tc>
          <w:tcPr>
            <w:tcW w:w="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ind w:left="520"/>
              <w:spacing w:after="0"/>
              <w:rPr>
                <w:sz w:val="20"/>
                <w:szCs w:val="20"/>
                <w:color w:val="auto"/>
              </w:rPr>
            </w:pPr>
            <w:r>
              <w:rPr>
                <w:rFonts w:ascii="Arial" w:cs="Arial" w:eastAsia="Arial" w:hAnsi="Arial"/>
                <w:sz w:val="17"/>
                <w:szCs w:val="17"/>
                <w:color w:val="auto"/>
                <w:w w:val="98"/>
              </w:rPr>
              <w:t>March 31</w:t>
            </w:r>
          </w:p>
        </w:tc>
        <w:tc>
          <w:tcPr>
            <w:tcW w:w="880" w:type="dxa"/>
            <w:vAlign w:val="bottom"/>
            <w:tcBorders>
              <w:bottom w:val="single" w:sz="8" w:color="auto"/>
            </w:tcBorders>
          </w:tcPr>
          <w:p>
            <w:pPr>
              <w:spacing w:after="0"/>
              <w:rPr>
                <w:sz w:val="19"/>
                <w:szCs w:val="19"/>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2020</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2019</w:t>
            </w:r>
          </w:p>
        </w:tc>
      </w:tr>
      <w:tr>
        <w:trPr>
          <w:trHeight w:val="193"/>
        </w:trPr>
        <w:tc>
          <w:tcPr>
            <w:tcW w:w="3400" w:type="dxa"/>
            <w:vAlign w:val="bottom"/>
            <w:gridSpan w:val="4"/>
            <w:shd w:val="clear" w:color="auto" w:fill="CCEEFF"/>
          </w:tcPr>
          <w:p>
            <w:pPr>
              <w:ind w:left="20"/>
              <w:spacing w:after="0" w:line="194" w:lineRule="exact"/>
              <w:rPr>
                <w:sz w:val="20"/>
                <w:szCs w:val="20"/>
                <w:color w:val="auto"/>
              </w:rPr>
            </w:pPr>
            <w:r>
              <w:rPr>
                <w:rFonts w:ascii="Arial" w:cs="Arial" w:eastAsia="Arial" w:hAnsi="Arial"/>
                <w:sz w:val="17"/>
                <w:szCs w:val="17"/>
                <w:b w:val="1"/>
                <w:bCs w:val="1"/>
                <w:color w:val="auto"/>
              </w:rPr>
              <w:t>Major goods/service lines</w:t>
            </w: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3"/>
        </w:trPr>
        <w:tc>
          <w:tcPr>
            <w:tcW w:w="20" w:type="dxa"/>
            <w:vAlign w:val="bottom"/>
            <w:shd w:val="clear" w:color="auto" w:fill="CCEEFF"/>
          </w:tcPr>
          <w:p>
            <w:pPr>
              <w:spacing w:after="0"/>
              <w:rPr>
                <w:sz w:val="2"/>
                <w:szCs w:val="2"/>
                <w:color w:val="auto"/>
              </w:rPr>
            </w:pPr>
          </w:p>
        </w:tc>
        <w:tc>
          <w:tcPr>
            <w:tcW w:w="1860" w:type="dxa"/>
            <w:vAlign w:val="bottom"/>
            <w:shd w:val="clear" w:color="auto" w:fill="000000"/>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r>
        <w:trPr>
          <w:trHeight w:val="219"/>
        </w:trPr>
        <w:tc>
          <w:tcPr>
            <w:tcW w:w="3400" w:type="dxa"/>
            <w:vAlign w:val="bottom"/>
            <w:gridSpan w:val="4"/>
          </w:tcPr>
          <w:p>
            <w:pPr>
              <w:ind w:left="20"/>
              <w:spacing w:after="0"/>
              <w:rPr>
                <w:sz w:val="20"/>
                <w:szCs w:val="20"/>
                <w:color w:val="auto"/>
              </w:rPr>
            </w:pPr>
            <w:r>
              <w:rPr>
                <w:rFonts w:ascii="Arial" w:cs="Arial" w:eastAsia="Arial" w:hAnsi="Arial"/>
                <w:sz w:val="17"/>
                <w:szCs w:val="17"/>
                <w:color w:val="auto"/>
              </w:rPr>
              <w:t>At-need</w:t>
            </w: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ind w:left="80"/>
              <w:spacing w:after="0"/>
              <w:rPr>
                <w:sz w:val="20"/>
                <w:szCs w:val="20"/>
                <w:color w:val="auto"/>
              </w:rPr>
            </w:pPr>
            <w:r>
              <w:rPr>
                <w:rFonts w:ascii="Arial" w:cs="Arial" w:eastAsia="Arial" w:hAnsi="Arial"/>
                <w:sz w:val="17"/>
                <w:szCs w:val="17"/>
                <w:color w:val="auto"/>
                <w:w w:val="89"/>
              </w:rPr>
              <w:t>3,385,191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w w:val="95"/>
              </w:rPr>
              <w:t>$ 2,969,067</w:t>
            </w:r>
          </w:p>
        </w:tc>
      </w:tr>
      <w:tr>
        <w:trPr>
          <w:trHeight w:val="222"/>
        </w:trPr>
        <w:tc>
          <w:tcPr>
            <w:tcW w:w="340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Pre-need</w:t>
            </w: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w w:val="89"/>
              </w:rPr>
              <w:t>1,072,900</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709,561</w:t>
            </w:r>
          </w:p>
        </w:tc>
      </w:tr>
      <w:tr>
        <w:trPr>
          <w:trHeight w:val="254"/>
        </w:trPr>
        <w:tc>
          <w:tcPr>
            <w:tcW w:w="20" w:type="dxa"/>
            <w:vAlign w:val="bottom"/>
            <w:tcBorders>
              <w:bottom w:val="single" w:sz="8" w:color="CCEEFF"/>
            </w:tcBorders>
          </w:tcPr>
          <w:p>
            <w:pPr>
              <w:spacing w:after="0"/>
              <w:rPr>
                <w:sz w:val="22"/>
                <w:szCs w:val="22"/>
                <w:color w:val="auto"/>
              </w:rPr>
            </w:pPr>
          </w:p>
        </w:tc>
        <w:tc>
          <w:tcPr>
            <w:tcW w:w="1860" w:type="dxa"/>
            <w:vAlign w:val="bottom"/>
            <w:tcBorders>
              <w:bottom w:val="single" w:sz="8" w:color="CCEEFF"/>
            </w:tcBorders>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w w:val="89"/>
              </w:rPr>
              <w:t>4,458,091</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$ 3,678,628</w:t>
            </w:r>
          </w:p>
        </w:tc>
      </w:tr>
      <w:tr>
        <w:trPr>
          <w:trHeight w:val="188"/>
        </w:trPr>
        <w:tc>
          <w:tcPr>
            <w:tcW w:w="2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99"/>
        </w:trPr>
        <w:tc>
          <w:tcPr>
            <w:tcW w:w="3400" w:type="dxa"/>
            <w:vAlign w:val="bottom"/>
            <w:gridSpan w:val="4"/>
          </w:tcPr>
          <w:p>
            <w:pPr>
              <w:ind w:left="20"/>
              <w:spacing w:after="0"/>
              <w:rPr>
                <w:sz w:val="20"/>
                <w:szCs w:val="20"/>
                <w:color w:val="auto"/>
              </w:rPr>
            </w:pPr>
            <w:r>
              <w:rPr>
                <w:rFonts w:ascii="Arial" w:cs="Arial" w:eastAsia="Arial" w:hAnsi="Arial"/>
                <w:sz w:val="17"/>
                <w:szCs w:val="17"/>
                <w:b w:val="1"/>
                <w:bCs w:val="1"/>
                <w:color w:val="auto"/>
              </w:rPr>
              <w:t>Timing of Revenue Recognition</w:t>
            </w: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
        </w:trPr>
        <w:tc>
          <w:tcPr>
            <w:tcW w:w="20" w:type="dxa"/>
            <w:vAlign w:val="bottom"/>
          </w:tcPr>
          <w:p>
            <w:pPr>
              <w:spacing w:after="0"/>
              <w:rPr>
                <w:sz w:val="2"/>
                <w:szCs w:val="2"/>
                <w:color w:val="auto"/>
              </w:rPr>
            </w:pPr>
          </w:p>
        </w:tc>
        <w:tc>
          <w:tcPr>
            <w:tcW w:w="18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2"/>
        </w:trPr>
        <w:tc>
          <w:tcPr>
            <w:tcW w:w="340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Goods transferred at a point in time</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ind w:left="80"/>
              <w:spacing w:after="0"/>
              <w:rPr>
                <w:sz w:val="20"/>
                <w:szCs w:val="20"/>
                <w:color w:val="auto"/>
              </w:rPr>
            </w:pPr>
            <w:r>
              <w:rPr>
                <w:rFonts w:ascii="Arial" w:cs="Arial" w:eastAsia="Arial" w:hAnsi="Arial"/>
                <w:sz w:val="17"/>
                <w:szCs w:val="17"/>
                <w:color w:val="auto"/>
                <w:w w:val="89"/>
              </w:rPr>
              <w:t>2,993,704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$ 2,390,609</w:t>
            </w:r>
          </w:p>
        </w:tc>
      </w:tr>
      <w:tr>
        <w:trPr>
          <w:trHeight w:val="219"/>
        </w:trPr>
        <w:tc>
          <w:tcPr>
            <w:tcW w:w="3400" w:type="dxa"/>
            <w:vAlign w:val="bottom"/>
            <w:tcBorders>
              <w:bottom w:val="single" w:sz="8" w:color="CCEEFF"/>
            </w:tcBorders>
            <w:gridSpan w:val="4"/>
          </w:tcPr>
          <w:p>
            <w:pPr>
              <w:ind w:left="20"/>
              <w:spacing w:after="0"/>
              <w:rPr>
                <w:sz w:val="20"/>
                <w:szCs w:val="20"/>
                <w:color w:val="auto"/>
              </w:rPr>
            </w:pPr>
            <w:r>
              <w:rPr>
                <w:rFonts w:ascii="Arial" w:cs="Arial" w:eastAsia="Arial" w:hAnsi="Arial"/>
                <w:sz w:val="17"/>
                <w:szCs w:val="17"/>
                <w:color w:val="auto"/>
              </w:rPr>
              <w:t>Services transferred at a point in time</w:t>
            </w: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w w:val="89"/>
              </w:rPr>
              <w:t>1,464,387</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1,288,019</w:t>
            </w:r>
          </w:p>
        </w:tc>
      </w:tr>
      <w:tr>
        <w:trPr>
          <w:trHeight w:val="214"/>
        </w:trPr>
        <w:tc>
          <w:tcPr>
            <w:tcW w:w="2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w w:val="89"/>
              </w:rPr>
              <w:t>4,458,091</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$ 3,678,628</w:t>
            </w: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519"/>
        <w:spacing w:after="0" w:line="270" w:lineRule="auto"/>
        <w:rPr>
          <w:sz w:val="20"/>
          <w:szCs w:val="20"/>
          <w:color w:val="auto"/>
        </w:rPr>
      </w:pPr>
      <w:r>
        <w:rPr>
          <w:rFonts w:ascii="Arial" w:cs="Arial" w:eastAsia="Arial" w:hAnsi="Arial"/>
          <w:sz w:val="17"/>
          <w:szCs w:val="17"/>
          <w:color w:val="auto"/>
        </w:rPr>
        <w:t>The following table reconciles revenues from cemetery and mortuary contracts to Note 7 – Business Segment Information for the Cemetery/Mortuary Segment for the periods presented:</w:t>
      </w:r>
    </w:p>
    <w:p>
      <w:pPr>
        <w:spacing w:after="0" w:line="168"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Three Months Ended</w:t>
      </w:r>
    </w:p>
    <w:p>
      <w:pPr>
        <w:spacing w:after="0" w:line="17" w:lineRule="exact"/>
        <w:rPr>
          <w:sz w:val="20"/>
          <w:szCs w:val="20"/>
          <w:color w:val="auto"/>
        </w:rPr>
      </w:pPr>
    </w:p>
    <w:p>
      <w:pPr>
        <w:ind w:left="4540"/>
        <w:spacing w:after="0"/>
        <w:rPr>
          <w:sz w:val="20"/>
          <w:szCs w:val="20"/>
          <w:color w:val="auto"/>
        </w:rPr>
      </w:pPr>
      <w:r>
        <w:rPr>
          <w:rFonts w:ascii="Arial" w:cs="Arial" w:eastAsia="Arial" w:hAnsi="Arial"/>
          <w:sz w:val="17"/>
          <w:szCs w:val="17"/>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4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7"/>
                <w:szCs w:val="17"/>
                <w:color w:val="auto"/>
              </w:rPr>
              <w:t>2020</w:t>
            </w:r>
          </w:p>
        </w:tc>
        <w:tc>
          <w:tcPr>
            <w:tcW w:w="220" w:type="dxa"/>
            <w:vAlign w:val="bottom"/>
            <w:tcBorders>
              <w:top w:val="single" w:sz="8" w:color="auto"/>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7"/>
                <w:szCs w:val="17"/>
                <w:color w:val="auto"/>
              </w:rPr>
              <w:t>2019</w:t>
            </w:r>
          </w:p>
        </w:tc>
        <w:tc>
          <w:tcPr>
            <w:tcW w:w="1760" w:type="dxa"/>
            <w:vAlign w:val="bottom"/>
          </w:tcPr>
          <w:p>
            <w:pPr>
              <w:spacing w:after="0"/>
              <w:rPr>
                <w:sz w:val="19"/>
                <w:szCs w:val="19"/>
                <w:color w:val="auto"/>
              </w:rPr>
            </w:pPr>
          </w:p>
        </w:tc>
      </w:tr>
      <w:tr>
        <w:trPr>
          <w:trHeight w:val="217"/>
        </w:trPr>
        <w:tc>
          <w:tcPr>
            <w:tcW w:w="3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mortuary and cemetery sales</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$ 4,458,091</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$ 3,678,628</w:t>
            </w:r>
          </w:p>
        </w:tc>
        <w:tc>
          <w:tcPr>
            <w:tcW w:w="1760" w:type="dxa"/>
            <w:vAlign w:val="bottom"/>
          </w:tcPr>
          <w:p>
            <w:pPr>
              <w:spacing w:after="0"/>
              <w:rPr>
                <w:sz w:val="18"/>
                <w:szCs w:val="18"/>
                <w:color w:val="auto"/>
              </w:rPr>
            </w:pPr>
          </w:p>
        </w:tc>
      </w:tr>
      <w:tr>
        <w:trPr>
          <w:trHeight w:val="219"/>
        </w:trPr>
        <w:tc>
          <w:tcPr>
            <w:tcW w:w="3640" w:type="dxa"/>
            <w:vAlign w:val="bottom"/>
          </w:tcPr>
          <w:p>
            <w:pPr>
              <w:ind w:left="20"/>
              <w:spacing w:after="0"/>
              <w:rPr>
                <w:sz w:val="20"/>
                <w:szCs w:val="20"/>
                <w:color w:val="auto"/>
              </w:rPr>
            </w:pPr>
            <w:r>
              <w:rPr>
                <w:rFonts w:ascii="Arial" w:cs="Arial" w:eastAsia="Arial" w:hAnsi="Arial"/>
                <w:sz w:val="17"/>
                <w:szCs w:val="17"/>
                <w:color w:val="auto"/>
              </w:rPr>
              <w:t>Gains (losses) on investments and other assets</w:t>
            </w:r>
          </w:p>
        </w:tc>
        <w:tc>
          <w:tcPr>
            <w:tcW w:w="1080" w:type="dxa"/>
            <w:vAlign w:val="bottom"/>
          </w:tcPr>
          <w:p>
            <w:pPr>
              <w:jc w:val="right"/>
              <w:spacing w:after="0"/>
              <w:rPr>
                <w:sz w:val="20"/>
                <w:szCs w:val="20"/>
                <w:color w:val="auto"/>
              </w:rPr>
            </w:pPr>
            <w:r>
              <w:rPr>
                <w:rFonts w:ascii="Arial" w:cs="Arial" w:eastAsia="Arial" w:hAnsi="Arial"/>
                <w:sz w:val="17"/>
                <w:szCs w:val="17"/>
                <w:color w:val="auto"/>
              </w:rPr>
              <w:t>(660,123)</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498,597</w:t>
            </w:r>
          </w:p>
        </w:tc>
        <w:tc>
          <w:tcPr>
            <w:tcW w:w="1760" w:type="dxa"/>
            <w:vAlign w:val="bottom"/>
          </w:tcPr>
          <w:p>
            <w:pPr>
              <w:spacing w:after="0"/>
              <w:rPr>
                <w:sz w:val="19"/>
                <w:szCs w:val="19"/>
                <w:color w:val="auto"/>
              </w:rPr>
            </w:pPr>
          </w:p>
        </w:tc>
      </w:tr>
      <w:tr>
        <w:trPr>
          <w:trHeight w:val="225"/>
        </w:trPr>
        <w:tc>
          <w:tcPr>
            <w:tcW w:w="3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investment income</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204,846</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112,809</w:t>
            </w:r>
          </w:p>
        </w:tc>
        <w:tc>
          <w:tcPr>
            <w:tcW w:w="1760" w:type="dxa"/>
            <w:vAlign w:val="bottom"/>
          </w:tcPr>
          <w:p>
            <w:pPr>
              <w:spacing w:after="0"/>
              <w:rPr>
                <w:sz w:val="19"/>
                <w:szCs w:val="19"/>
                <w:color w:val="auto"/>
              </w:rPr>
            </w:pPr>
          </w:p>
        </w:tc>
      </w:tr>
      <w:tr>
        <w:trPr>
          <w:trHeight w:val="219"/>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revenues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10,882</w:t>
            </w:r>
          </w:p>
        </w:tc>
        <w:tc>
          <w:tcPr>
            <w:tcW w:w="2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69,251</w:t>
            </w:r>
          </w:p>
        </w:tc>
        <w:tc>
          <w:tcPr>
            <w:tcW w:w="1760" w:type="dxa"/>
            <w:vAlign w:val="bottom"/>
          </w:tcPr>
          <w:p>
            <w:pPr>
              <w:spacing w:after="0"/>
              <w:rPr>
                <w:sz w:val="19"/>
                <w:szCs w:val="19"/>
                <w:color w:val="auto"/>
              </w:rPr>
            </w:pPr>
          </w:p>
        </w:tc>
      </w:tr>
      <w:tr>
        <w:trPr>
          <w:trHeight w:val="217"/>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Revenues from external customers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4,013,696</w:t>
            </w: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4,359,285</w:t>
            </w:r>
          </w:p>
        </w:tc>
        <w:tc>
          <w:tcPr>
            <w:tcW w:w="1760" w:type="dxa"/>
            <w:vAlign w:val="bottom"/>
          </w:tcPr>
          <w:p>
            <w:pPr>
              <w:spacing w:after="0"/>
              <w:rPr>
                <w:sz w:val="18"/>
                <w:szCs w:val="18"/>
                <w:color w:val="auto"/>
              </w:rPr>
            </w:pPr>
          </w:p>
        </w:tc>
      </w:tr>
      <w:tr>
        <w:trPr>
          <w:trHeight w:val="20"/>
        </w:trPr>
        <w:tc>
          <w:tcPr>
            <w:tcW w:w="36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388"/>
        </w:trPr>
        <w:tc>
          <w:tcPr>
            <w:tcW w:w="3640" w:type="dxa"/>
            <w:vAlign w:val="bottom"/>
          </w:tcPr>
          <w:p>
            <w:pPr>
              <w:spacing w:after="0"/>
              <w:rPr>
                <w:sz w:val="24"/>
                <w:szCs w:val="24"/>
                <w:color w:val="auto"/>
              </w:rPr>
            </w:pPr>
          </w:p>
        </w:tc>
        <w:tc>
          <w:tcPr>
            <w:tcW w:w="1080" w:type="dxa"/>
            <w:vAlign w:val="bottom"/>
          </w:tcPr>
          <w:p>
            <w:pPr>
              <w:jc w:val="right"/>
              <w:ind w:right="614"/>
              <w:spacing w:after="0"/>
              <w:rPr>
                <w:sz w:val="20"/>
                <w:szCs w:val="20"/>
                <w:color w:val="auto"/>
              </w:rPr>
            </w:pPr>
            <w:r>
              <w:rPr>
                <w:rFonts w:ascii="Arial" w:cs="Arial" w:eastAsia="Arial" w:hAnsi="Arial"/>
                <w:sz w:val="17"/>
                <w:szCs w:val="17"/>
                <w:color w:val="auto"/>
              </w:rPr>
              <w:t>49</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52"/>
        </w:trPr>
        <w:tc>
          <w:tcPr>
            <w:tcW w:w="3640" w:type="dxa"/>
            <w:vAlign w:val="bottom"/>
            <w:tcBorders>
              <w:bottom w:val="single" w:sz="8" w:color="909090"/>
            </w:tcBorders>
          </w:tcPr>
          <w:p>
            <w:pPr>
              <w:spacing w:after="0"/>
              <w:rPr>
                <w:sz w:val="13"/>
                <w:szCs w:val="13"/>
                <w:color w:val="auto"/>
              </w:rPr>
            </w:pPr>
          </w:p>
        </w:tc>
        <w:tc>
          <w:tcPr>
            <w:tcW w:w="1080" w:type="dxa"/>
            <w:vAlign w:val="bottom"/>
            <w:tcBorders>
              <w:bottom w:val="single" w:sz="8" w:color="909090"/>
            </w:tcBorders>
          </w:tcPr>
          <w:p>
            <w:pPr>
              <w:spacing w:after="0"/>
              <w:rPr>
                <w:sz w:val="13"/>
                <w:szCs w:val="13"/>
                <w:color w:val="auto"/>
              </w:rPr>
            </w:pPr>
          </w:p>
        </w:tc>
        <w:tc>
          <w:tcPr>
            <w:tcW w:w="220" w:type="dxa"/>
            <w:vAlign w:val="bottom"/>
            <w:tcBorders>
              <w:bottom w:val="single" w:sz="8" w:color="909090"/>
            </w:tcBorders>
          </w:tcPr>
          <w:p>
            <w:pPr>
              <w:spacing w:after="0"/>
              <w:rPr>
                <w:sz w:val="13"/>
                <w:szCs w:val="13"/>
                <w:color w:val="auto"/>
              </w:rPr>
            </w:pPr>
          </w:p>
        </w:tc>
        <w:tc>
          <w:tcPr>
            <w:tcW w:w="1160" w:type="dxa"/>
            <w:vAlign w:val="bottom"/>
            <w:tcBorders>
              <w:bottom w:val="single" w:sz="8" w:color="909090"/>
            </w:tcBorders>
          </w:tcPr>
          <w:p>
            <w:pPr>
              <w:spacing w:after="0"/>
              <w:rPr>
                <w:sz w:val="13"/>
                <w:szCs w:val="13"/>
                <w:color w:val="auto"/>
              </w:rPr>
            </w:pPr>
          </w:p>
        </w:tc>
        <w:tc>
          <w:tcPr>
            <w:tcW w:w="1760" w:type="dxa"/>
            <w:vAlign w:val="bottom"/>
            <w:tcBorders>
              <w:bottom w:val="single" w:sz="8" w:color="909090"/>
            </w:tcBorders>
          </w:tcPr>
          <w:p>
            <w:pPr>
              <w:spacing w:after="0"/>
              <w:rPr>
                <w:sz w:val="13"/>
                <w:szCs w:val="13"/>
                <w:color w:val="auto"/>
              </w:rPr>
            </w:pPr>
          </w:p>
        </w:tc>
      </w:tr>
    </w:tbl>
    <w:p>
      <w:pPr>
        <w:sectPr>
          <w:pgSz w:w="11900" w:h="16838" w:orient="portrait"/>
          <w:cols w:equalWidth="0" w:num="1">
            <w:col w:w="9379"/>
          </w:cols>
          <w:pgMar w:left="1080" w:top="124" w:right="1440" w:bottom="1440" w:gutter="0" w:footer="0" w:header="0"/>
        </w:sectPr>
      </w:pPr>
    </w:p>
    <w:bookmarkStart w:id="49" w:name="page50"/>
    <w:bookmarkEnd w:id="49"/>
    <w:p>
      <w:pPr>
        <w:jc w:val="center"/>
        <w:ind w:right="1519"/>
        <w:spacing w:after="0" w:line="257" w:lineRule="auto"/>
        <w:rPr>
          <w:sz w:val="20"/>
          <w:szCs w:val="20"/>
          <w:color w:val="auto"/>
        </w:rPr>
      </w:pPr>
      <w:r>
        <w:rPr>
          <w:rFonts w:ascii="Arial" w:cs="Arial" w:eastAsia="Arial" w:hAnsi="Arial"/>
          <w:sz w:val="17"/>
          <w:szCs w:val="17"/>
          <w:color w:val="auto"/>
        </w:rPr>
        <w:t>SECURITY NATIONAL FINANCIAL CORPORATION AND SUBSIDIARIES Notes to Condensed Consolidated Financial Statements March 31, 2020 (Unaudited)</w:t>
      </w:r>
    </w:p>
    <w:p>
      <w:pPr>
        <w:spacing w:after="0" w:line="192" w:lineRule="exact"/>
        <w:rPr>
          <w:sz w:val="20"/>
          <w:szCs w:val="20"/>
          <w:color w:val="auto"/>
        </w:rPr>
      </w:pPr>
    </w:p>
    <w:p>
      <w:pPr>
        <w:ind w:left="280" w:hanging="275"/>
        <w:spacing w:after="0"/>
        <w:tabs>
          <w:tab w:leader="none" w:pos="280"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Acquisitions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Probst Family Funerals and Cremations and Heber Valley Funeral Home</w:t>
      </w:r>
    </w:p>
    <w:p>
      <w:pPr>
        <w:spacing w:after="0" w:line="208" w:lineRule="exact"/>
        <w:rPr>
          <w:sz w:val="20"/>
          <w:szCs w:val="20"/>
          <w:color w:val="auto"/>
        </w:rPr>
      </w:pPr>
    </w:p>
    <w:p>
      <w:pPr>
        <w:jc w:val="both"/>
        <w:ind w:right="1519"/>
        <w:spacing w:after="0" w:line="273" w:lineRule="auto"/>
        <w:rPr>
          <w:sz w:val="20"/>
          <w:szCs w:val="20"/>
          <w:color w:val="auto"/>
        </w:rPr>
      </w:pPr>
      <w:r>
        <w:rPr>
          <w:rFonts w:ascii="Arial" w:cs="Arial" w:eastAsia="Arial" w:hAnsi="Arial"/>
          <w:sz w:val="16"/>
          <w:szCs w:val="16"/>
          <w:color w:val="auto"/>
        </w:rPr>
        <w:t>On February 15, 2019, the Company, through its wholly-owned subsidiary, Memorial Mortuary Inc., completed an asset purchase transaction with Probst Family Funerals and Cremations, LLC. (“Probst Family Funerals”) and Heber Valley Funeral Home, Inc. (“Heber Valley Funeral Home”). These funeral homes are both located in Heber Valley, a community situated about 45 miles southeast of Salt Lake City.</w:t>
      </w:r>
    </w:p>
    <w:p>
      <w:pPr>
        <w:spacing w:after="0" w:line="157" w:lineRule="exact"/>
        <w:rPr>
          <w:sz w:val="20"/>
          <w:szCs w:val="20"/>
          <w:color w:val="auto"/>
        </w:rPr>
      </w:pPr>
    </w:p>
    <w:p>
      <w:pPr>
        <w:jc w:val="both"/>
        <w:ind w:right="1519"/>
        <w:spacing w:after="0" w:line="252" w:lineRule="auto"/>
        <w:rPr>
          <w:sz w:val="20"/>
          <w:szCs w:val="20"/>
          <w:color w:val="auto"/>
        </w:rPr>
      </w:pPr>
      <w:r>
        <w:rPr>
          <w:rFonts w:ascii="Arial" w:cs="Arial" w:eastAsia="Arial" w:hAnsi="Arial"/>
          <w:sz w:val="17"/>
          <w:szCs w:val="17"/>
          <w:color w:val="auto"/>
        </w:rPr>
        <w:t>Under the terms of the transaction, as set forth in the Asset Purchase Agreement, dated February 15, 2019, Memorial Mortuary Inc. paid a net purchase price of $3,315,647 for the business and assets of Probst Family Funerals and Heber Valley Funeral Home, subject to a $150,000 holdback. In August 2019, this escrow account was settled and $137,550 was paid to the prior owners.</w:t>
      </w:r>
    </w:p>
    <w:p>
      <w:pPr>
        <w:spacing w:after="0" w:line="173" w:lineRule="exact"/>
        <w:rPr>
          <w:sz w:val="20"/>
          <w:szCs w:val="20"/>
          <w:color w:val="auto"/>
        </w:rPr>
      </w:pPr>
    </w:p>
    <w:p>
      <w:pPr>
        <w:jc w:val="both"/>
        <w:ind w:right="1519"/>
        <w:spacing w:after="0" w:line="270" w:lineRule="auto"/>
        <w:rPr>
          <w:sz w:val="20"/>
          <w:szCs w:val="20"/>
          <w:color w:val="auto"/>
        </w:rPr>
      </w:pPr>
      <w:r>
        <w:rPr>
          <w:rFonts w:ascii="Arial" w:cs="Arial" w:eastAsia="Arial" w:hAnsi="Arial"/>
          <w:sz w:val="17"/>
          <w:szCs w:val="17"/>
          <w:color w:val="auto"/>
        </w:rPr>
        <w:t>The estimated fair values of the assets acquired and liabilities assumed as of the date of acquisition were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53,859</w:t>
            </w:r>
          </w:p>
        </w:tc>
        <w:tc>
          <w:tcPr>
            <w:tcW w:w="2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80" w:type="dxa"/>
            <w:vAlign w:val="bottom"/>
          </w:tcPr>
          <w:p>
            <w:pPr>
              <w:ind w:left="20"/>
              <w:spacing w:after="0"/>
              <w:rPr>
                <w:sz w:val="20"/>
                <w:szCs w:val="20"/>
                <w:color w:val="auto"/>
              </w:rPr>
            </w:pPr>
            <w:r>
              <w:rPr>
                <w:rFonts w:ascii="Arial" w:cs="Arial" w:eastAsia="Arial" w:hAnsi="Arial"/>
                <w:sz w:val="17"/>
                <w:szCs w:val="17"/>
                <w:color w:val="auto"/>
              </w:rPr>
              <w:t>Property and equipment</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2,475,526</w:t>
            </w:r>
          </w:p>
        </w:tc>
        <w:tc>
          <w:tcPr>
            <w:tcW w:w="2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Receivables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13,620</w:t>
            </w:r>
          </w:p>
        </w:tc>
        <w:tc>
          <w:tcPr>
            <w:tcW w:w="2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80" w:type="dxa"/>
            <w:vAlign w:val="bottom"/>
          </w:tcPr>
          <w:p>
            <w:pPr>
              <w:ind w:left="20"/>
              <w:spacing w:after="0"/>
              <w:rPr>
                <w:sz w:val="20"/>
                <w:szCs w:val="20"/>
                <w:color w:val="auto"/>
              </w:rPr>
            </w:pPr>
            <w:r>
              <w:rPr>
                <w:rFonts w:ascii="Arial" w:cs="Arial" w:eastAsia="Arial" w:hAnsi="Arial"/>
                <w:sz w:val="17"/>
                <w:szCs w:val="17"/>
                <w:color w:val="auto"/>
              </w:rPr>
              <w:t>Goodwill</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754,018</w:t>
            </w:r>
          </w:p>
        </w:tc>
        <w:tc>
          <w:tcPr>
            <w:tcW w:w="2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21,800</w:t>
            </w:r>
          </w:p>
        </w:tc>
        <w:tc>
          <w:tcPr>
            <w:tcW w:w="2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assets acquired</w:t>
            </w:r>
          </w:p>
        </w:tc>
        <w:tc>
          <w:tcPr>
            <w:tcW w:w="56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3,318,823</w:t>
            </w: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680" w:type="dxa"/>
            <w:vAlign w:val="bottom"/>
          </w:tcPr>
          <w:p>
            <w:pPr>
              <w:ind w:left="20"/>
              <w:spacing w:after="0"/>
              <w:rPr>
                <w:sz w:val="20"/>
                <w:szCs w:val="20"/>
                <w:color w:val="auto"/>
              </w:rPr>
            </w:pPr>
            <w:r>
              <w:rPr>
                <w:rFonts w:ascii="Arial" w:cs="Arial" w:eastAsia="Arial" w:hAnsi="Arial"/>
                <w:sz w:val="17"/>
                <w:szCs w:val="17"/>
                <w:color w:val="auto"/>
              </w:rPr>
              <w:t>Bank and other loans payable</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(3,176)</w:t>
            </w:r>
          </w:p>
        </w:tc>
        <w:tc>
          <w:tcPr>
            <w:tcW w:w="2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liabilities assumed</w:t>
            </w:r>
          </w:p>
        </w:tc>
        <w:tc>
          <w:tcPr>
            <w:tcW w:w="5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(3,176)</w:t>
            </w: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80" w:type="dxa"/>
            <w:vAlign w:val="bottom"/>
          </w:tcPr>
          <w:p>
            <w:pPr>
              <w:ind w:left="20"/>
              <w:spacing w:after="0"/>
              <w:rPr>
                <w:sz w:val="20"/>
                <w:szCs w:val="20"/>
                <w:color w:val="auto"/>
              </w:rPr>
            </w:pPr>
            <w:r>
              <w:rPr>
                <w:rFonts w:ascii="Arial" w:cs="Arial" w:eastAsia="Arial" w:hAnsi="Arial"/>
                <w:sz w:val="17"/>
                <w:szCs w:val="17"/>
                <w:color w:val="auto"/>
                <w:w w:val="93"/>
              </w:rPr>
              <w:t>Fair value of net assets acquired/consideration paid</w:t>
            </w:r>
          </w:p>
        </w:tc>
        <w:tc>
          <w:tcPr>
            <w:tcW w:w="56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$ 3,315,647</w:t>
            </w: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560" w:type="dxa"/>
            <w:vAlign w:val="bottom"/>
            <w:vMerge w:val="restart"/>
          </w:tcPr>
          <w:p>
            <w:pPr>
              <w:jc w:val="right"/>
              <w:ind w:right="134"/>
              <w:spacing w:after="0"/>
              <w:rPr>
                <w:sz w:val="20"/>
                <w:szCs w:val="20"/>
                <w:color w:val="auto"/>
              </w:rPr>
            </w:pPr>
            <w:r>
              <w:rPr>
                <w:rFonts w:ascii="Arial" w:cs="Arial" w:eastAsia="Arial" w:hAnsi="Arial"/>
                <w:sz w:val="17"/>
                <w:szCs w:val="17"/>
                <w:color w:val="auto"/>
              </w:rPr>
              <w:t>50</w:t>
            </w:r>
          </w:p>
        </w:tc>
        <w:tc>
          <w:tcPr>
            <w:tcW w:w="1080" w:type="dxa"/>
            <w:vAlign w:val="bottom"/>
            <w:tcBorders>
              <w:bottom w:val="single" w:sz="8" w:color="auto"/>
            </w:tcBorders>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368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680" w:type="dxa"/>
            <w:vAlign w:val="bottom"/>
            <w:tcBorders>
              <w:bottom w:val="single" w:sz="8" w:color="909090"/>
            </w:tcBorders>
          </w:tcPr>
          <w:p>
            <w:pPr>
              <w:spacing w:after="0"/>
              <w:rPr>
                <w:sz w:val="13"/>
                <w:szCs w:val="13"/>
                <w:color w:val="auto"/>
              </w:rPr>
            </w:pPr>
          </w:p>
        </w:tc>
        <w:tc>
          <w:tcPr>
            <w:tcW w:w="560" w:type="dxa"/>
            <w:vAlign w:val="bottom"/>
            <w:tcBorders>
              <w:bottom w:val="single" w:sz="8" w:color="909090"/>
            </w:tcBorders>
          </w:tcPr>
          <w:p>
            <w:pPr>
              <w:spacing w:after="0"/>
              <w:rPr>
                <w:sz w:val="13"/>
                <w:szCs w:val="13"/>
                <w:color w:val="auto"/>
              </w:rPr>
            </w:pPr>
          </w:p>
        </w:tc>
        <w:tc>
          <w:tcPr>
            <w:tcW w:w="1080" w:type="dxa"/>
            <w:vAlign w:val="bottom"/>
            <w:tcBorders>
              <w:bottom w:val="single" w:sz="8" w:color="909090"/>
            </w:tcBorders>
          </w:tcPr>
          <w:p>
            <w:pPr>
              <w:spacing w:after="0"/>
              <w:rPr>
                <w:sz w:val="13"/>
                <w:szCs w:val="13"/>
                <w:color w:val="auto"/>
              </w:rPr>
            </w:pPr>
          </w:p>
        </w:tc>
        <w:tc>
          <w:tcPr>
            <w:tcW w:w="2540" w:type="dxa"/>
            <w:vAlign w:val="bottom"/>
            <w:tcBorders>
              <w:bottom w:val="single" w:sz="8" w:color="909090"/>
            </w:tcBorders>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379"/>
          </w:cols>
          <w:pgMar w:left="1080" w:top="124" w:right="1440" w:bottom="1440" w:gutter="0" w:footer="0" w:header="0"/>
        </w:sectPr>
      </w:pPr>
    </w:p>
    <w:bookmarkStart w:id="50" w:name="page51"/>
    <w:bookmarkEnd w:id="50"/>
    <w:p>
      <w:pPr>
        <w:jc w:val="center"/>
        <w:ind w:right="1519"/>
        <w:spacing w:after="0" w:line="257" w:lineRule="auto"/>
        <w:rPr>
          <w:sz w:val="20"/>
          <w:szCs w:val="20"/>
          <w:color w:val="auto"/>
        </w:rPr>
      </w:pPr>
      <w:r>
        <w:rPr>
          <w:rFonts w:ascii="Arial" w:cs="Arial" w:eastAsia="Arial" w:hAnsi="Arial"/>
          <w:sz w:val="17"/>
          <w:szCs w:val="17"/>
          <w:color w:val="auto"/>
        </w:rPr>
        <w:t>SECURITY NATIONAL FINANCIAL CORPORATION AND SUBSIDIARIES Notes to Condensed Consolidated Financial Statements March 31, 2020 (Unaudited)</w:t>
      </w:r>
    </w:p>
    <w:p>
      <w:pPr>
        <w:spacing w:after="0" w:line="75" w:lineRule="exact"/>
        <w:rPr>
          <w:sz w:val="20"/>
          <w:szCs w:val="20"/>
          <w:color w:val="auto"/>
        </w:rPr>
      </w:pPr>
    </w:p>
    <w:p>
      <w:pPr>
        <w:ind w:left="280" w:hanging="275"/>
        <w:spacing w:after="0"/>
        <w:tabs>
          <w:tab w:leader="none" w:pos="280"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Acquisitions</w:t>
      </w:r>
      <w:r>
        <w:rPr>
          <w:rFonts w:ascii="Arial" w:cs="Arial" w:eastAsia="Arial" w:hAnsi="Arial"/>
          <w:sz w:val="17"/>
          <w:szCs w:val="17"/>
          <w:color w:val="auto"/>
        </w:rPr>
        <w:t xml:space="preserve"> (Continued)</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Kilpatrick Life Insurance Company</w:t>
      </w:r>
    </w:p>
    <w:p>
      <w:pPr>
        <w:spacing w:after="0" w:line="115" w:lineRule="exact"/>
        <w:rPr>
          <w:sz w:val="20"/>
          <w:szCs w:val="20"/>
          <w:color w:val="auto"/>
        </w:rPr>
      </w:pPr>
    </w:p>
    <w:p>
      <w:pPr>
        <w:jc w:val="both"/>
        <w:ind w:right="1519"/>
        <w:spacing w:after="0" w:line="265" w:lineRule="auto"/>
        <w:rPr>
          <w:sz w:val="20"/>
          <w:szCs w:val="20"/>
          <w:color w:val="auto"/>
        </w:rPr>
      </w:pPr>
      <w:r>
        <w:rPr>
          <w:rFonts w:ascii="Arial" w:cs="Arial" w:eastAsia="Arial" w:hAnsi="Arial"/>
          <w:sz w:val="16"/>
          <w:szCs w:val="16"/>
          <w:color w:val="auto"/>
        </w:rPr>
        <w:t>On December 13, 2019, the Company, through its wholly owned subsidiary, Security National Life Insurance Company (“Security National Life”) completed a stock purchase transaction with Kilpatrick Life Insurance Company, a Louisiana domiciled life insurance company (“Kilpatrick Life”) and its shareholders, which resulted in the purchase of all the outstanding shares of common stock of Kilpatrick Life. The closing of the transaction was subject to approval by the Louisiana Department of Insurance of the change of control of Kilpatrick Life, which was received on December 12, 2019. Under the terms of the transaction, the total Purchase Price that Security National Life paid for all the shares held by the Kilpatrick shareholders was $23,779,940 subject to a $1,400,000 holdback, as agreed with the shareholders.</w:t>
      </w:r>
    </w:p>
    <w:p>
      <w:pPr>
        <w:spacing w:after="0" w:line="164" w:lineRule="exact"/>
        <w:rPr>
          <w:sz w:val="20"/>
          <w:szCs w:val="20"/>
          <w:color w:val="auto"/>
        </w:rPr>
      </w:pPr>
    </w:p>
    <w:p>
      <w:pPr>
        <w:jc w:val="both"/>
        <w:ind w:right="1519"/>
        <w:spacing w:after="0" w:line="202" w:lineRule="exact"/>
        <w:rPr>
          <w:sz w:val="20"/>
          <w:szCs w:val="20"/>
          <w:color w:val="auto"/>
        </w:rPr>
      </w:pPr>
      <w:r>
        <w:rPr>
          <w:rFonts w:ascii="Arial" w:cs="Arial" w:eastAsia="Arial" w:hAnsi="Arial"/>
          <w:sz w:val="17"/>
          <w:szCs w:val="17"/>
          <w:color w:val="auto"/>
        </w:rPr>
        <w:t>Kilpatrick Life has been in operation since 1932 and provides life insurance products and services through insurance plans such as permanent and term life insurance, asset protection plans, graded whole life insurance, and annuities. Additionally, it provides insurance services for emergencies and pre</w:t>
      </w:r>
      <w:r>
        <w:rPr>
          <w:rFonts w:ascii="MS PGothic" w:cs="MS PGothic" w:eastAsia="MS PGothic" w:hAnsi="MS PGothic"/>
          <w:sz w:val="17"/>
          <w:szCs w:val="17"/>
          <w:color w:val="auto"/>
        </w:rPr>
        <w:t>‐</w:t>
      </w:r>
      <w:r>
        <w:rPr>
          <w:rFonts w:ascii="Arial" w:cs="Arial" w:eastAsia="Arial" w:hAnsi="Arial"/>
          <w:sz w:val="17"/>
          <w:szCs w:val="17"/>
          <w:color w:val="auto"/>
        </w:rPr>
        <w:t>arranged funeral services. Kilpatrick Life is based in Shreveport, Louisiana with additional offices in Jena, Alexandria, Minden, and Arcadia, Louisiana.</w:t>
      </w:r>
    </w:p>
    <w:p>
      <w:pPr>
        <w:spacing w:after="0" w:line="183" w:lineRule="exact"/>
        <w:rPr>
          <w:sz w:val="20"/>
          <w:szCs w:val="20"/>
          <w:color w:val="auto"/>
        </w:rPr>
      </w:pPr>
    </w:p>
    <w:p>
      <w:pPr>
        <w:jc w:val="both"/>
        <w:ind w:right="1519"/>
        <w:spacing w:after="0" w:line="252" w:lineRule="auto"/>
        <w:rPr>
          <w:sz w:val="20"/>
          <w:szCs w:val="20"/>
          <w:color w:val="auto"/>
        </w:rPr>
      </w:pPr>
      <w:r>
        <w:rPr>
          <w:rFonts w:ascii="Arial" w:cs="Arial" w:eastAsia="Arial" w:hAnsi="Arial"/>
          <w:sz w:val="17"/>
          <w:szCs w:val="17"/>
          <w:color w:val="auto"/>
        </w:rPr>
        <w:t>Kilpatrick Life employs a staff of almost 120 associates in four offices in Louisiana and is licensed to operate in Louisiana, Texas, Arkansas, Oklahoma, and Mississippi with the home office located in Shreveport, LA. It is the mission of Kilpatrick Life to continue providing the utmost service and protection for its policyholders for generations to come.</w:t>
      </w:r>
    </w:p>
    <w:p>
      <w:pPr>
        <w:spacing w:after="0" w:line="173" w:lineRule="exact"/>
        <w:rPr>
          <w:sz w:val="20"/>
          <w:szCs w:val="20"/>
          <w:color w:val="auto"/>
        </w:rPr>
      </w:pPr>
    </w:p>
    <w:p>
      <w:pPr>
        <w:jc w:val="both"/>
        <w:ind w:right="1519"/>
        <w:spacing w:after="0" w:line="267" w:lineRule="auto"/>
        <w:rPr>
          <w:sz w:val="20"/>
          <w:szCs w:val="20"/>
          <w:color w:val="auto"/>
        </w:rPr>
      </w:pPr>
      <w:r>
        <w:rPr>
          <w:rFonts w:ascii="Arial" w:cs="Arial" w:eastAsia="Arial" w:hAnsi="Arial"/>
          <w:sz w:val="16"/>
          <w:szCs w:val="16"/>
          <w:color w:val="auto"/>
        </w:rPr>
        <w:t>Prior to the stock purchase transaction, Security National life and Kilpatrick Life entered into a coinsurance agreement, effective October 1, 2019. After the effective date, Security National Life, as coinsurer, agreed to be responsible for and was obligated with respect to 100% of the contractual liabilities under the Kilpatrick Life’s life insurance policies in accordance with the terms and conditions of the policies and applicable law. Unless otherwise directed by Security National Life, as coinsurer, Kilpatrick Life continued to administer the policies on behalf of Security National Life, as coinsurer, for the duration of the coinsurance agreement.</w:t>
      </w:r>
    </w:p>
    <w:p>
      <w:pPr>
        <w:spacing w:after="0" w:line="163" w:lineRule="exact"/>
        <w:rPr>
          <w:sz w:val="20"/>
          <w:szCs w:val="20"/>
          <w:color w:val="auto"/>
        </w:rPr>
      </w:pPr>
    </w:p>
    <w:p>
      <w:pPr>
        <w:jc w:val="both"/>
        <w:ind w:right="1519"/>
        <w:spacing w:after="0" w:line="270" w:lineRule="auto"/>
        <w:rPr>
          <w:sz w:val="20"/>
          <w:szCs w:val="20"/>
          <w:color w:val="auto"/>
        </w:rPr>
      </w:pPr>
      <w:r>
        <w:rPr>
          <w:rFonts w:ascii="Arial" w:cs="Arial" w:eastAsia="Arial" w:hAnsi="Arial"/>
          <w:sz w:val="17"/>
          <w:szCs w:val="17"/>
          <w:color w:val="auto"/>
        </w:rPr>
        <w:t>As part of the coinsurance agreement, effective October 1, 2019, Security National Life acquired the following assets and assumed the following contractual liabilities.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investments and policy loans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9,124,459</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20" w:type="dxa"/>
            <w:vAlign w:val="bottom"/>
          </w:tcPr>
          <w:p>
            <w:pPr>
              <w:ind w:left="20"/>
              <w:spacing w:after="0"/>
              <w:rPr>
                <w:sz w:val="20"/>
                <w:szCs w:val="20"/>
                <w:color w:val="auto"/>
              </w:rPr>
            </w:pPr>
            <w:r>
              <w:rPr>
                <w:rFonts w:ascii="Arial" w:cs="Arial" w:eastAsia="Arial" w:hAnsi="Arial"/>
                <w:sz w:val="17"/>
                <w:szCs w:val="17"/>
                <w:color w:val="auto"/>
              </w:rPr>
              <w:t>Real estate held for investment</w:t>
            </w: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2,850,000</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Mortgage loans held for investment</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200,000</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Receivables</w:t>
            </w:r>
          </w:p>
        </w:tc>
        <w:tc>
          <w:tcPr>
            <w:tcW w:w="9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131,258</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assets acquired</w:t>
            </w:r>
          </w:p>
        </w:tc>
        <w:tc>
          <w:tcPr>
            <w:tcW w:w="9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12,305,717</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Future policy benefits and unpaid claims</w:t>
            </w:r>
          </w:p>
        </w:tc>
        <w:tc>
          <w:tcPr>
            <w:tcW w:w="23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(165,404,970)</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liabilities and accrued expenses</w:t>
            </w:r>
          </w:p>
        </w:tc>
        <w:tc>
          <w:tcPr>
            <w:tcW w:w="9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(5,259,341)</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liabilities assumed</w:t>
            </w:r>
          </w:p>
        </w:tc>
        <w:tc>
          <w:tcPr>
            <w:tcW w:w="980" w:type="dxa"/>
            <w:vAlign w:val="bottom"/>
            <w:shd w:val="clear" w:color="auto" w:fill="CCEEFF"/>
          </w:tcPr>
          <w:p>
            <w:pPr>
              <w:spacing w:after="0"/>
              <w:rPr>
                <w:sz w:val="18"/>
                <w:szCs w:val="18"/>
                <w:color w:val="auto"/>
              </w:rPr>
            </w:pP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(170,664,311)</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320" w:type="dxa"/>
            <w:vAlign w:val="bottom"/>
          </w:tcPr>
          <w:p>
            <w:pPr>
              <w:ind w:left="20"/>
              <w:spacing w:after="0"/>
              <w:rPr>
                <w:sz w:val="20"/>
                <w:szCs w:val="20"/>
                <w:color w:val="auto"/>
              </w:rPr>
            </w:pPr>
            <w:r>
              <w:rPr>
                <w:rFonts w:ascii="Arial" w:cs="Arial" w:eastAsia="Arial" w:hAnsi="Arial"/>
                <w:sz w:val="17"/>
                <w:szCs w:val="17"/>
                <w:color w:val="auto"/>
              </w:rPr>
              <w:t>Cash received for reinsurance assumed</w:t>
            </w:r>
          </w:p>
        </w:tc>
        <w:tc>
          <w:tcPr>
            <w:tcW w:w="980" w:type="dxa"/>
            <w:vAlign w:val="bottom"/>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158,358,594</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980" w:type="dxa"/>
            <w:vAlign w:val="bottom"/>
            <w:vMerge w:val="restart"/>
          </w:tcPr>
          <w:p>
            <w:pPr>
              <w:jc w:val="right"/>
              <w:ind w:right="194"/>
              <w:spacing w:after="0"/>
              <w:rPr>
                <w:sz w:val="20"/>
                <w:szCs w:val="20"/>
                <w:color w:val="auto"/>
              </w:rPr>
            </w:pPr>
            <w:r>
              <w:rPr>
                <w:rFonts w:ascii="Arial" w:cs="Arial" w:eastAsia="Arial" w:hAnsi="Arial"/>
                <w:sz w:val="17"/>
                <w:szCs w:val="17"/>
                <w:color w:val="auto"/>
              </w:rPr>
              <w:t>51</w:t>
            </w: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332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320" w:type="dxa"/>
            <w:vAlign w:val="bottom"/>
            <w:tcBorders>
              <w:bottom w:val="single" w:sz="8" w:color="909090"/>
            </w:tcBorders>
          </w:tcPr>
          <w:p>
            <w:pPr>
              <w:spacing w:after="0"/>
              <w:rPr>
                <w:sz w:val="13"/>
                <w:szCs w:val="13"/>
                <w:color w:val="auto"/>
              </w:rPr>
            </w:pPr>
          </w:p>
        </w:tc>
        <w:tc>
          <w:tcPr>
            <w:tcW w:w="980" w:type="dxa"/>
            <w:vAlign w:val="bottom"/>
            <w:tcBorders>
              <w:bottom w:val="single" w:sz="8" w:color="909090"/>
            </w:tcBorders>
          </w:tcPr>
          <w:p>
            <w:pPr>
              <w:spacing w:after="0"/>
              <w:rPr>
                <w:sz w:val="13"/>
                <w:szCs w:val="13"/>
                <w:color w:val="auto"/>
              </w:rPr>
            </w:pPr>
          </w:p>
        </w:tc>
        <w:tc>
          <w:tcPr>
            <w:tcW w:w="480" w:type="dxa"/>
            <w:vAlign w:val="bottom"/>
            <w:tcBorders>
              <w:bottom w:val="single" w:sz="8" w:color="909090"/>
            </w:tcBorders>
          </w:tcPr>
          <w:p>
            <w:pPr>
              <w:spacing w:after="0"/>
              <w:rPr>
                <w:sz w:val="13"/>
                <w:szCs w:val="13"/>
                <w:color w:val="auto"/>
              </w:rPr>
            </w:pPr>
          </w:p>
        </w:tc>
        <w:tc>
          <w:tcPr>
            <w:tcW w:w="900" w:type="dxa"/>
            <w:vAlign w:val="bottom"/>
            <w:tcBorders>
              <w:bottom w:val="single" w:sz="8" w:color="909090"/>
            </w:tcBorders>
          </w:tcPr>
          <w:p>
            <w:pPr>
              <w:spacing w:after="0"/>
              <w:rPr>
                <w:sz w:val="13"/>
                <w:szCs w:val="13"/>
                <w:color w:val="auto"/>
              </w:rPr>
            </w:pPr>
          </w:p>
        </w:tc>
        <w:tc>
          <w:tcPr>
            <w:tcW w:w="2180" w:type="dxa"/>
            <w:vAlign w:val="bottom"/>
            <w:tcBorders>
              <w:bottom w:val="single" w:sz="8" w:color="909090"/>
            </w:tcBorders>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379"/>
          </w:cols>
          <w:pgMar w:left="1080" w:top="124" w:right="1440" w:bottom="1440" w:gutter="0" w:footer="0" w:header="0"/>
        </w:sectPr>
      </w:pPr>
    </w:p>
    <w:bookmarkStart w:id="51" w:name="page52"/>
    <w:bookmarkEnd w:id="51"/>
    <w:p>
      <w:pPr>
        <w:jc w:val="center"/>
        <w:ind w:right="1519"/>
        <w:spacing w:after="0" w:line="257" w:lineRule="auto"/>
        <w:rPr>
          <w:sz w:val="20"/>
          <w:szCs w:val="20"/>
          <w:color w:val="auto"/>
        </w:rPr>
      </w:pPr>
      <w:r>
        <w:rPr>
          <w:rFonts w:ascii="Arial" w:cs="Arial" w:eastAsia="Arial" w:hAnsi="Arial"/>
          <w:sz w:val="17"/>
          <w:szCs w:val="17"/>
          <w:color w:val="auto"/>
        </w:rPr>
        <w:t>SECURITY NATIONAL FINANCIAL CORPORATION AND SUBSIDIARIES Notes to Condensed Consolidated Financial Statements March 31, 2020 (Unaudited)</w:t>
      </w:r>
    </w:p>
    <w:p>
      <w:pPr>
        <w:spacing w:after="0" w:line="75" w:lineRule="exact"/>
        <w:rPr>
          <w:sz w:val="20"/>
          <w:szCs w:val="20"/>
          <w:color w:val="auto"/>
        </w:rPr>
      </w:pPr>
    </w:p>
    <w:p>
      <w:pPr>
        <w:ind w:left="280" w:hanging="275"/>
        <w:spacing w:after="0"/>
        <w:tabs>
          <w:tab w:leader="none" w:pos="280"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Acquisitions</w:t>
      </w:r>
      <w:r>
        <w:rPr>
          <w:rFonts w:ascii="Arial" w:cs="Arial" w:eastAsia="Arial" w:hAnsi="Arial"/>
          <w:sz w:val="17"/>
          <w:szCs w:val="17"/>
          <w:color w:val="auto"/>
        </w:rPr>
        <w:t xml:space="preserve"> (Continued)</w:t>
      </w:r>
    </w:p>
    <w:p>
      <w:pPr>
        <w:spacing w:after="0" w:line="225" w:lineRule="exact"/>
        <w:rPr>
          <w:sz w:val="20"/>
          <w:szCs w:val="20"/>
          <w:color w:val="auto"/>
        </w:rPr>
      </w:pPr>
    </w:p>
    <w:p>
      <w:pPr>
        <w:jc w:val="both"/>
        <w:ind w:right="1519"/>
        <w:spacing w:after="0" w:line="250" w:lineRule="auto"/>
        <w:rPr>
          <w:sz w:val="20"/>
          <w:szCs w:val="20"/>
          <w:color w:val="auto"/>
        </w:rPr>
      </w:pPr>
      <w:r>
        <w:rPr>
          <w:rFonts w:ascii="Arial" w:cs="Arial" w:eastAsia="Arial" w:hAnsi="Arial"/>
          <w:sz w:val="17"/>
          <w:szCs w:val="17"/>
          <w:color w:val="auto"/>
        </w:rPr>
        <w:t>Contemporaneous with the stock purchase transaction, both Kilpatrick Life and Security National Life, as coinsurer, agreed to terminate the coinsurance agreement, to require the recapture of the life insurance policies by Kilpatrick Life and provided notification to the Louisiana Department of Insurance. The final settlement and transfer of the coinsurance trust assets from Security National Life back to Kilpatrick Life occurred shortly thereafter.</w:t>
      </w:r>
    </w:p>
    <w:p>
      <w:pPr>
        <w:spacing w:after="0" w:line="175" w:lineRule="exact"/>
        <w:rPr>
          <w:sz w:val="20"/>
          <w:szCs w:val="20"/>
          <w:color w:val="auto"/>
        </w:rPr>
      </w:pPr>
    </w:p>
    <w:p>
      <w:pPr>
        <w:jc w:val="both"/>
        <w:ind w:right="1519"/>
        <w:spacing w:after="0" w:line="257" w:lineRule="auto"/>
        <w:rPr>
          <w:sz w:val="20"/>
          <w:szCs w:val="20"/>
          <w:color w:val="auto"/>
        </w:rPr>
      </w:pPr>
      <w:r>
        <w:rPr>
          <w:rFonts w:ascii="Arial" w:cs="Arial" w:eastAsia="Arial" w:hAnsi="Arial"/>
          <w:sz w:val="17"/>
          <w:szCs w:val="17"/>
          <w:color w:val="auto"/>
        </w:rPr>
        <w:t>The estimated fair values of the assets acquired and liabilities assumed as of the date of acquisition, on December 13, 2019, are shown in the following table. At the time of acquisition some of these assets and liabilities became intercompany items, and the Company has eliminated them for consolidation.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Fixed maturity securities, available for sale</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22,766,520</w:t>
            </w: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60" w:type="dxa"/>
            <w:vAlign w:val="bottom"/>
          </w:tcPr>
          <w:p>
            <w:pPr>
              <w:ind w:left="20"/>
              <w:spacing w:after="0"/>
              <w:rPr>
                <w:sz w:val="20"/>
                <w:szCs w:val="20"/>
                <w:color w:val="auto"/>
              </w:rPr>
            </w:pPr>
            <w:r>
              <w:rPr>
                <w:rFonts w:ascii="Arial" w:cs="Arial" w:eastAsia="Arial" w:hAnsi="Arial"/>
                <w:sz w:val="17"/>
                <w:szCs w:val="17"/>
                <w:color w:val="auto"/>
              </w:rPr>
              <w:t>Fixed maturity securities, held to maturity</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16,436</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Mortgage loans held for investment</w:t>
            </w: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8,011,660</w:t>
            </w: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60" w:type="dxa"/>
            <w:vAlign w:val="bottom"/>
          </w:tcPr>
          <w:p>
            <w:pPr>
              <w:ind w:left="20"/>
              <w:spacing w:after="0"/>
              <w:rPr>
                <w:sz w:val="20"/>
                <w:szCs w:val="20"/>
                <w:color w:val="auto"/>
              </w:rPr>
            </w:pPr>
            <w:r>
              <w:rPr>
                <w:rFonts w:ascii="Arial" w:cs="Arial" w:eastAsia="Arial" w:hAnsi="Arial"/>
                <w:sz w:val="17"/>
                <w:szCs w:val="17"/>
                <w:color w:val="auto"/>
              </w:rPr>
              <w:t>Real estate held for investment</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2,708,557</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investments</w:t>
            </w: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446,655</w:t>
            </w: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Accrued investment income</w:t>
            </w: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183,527</w:t>
            </w:r>
          </w:p>
        </w:tc>
        <w:tc>
          <w:tcPr>
            <w:tcW w:w="4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investments</w:t>
            </w:r>
          </w:p>
        </w:tc>
        <w:tc>
          <w:tcPr>
            <w:tcW w:w="5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34,133,355</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6,900,654</w:t>
            </w: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60" w:type="dxa"/>
            <w:vAlign w:val="bottom"/>
          </w:tcPr>
          <w:p>
            <w:pPr>
              <w:ind w:left="20"/>
              <w:spacing w:after="0"/>
              <w:rPr>
                <w:sz w:val="20"/>
                <w:szCs w:val="20"/>
                <w:color w:val="auto"/>
              </w:rPr>
            </w:pPr>
            <w:r>
              <w:rPr>
                <w:rFonts w:ascii="Arial" w:cs="Arial" w:eastAsia="Arial" w:hAnsi="Arial"/>
                <w:sz w:val="17"/>
                <w:szCs w:val="17"/>
                <w:color w:val="auto"/>
              </w:rPr>
              <w:t>Receivables, net</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5,407,736</w:t>
            </w:r>
          </w:p>
        </w:tc>
        <w:tc>
          <w:tcPr>
            <w:tcW w:w="480" w:type="dxa"/>
            <w:vAlign w:val="bottom"/>
          </w:tcPr>
          <w:p>
            <w:pPr>
              <w:jc w:val="right"/>
              <w:ind w:right="174"/>
              <w:spacing w:after="0"/>
              <w:rPr>
                <w:sz w:val="20"/>
                <w:szCs w:val="20"/>
                <w:color w:val="auto"/>
              </w:rPr>
            </w:pPr>
            <w:r>
              <w:rPr>
                <w:rFonts w:ascii="Arial" w:cs="Arial" w:eastAsia="Arial" w:hAnsi="Arial"/>
                <w:sz w:val="17"/>
                <w:szCs w:val="17"/>
                <w:color w:val="auto"/>
                <w:w w:val="96"/>
              </w:rPr>
              <w:t>(1)</w:t>
            </w:r>
          </w:p>
        </w:tc>
        <w:tc>
          <w:tcPr>
            <w:tcW w:w="0" w:type="dxa"/>
            <w:vAlign w:val="bottom"/>
          </w:tcPr>
          <w:p>
            <w:pPr>
              <w:spacing w:after="0"/>
              <w:rPr>
                <w:sz w:val="1"/>
                <w:szCs w:val="1"/>
                <w:color w:val="auto"/>
              </w:rPr>
            </w:pPr>
          </w:p>
        </w:tc>
      </w:tr>
      <w:tr>
        <w:trPr>
          <w:trHeight w:val="225"/>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Receivables from reinsurers</w:t>
            </w: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168,105,064</w:t>
            </w:r>
          </w:p>
        </w:tc>
        <w:tc>
          <w:tcPr>
            <w:tcW w:w="4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96"/>
              </w:rPr>
              <w:t>(1)</w:t>
            </w:r>
          </w:p>
        </w:tc>
        <w:tc>
          <w:tcPr>
            <w:tcW w:w="0" w:type="dxa"/>
            <w:vAlign w:val="bottom"/>
          </w:tcPr>
          <w:p>
            <w:pPr>
              <w:spacing w:after="0"/>
              <w:rPr>
                <w:sz w:val="1"/>
                <w:szCs w:val="1"/>
                <w:color w:val="auto"/>
              </w:rPr>
            </w:pPr>
          </w:p>
        </w:tc>
      </w:tr>
      <w:tr>
        <w:trPr>
          <w:trHeight w:val="219"/>
        </w:trPr>
        <w:tc>
          <w:tcPr>
            <w:tcW w:w="4560" w:type="dxa"/>
            <w:vAlign w:val="bottom"/>
          </w:tcPr>
          <w:p>
            <w:pPr>
              <w:ind w:left="20"/>
              <w:spacing w:after="0"/>
              <w:rPr>
                <w:sz w:val="20"/>
                <w:szCs w:val="20"/>
                <w:color w:val="auto"/>
              </w:rPr>
            </w:pPr>
            <w:r>
              <w:rPr>
                <w:rFonts w:ascii="Arial" w:cs="Arial" w:eastAsia="Arial" w:hAnsi="Arial"/>
                <w:sz w:val="17"/>
                <w:szCs w:val="17"/>
                <w:color w:val="auto"/>
              </w:rPr>
              <w:t>Property and equipment, net</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1,498,245</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Value of business acquired</w:t>
            </w: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4,962,831</w:t>
            </w: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60" w:type="dxa"/>
            <w:vAlign w:val="bottom"/>
          </w:tcPr>
          <w:p>
            <w:pPr>
              <w:ind w:left="20"/>
              <w:spacing w:after="0"/>
              <w:rPr>
                <w:sz w:val="20"/>
                <w:szCs w:val="20"/>
                <w:color w:val="auto"/>
              </w:rPr>
            </w:pPr>
            <w:r>
              <w:rPr>
                <w:rFonts w:ascii="Arial" w:cs="Arial" w:eastAsia="Arial" w:hAnsi="Arial"/>
                <w:sz w:val="17"/>
                <w:szCs w:val="17"/>
                <w:color w:val="auto"/>
              </w:rPr>
              <w:t>Deferred taxes</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167,344</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712,323</w:t>
            </w: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assets acquired</w:t>
            </w: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221,887,552</w:t>
            </w:r>
          </w:p>
        </w:tc>
        <w:tc>
          <w:tcPr>
            <w:tcW w:w="4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560" w:type="dxa"/>
            <w:vAlign w:val="bottom"/>
          </w:tcPr>
          <w:p>
            <w:pPr>
              <w:ind w:left="20"/>
              <w:spacing w:after="0"/>
              <w:rPr>
                <w:sz w:val="20"/>
                <w:szCs w:val="20"/>
                <w:color w:val="auto"/>
              </w:rPr>
            </w:pPr>
            <w:r>
              <w:rPr>
                <w:rFonts w:ascii="Arial" w:cs="Arial" w:eastAsia="Arial" w:hAnsi="Arial"/>
                <w:sz w:val="17"/>
                <w:szCs w:val="17"/>
                <w:color w:val="auto"/>
              </w:rPr>
              <w:t>Future policy benefits and unpaid claims</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w w:val="90"/>
              </w:rPr>
              <w:t>(189,071,407)</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payable</w:t>
            </w: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(283,304)</w:t>
            </w: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60" w:type="dxa"/>
            <w:vAlign w:val="bottom"/>
          </w:tcPr>
          <w:p>
            <w:pPr>
              <w:ind w:left="20"/>
              <w:spacing w:after="0"/>
              <w:rPr>
                <w:sz w:val="20"/>
                <w:szCs w:val="20"/>
                <w:color w:val="auto"/>
              </w:rPr>
            </w:pPr>
            <w:r>
              <w:rPr>
                <w:rFonts w:ascii="Arial" w:cs="Arial" w:eastAsia="Arial" w:hAnsi="Arial"/>
                <w:sz w:val="17"/>
                <w:szCs w:val="17"/>
                <w:color w:val="auto"/>
              </w:rPr>
              <w:t>Other liabilities and accrued expenses</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(7,870,944)</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taxes</w:t>
            </w: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(881,957)</w:t>
            </w: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liabilities assumed</w:t>
            </w: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0"/>
              </w:rPr>
              <w:t>(198,107,612)</w:t>
            </w:r>
          </w:p>
        </w:tc>
        <w:tc>
          <w:tcPr>
            <w:tcW w:w="4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Fair value of net assets acquired/consideration paid</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23,779,940</w:t>
            </w:r>
          </w:p>
        </w:tc>
        <w:tc>
          <w:tcPr>
            <w:tcW w:w="4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w w:val="93"/>
              </w:rPr>
              <w:t>Fair value of net assets acquired/consideration paid, net of cash</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16,879,286</w:t>
            </w:r>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acquired</w:t>
            </w:r>
          </w:p>
        </w:tc>
        <w:tc>
          <w:tcPr>
            <w:tcW w:w="56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118745</wp:posOffset>
            </wp:positionV>
            <wp:extent cx="76454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4540" cy="7620"/>
                    </a:xfrm>
                    <a:prstGeom prst="rect">
                      <a:avLst/>
                    </a:prstGeom>
                    <a:noFill/>
                  </pic:spPr>
                </pic:pic>
              </a:graphicData>
            </a:graphic>
          </wp:anchor>
        </w:drawing>
      </w:r>
    </w:p>
    <w:p>
      <w:pPr>
        <w:spacing w:after="0" w:line="187" w:lineRule="exact"/>
        <w:rPr>
          <w:sz w:val="20"/>
          <w:szCs w:val="20"/>
          <w:color w:val="auto"/>
        </w:rPr>
      </w:pPr>
    </w:p>
    <w:p>
      <w:pPr>
        <w:ind w:left="20" w:right="2819" w:hanging="3"/>
        <w:spacing w:after="0" w:line="257" w:lineRule="auto"/>
        <w:tabs>
          <w:tab w:leader="none" w:pos="263" w:val="left"/>
        </w:tabs>
        <w:numPr>
          <w:ilvl w:val="0"/>
          <w:numId w:val="64"/>
        </w:numPr>
        <w:rPr>
          <w:rFonts w:ascii="Arial" w:cs="Arial" w:eastAsia="Arial" w:hAnsi="Arial"/>
          <w:sz w:val="17"/>
          <w:szCs w:val="17"/>
          <w:color w:val="auto"/>
        </w:rPr>
      </w:pPr>
      <w:r>
        <w:rPr>
          <w:rFonts w:ascii="Arial" w:cs="Arial" w:eastAsia="Arial" w:hAnsi="Arial"/>
          <w:sz w:val="17"/>
          <w:szCs w:val="17"/>
          <w:color w:val="auto"/>
        </w:rPr>
        <w:t>Receivable from reinsurers of $162,907,008 and receivables, net of $5,000,000 were settled with the recapture of the coinsurance agreement by Kilpatrick Life from Security National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4180205" cy="3937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180205" cy="393700"/>
                    </a:xfrm>
                    <a:prstGeom prst="rect">
                      <a:avLst/>
                    </a:prstGeom>
                    <a:noFill/>
                  </pic:spPr>
                </pic:pic>
              </a:graphicData>
            </a:graphic>
          </wp:anchor>
        </w:drawing>
      </w:r>
    </w:p>
    <w:p>
      <w:pPr>
        <w:spacing w:after="0" w:line="17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93345</wp:posOffset>
            </wp:positionV>
            <wp:extent cx="498983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989830" cy="29845"/>
                    </a:xfrm>
                    <a:prstGeom prst="rect">
                      <a:avLst/>
                    </a:prstGeom>
                    <a:noFill/>
                  </pic:spPr>
                </pic:pic>
              </a:graphicData>
            </a:graphic>
          </wp:anchor>
        </w:drawing>
      </w:r>
    </w:p>
    <w:p>
      <w:pPr>
        <w:sectPr>
          <w:pgSz w:w="11900" w:h="16838" w:orient="portrait"/>
          <w:cols w:equalWidth="0" w:num="1">
            <w:col w:w="9379"/>
          </w:cols>
          <w:pgMar w:left="1080" w:top="124" w:right="1440" w:bottom="1440" w:gutter="0" w:footer="0" w:header="0"/>
        </w:sectPr>
      </w:pPr>
    </w:p>
    <w:bookmarkStart w:id="52" w:name="page53"/>
    <w:bookmarkEnd w:id="52"/>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08" w:lineRule="exact"/>
        <w:rPr>
          <w:sz w:val="20"/>
          <w:szCs w:val="20"/>
          <w:color w:val="auto"/>
        </w:rPr>
      </w:pPr>
    </w:p>
    <w:p>
      <w:pPr>
        <w:jc w:val="both"/>
        <w:ind w:right="1519"/>
        <w:spacing w:after="0" w:line="283" w:lineRule="auto"/>
        <w:rPr>
          <w:sz w:val="20"/>
          <w:szCs w:val="20"/>
          <w:color w:val="auto"/>
        </w:rPr>
      </w:pPr>
      <w:r>
        <w:rPr>
          <w:rFonts w:ascii="Arial" w:cs="Arial" w:eastAsia="Arial" w:hAnsi="Arial"/>
          <w:sz w:val="15"/>
          <w:szCs w:val="15"/>
          <w:color w:val="auto"/>
        </w:rPr>
        <w:t>The Company’s operations over the last several years generally reflect three trends or events which the Company expects to continue to focus on: (i) increased attention to “niche” insurance products, such as the Company’s funeral plan policies and traditional whole life products; (ii) emphasis on cemetery and mortuary business; and</w:t>
      </w:r>
    </w:p>
    <w:p>
      <w:pPr>
        <w:jc w:val="both"/>
        <w:ind w:right="1519" w:firstLine="5"/>
        <w:spacing w:after="0" w:line="248" w:lineRule="auto"/>
        <w:tabs>
          <w:tab w:leader="none" w:pos="329" w:val="left"/>
        </w:tabs>
        <w:numPr>
          <w:ilvl w:val="0"/>
          <w:numId w:val="65"/>
        </w:numPr>
        <w:rPr>
          <w:rFonts w:ascii="Arial" w:cs="Arial" w:eastAsia="Arial" w:hAnsi="Arial"/>
          <w:sz w:val="17"/>
          <w:szCs w:val="17"/>
          <w:color w:val="auto"/>
        </w:rPr>
      </w:pPr>
      <w:r>
        <w:rPr>
          <w:rFonts w:ascii="Arial" w:cs="Arial" w:eastAsia="Arial" w:hAnsi="Arial"/>
          <w:sz w:val="17"/>
          <w:szCs w:val="17"/>
          <w:color w:val="auto"/>
        </w:rPr>
        <w:t>capitalizing on an improving housing market by originating mortgage loans. The Company may need to adjust its strategy temporarily to respond to the changing economic circumstances resulting from the COVID-19 Pandemic.</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Insurance Operations</w:t>
      </w:r>
    </w:p>
    <w:p>
      <w:pPr>
        <w:spacing w:after="0" w:line="208" w:lineRule="exact"/>
        <w:rPr>
          <w:sz w:val="20"/>
          <w:szCs w:val="20"/>
          <w:color w:val="auto"/>
        </w:rPr>
      </w:pPr>
    </w:p>
    <w:p>
      <w:pPr>
        <w:jc w:val="both"/>
        <w:ind w:right="1519"/>
        <w:spacing w:after="0" w:line="257" w:lineRule="auto"/>
        <w:rPr>
          <w:sz w:val="20"/>
          <w:szCs w:val="20"/>
          <w:color w:val="auto"/>
        </w:rPr>
      </w:pPr>
      <w:r>
        <w:rPr>
          <w:rFonts w:ascii="Arial" w:cs="Arial" w:eastAsia="Arial" w:hAnsi="Arial"/>
          <w:sz w:val="17"/>
          <w:szCs w:val="17"/>
          <w:color w:val="auto"/>
        </w:rPr>
        <w:t>The Company’s life insurance business includes funeral plans and interest-sensitive life insurance, as well as other traditional life, accident and health insurance products. The Company places specific marketing emphasis on funeral plans through pre-need planning.</w:t>
      </w:r>
    </w:p>
    <w:p>
      <w:pPr>
        <w:spacing w:after="0" w:line="167" w:lineRule="exact"/>
        <w:rPr>
          <w:sz w:val="20"/>
          <w:szCs w:val="20"/>
          <w:color w:val="auto"/>
        </w:rPr>
      </w:pPr>
    </w:p>
    <w:p>
      <w:pPr>
        <w:jc w:val="both"/>
        <w:ind w:right="1519"/>
        <w:spacing w:after="0" w:line="266" w:lineRule="auto"/>
        <w:rPr>
          <w:sz w:val="20"/>
          <w:szCs w:val="20"/>
          <w:color w:val="auto"/>
        </w:rPr>
      </w:pPr>
      <w:r>
        <w:rPr>
          <w:rFonts w:ascii="Arial" w:cs="Arial" w:eastAsia="Arial" w:hAnsi="Arial"/>
          <w:sz w:val="16"/>
          <w:szCs w:val="16"/>
          <w:color w:val="auto"/>
        </w:rPr>
        <w:t>A funeral plan is a small face value life insurance policy that generally has face coverage of up to $25,000. The Company believes that funeral plans represent a marketing niche that is less competitive because most insurance companies do not offer similar coverage. The purpose of the funeral plan policy is to pay the costs and expenses incurred at the time of a person’s death. On a per thousand-dollar cost of insurance basis, these policies can be more expensive to the policyholder than many types of non-burial insurance due to their low face amount, requiring the fixed cost of the policy administration to be distributed over a smaller policy size, and the simplified underwriting practices that result in higher mortality costs.</w:t>
      </w:r>
    </w:p>
    <w:p>
      <w:pPr>
        <w:spacing w:after="0" w:line="163" w:lineRule="exact"/>
        <w:rPr>
          <w:sz w:val="20"/>
          <w:szCs w:val="20"/>
          <w:color w:val="auto"/>
        </w:rPr>
      </w:pPr>
    </w:p>
    <w:p>
      <w:pPr>
        <w:jc w:val="both"/>
        <w:ind w:right="1519"/>
        <w:spacing w:after="0" w:line="270" w:lineRule="auto"/>
        <w:rPr>
          <w:sz w:val="20"/>
          <w:szCs w:val="20"/>
          <w:color w:val="auto"/>
        </w:rPr>
      </w:pPr>
      <w:r>
        <w:rPr>
          <w:rFonts w:ascii="Arial" w:cs="Arial" w:eastAsia="Arial" w:hAnsi="Arial"/>
          <w:sz w:val="17"/>
          <w:szCs w:val="17"/>
          <w:color w:val="auto"/>
        </w:rPr>
        <w:t>The following table shows the condensed financial results of the insurance operations for three months ended March 31, 2020 and 2019. See Note 7 to the condensed consolidated financial statements.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100" w:type="dxa"/>
            <w:vAlign w:val="bottom"/>
            <w:gridSpan w:val="6"/>
          </w:tcPr>
          <w:p>
            <w:pPr>
              <w:jc w:val="center"/>
              <w:ind w:left="2"/>
              <w:spacing w:after="0"/>
              <w:rPr>
                <w:sz w:val="20"/>
                <w:szCs w:val="20"/>
                <w:color w:val="auto"/>
              </w:rPr>
            </w:pPr>
            <w:r>
              <w:rPr>
                <w:rFonts w:ascii="Arial" w:cs="Arial" w:eastAsia="Arial" w:hAnsi="Arial"/>
                <w:sz w:val="16"/>
                <w:szCs w:val="16"/>
                <w:color w:val="auto"/>
                <w:w w:val="86"/>
              </w:rPr>
              <w:t>Three months ended March 31</w:t>
            </w:r>
          </w:p>
        </w:tc>
        <w:tc>
          <w:tcPr>
            <w:tcW w:w="880" w:type="dxa"/>
            <w:vAlign w:val="bottom"/>
          </w:tcPr>
          <w:p>
            <w:pPr>
              <w:spacing w:after="0"/>
              <w:rPr>
                <w:sz w:val="16"/>
                <w:szCs w:val="16"/>
                <w:color w:val="auto"/>
              </w:rPr>
            </w:pPr>
          </w:p>
        </w:tc>
      </w:tr>
      <w:tr>
        <w:trPr>
          <w:trHeight w:val="205"/>
        </w:trPr>
        <w:tc>
          <w:tcPr>
            <w:tcW w:w="368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6"/>
          </w:tcPr>
          <w:p>
            <w:pPr>
              <w:jc w:val="center"/>
              <w:ind w:left="22"/>
              <w:spacing w:after="0"/>
              <w:rPr>
                <w:sz w:val="20"/>
                <w:szCs w:val="20"/>
                <w:color w:val="auto"/>
              </w:rPr>
            </w:pPr>
            <w:r>
              <w:rPr>
                <w:rFonts w:ascii="Arial" w:cs="Arial" w:eastAsia="Arial" w:hAnsi="Arial"/>
                <w:sz w:val="16"/>
                <w:szCs w:val="16"/>
                <w:color w:val="auto"/>
                <w:w w:val="88"/>
              </w:rPr>
              <w:t>(in thousands of dollars)</w:t>
            </w:r>
          </w:p>
        </w:tc>
        <w:tc>
          <w:tcPr>
            <w:tcW w:w="880" w:type="dxa"/>
            <w:vAlign w:val="bottom"/>
            <w:tcBorders>
              <w:bottom w:val="single" w:sz="8" w:color="auto"/>
            </w:tcBorders>
          </w:tcPr>
          <w:p>
            <w:pPr>
              <w:spacing w:after="0"/>
              <w:rPr>
                <w:sz w:val="17"/>
                <w:szCs w:val="17"/>
                <w:color w:val="auto"/>
              </w:rPr>
            </w:pPr>
          </w:p>
        </w:tc>
      </w:tr>
      <w:tr>
        <w:trPr>
          <w:trHeight w:val="184"/>
        </w:trPr>
        <w:tc>
          <w:tcPr>
            <w:tcW w:w="3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82"/>
              <w:spacing w:after="0"/>
              <w:rPr>
                <w:sz w:val="20"/>
                <w:szCs w:val="20"/>
                <w:color w:val="auto"/>
              </w:rPr>
            </w:pPr>
            <w:r>
              <w:rPr>
                <w:rFonts w:ascii="Arial" w:cs="Arial" w:eastAsia="Arial" w:hAnsi="Arial"/>
                <w:sz w:val="16"/>
                <w:szCs w:val="16"/>
                <w:color w:val="auto"/>
                <w:w w:val="87"/>
              </w:rPr>
              <w:t>% Increase</w:t>
            </w:r>
          </w:p>
        </w:tc>
      </w:tr>
      <w:tr>
        <w:trPr>
          <w:trHeight w:val="205"/>
        </w:trPr>
        <w:tc>
          <w:tcPr>
            <w:tcW w:w="36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48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w w:val="89"/>
              </w:rPr>
              <w:t>2019</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8"/>
              </w:rPr>
              <w:t>(Decrease)</w:t>
            </w:r>
          </w:p>
        </w:tc>
      </w:tr>
      <w:tr>
        <w:trPr>
          <w:trHeight w:val="208"/>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 from external customers</w:t>
            </w: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05"/>
        </w:trPr>
        <w:tc>
          <w:tcPr>
            <w:tcW w:w="3680" w:type="dxa"/>
            <w:vAlign w:val="bottom"/>
          </w:tcPr>
          <w:p>
            <w:pPr>
              <w:ind w:left="180"/>
              <w:spacing w:after="0"/>
              <w:rPr>
                <w:sz w:val="20"/>
                <w:szCs w:val="20"/>
                <w:color w:val="auto"/>
              </w:rPr>
            </w:pPr>
            <w:r>
              <w:rPr>
                <w:rFonts w:ascii="Arial" w:cs="Arial" w:eastAsia="Arial" w:hAnsi="Arial"/>
                <w:sz w:val="16"/>
                <w:szCs w:val="16"/>
                <w:color w:val="auto"/>
              </w:rPr>
              <w:t>Insurance premiums</w:t>
            </w:r>
          </w:p>
        </w:tc>
        <w:tc>
          <w:tcPr>
            <w:tcW w:w="800" w:type="dxa"/>
            <w:vAlign w:val="bottom"/>
          </w:tcPr>
          <w:p>
            <w:pPr>
              <w:jc w:val="right"/>
              <w:ind w:right="342"/>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3"/>
              </w:rPr>
              <w:t>22,291</w:t>
            </w:r>
          </w:p>
        </w:tc>
        <w:tc>
          <w:tcPr>
            <w:tcW w:w="2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19,027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6"/>
        </w:trPr>
        <w:tc>
          <w:tcPr>
            <w:tcW w:w="36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investment income</w:t>
            </w: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13,051</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05"/>
        </w:trPr>
        <w:tc>
          <w:tcPr>
            <w:tcW w:w="3680" w:type="dxa"/>
            <w:vAlign w:val="bottom"/>
          </w:tcPr>
          <w:p>
            <w:pPr>
              <w:ind w:left="180"/>
              <w:spacing w:after="0"/>
              <w:rPr>
                <w:sz w:val="20"/>
                <w:szCs w:val="20"/>
                <w:color w:val="auto"/>
              </w:rPr>
            </w:pPr>
            <w:r>
              <w:rPr>
                <w:rFonts w:ascii="Arial" w:cs="Arial" w:eastAsia="Arial" w:hAnsi="Arial"/>
                <w:sz w:val="16"/>
                <w:szCs w:val="16"/>
                <w:color w:val="auto"/>
              </w:rPr>
              <w:t>Gains (losses) on investments and other assets</w:t>
            </w:r>
          </w:p>
        </w:tc>
        <w:tc>
          <w:tcPr>
            <w:tcW w:w="8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0"/>
              </w:rPr>
              <w:t>(2,545)</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1,343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(290%)</w:t>
            </w:r>
          </w:p>
        </w:tc>
      </w:tr>
      <w:tr>
        <w:trPr>
          <w:trHeight w:val="210"/>
        </w:trPr>
        <w:tc>
          <w:tcPr>
            <w:tcW w:w="36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8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2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48"/>
        </w:trPr>
        <w:tc>
          <w:tcPr>
            <w:tcW w:w="36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w:t>
            </w:r>
          </w:p>
        </w:tc>
        <w:tc>
          <w:tcPr>
            <w:tcW w:w="80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33,205</w:t>
            </w:r>
          </w:p>
        </w:tc>
        <w:tc>
          <w:tcPr>
            <w:tcW w:w="2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30,505</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186"/>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Intersegment revenue</w:t>
            </w:r>
          </w:p>
        </w:tc>
        <w:tc>
          <w:tcPr>
            <w:tcW w:w="800" w:type="dxa"/>
            <w:vAlign w:val="bottom"/>
            <w:tcBorders>
              <w:bottom w:val="single" w:sz="8" w:color="auto"/>
            </w:tcBorders>
            <w:shd w:val="clear" w:color="auto" w:fill="CCEEFF"/>
          </w:tcPr>
          <w:p>
            <w:pPr>
              <w:jc w:val="right"/>
              <w:ind w:right="34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908</w:t>
            </w:r>
          </w:p>
        </w:tc>
        <w:tc>
          <w:tcPr>
            <w:tcW w:w="2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w:t>
            </w:r>
          </w:p>
        </w:tc>
        <w:tc>
          <w:tcPr>
            <w:tcW w:w="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
        </w:trPr>
        <w:tc>
          <w:tcPr>
            <w:tcW w:w="36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6"/>
        </w:trPr>
        <w:tc>
          <w:tcPr>
            <w:tcW w:w="3680" w:type="dxa"/>
            <w:vAlign w:val="bottom"/>
          </w:tcPr>
          <w:p>
            <w:pPr>
              <w:ind w:left="20"/>
              <w:spacing w:after="0"/>
              <w:rPr>
                <w:sz w:val="20"/>
                <w:szCs w:val="20"/>
                <w:color w:val="auto"/>
              </w:rPr>
            </w:pPr>
            <w:r>
              <w:rPr>
                <w:rFonts w:ascii="Arial" w:cs="Arial" w:eastAsia="Arial" w:hAnsi="Arial"/>
                <w:sz w:val="16"/>
                <w:szCs w:val="16"/>
                <w:color w:val="auto"/>
              </w:rPr>
              <w:t>Earnings before income taxes</w:t>
            </w:r>
          </w:p>
        </w:tc>
        <w:tc>
          <w:tcPr>
            <w:tcW w:w="80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(3,069)</w:t>
            </w:r>
          </w:p>
        </w:tc>
        <w:tc>
          <w:tcPr>
            <w:tcW w:w="220" w:type="dxa"/>
            <w:vAlign w:val="bottom"/>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2,085</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w:t>
            </w:r>
          </w:p>
        </w:tc>
      </w:tr>
      <w:tr>
        <w:trPr>
          <w:trHeight w:val="20"/>
        </w:trPr>
        <w:tc>
          <w:tcPr>
            <w:tcW w:w="36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1519"/>
        <w:spacing w:after="0" w:line="281" w:lineRule="auto"/>
        <w:rPr>
          <w:sz w:val="20"/>
          <w:szCs w:val="20"/>
          <w:color w:val="auto"/>
        </w:rPr>
      </w:pPr>
      <w:r>
        <w:rPr>
          <w:rFonts w:ascii="Arial" w:cs="Arial" w:eastAsia="Arial" w:hAnsi="Arial"/>
          <w:sz w:val="15"/>
          <w:szCs w:val="15"/>
          <w:color w:val="auto"/>
        </w:rPr>
        <w:t>Intersegment revenues are primarily interest income from the warehouse line provided to SecurityNational Mortgage Company (“SecurityNational Mortgage”). Profitability in the three months ended March 31, 2020 has decreased due to a $3,888,000 decrease in gains on investments and other assets mostly attributable to decreases in gains on equity securities of $2,772,000 and decreases in gains on call and put option derivatives of $1,028,000. These decreases were primarily the result of decreases in the fair value of these investments due to the recent downturn of the economy caused by the COVID-19 Pandemic. Also contributing to the decrease in profitability was a $3,534,000 increase in death, surrenders and other policy benefits, a $1,287,000 increase in future policy benefits, a $326,000 increase in amortization of deferred policy acquisition costs primarily due to an increase in the average outstanding balance of deferred policy and pre-need acquisition costs, and a $2,744,000 increase in selling, general and administrative expenses. This decrease was partially offset by a $3,264,000 increase in insurance premiums and a $3,298,000 increase in net investment income. The Company acquired Kilpatrick Life Insurance Company (“Kilpatrick Life”) in December 2019. See Note 15 to the condensed consolidated financial statements. This acquisition is the primary reason for the increases in insurance premiums, net investment income, death, surrenders and other policy benefits, and selling, general and administrative expenses.</w:t>
      </w:r>
    </w:p>
    <w:p>
      <w:pPr>
        <w:spacing w:after="0" w:line="17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85725</wp:posOffset>
            </wp:positionV>
            <wp:extent cx="498983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989830" cy="29845"/>
                    </a:xfrm>
                    <a:prstGeom prst="rect">
                      <a:avLst/>
                    </a:prstGeom>
                    <a:noFill/>
                  </pic:spPr>
                </pic:pic>
              </a:graphicData>
            </a:graphic>
          </wp:anchor>
        </w:drawing>
      </w:r>
    </w:p>
    <w:p>
      <w:pPr>
        <w:sectPr>
          <w:pgSz w:w="11900" w:h="16838" w:orient="portrait"/>
          <w:cols w:equalWidth="0" w:num="1">
            <w:col w:w="9379"/>
          </w:cols>
          <w:pgMar w:left="1080" w:top="120" w:right="1440" w:bottom="1440" w:gutter="0" w:footer="0" w:header="0"/>
        </w:sectPr>
      </w:pPr>
    </w:p>
    <w:bookmarkStart w:id="53" w:name="page54"/>
    <w:bookmarkEnd w:id="53"/>
    <w:p>
      <w:pPr>
        <w:spacing w:after="0"/>
        <w:rPr>
          <w:sz w:val="20"/>
          <w:szCs w:val="20"/>
          <w:color w:val="auto"/>
        </w:rPr>
      </w:pPr>
      <w:r>
        <w:rPr>
          <w:rFonts w:ascii="Arial" w:cs="Arial" w:eastAsia="Arial" w:hAnsi="Arial"/>
          <w:sz w:val="17"/>
          <w:szCs w:val="17"/>
          <w:b w:val="1"/>
          <w:bCs w:val="1"/>
          <w:color w:val="auto"/>
        </w:rPr>
        <w:t>Cemetery and Mortuary Operations</w:t>
      </w:r>
    </w:p>
    <w:p>
      <w:pPr>
        <w:spacing w:after="0" w:line="114" w:lineRule="exact"/>
        <w:rPr>
          <w:sz w:val="20"/>
          <w:szCs w:val="20"/>
          <w:color w:val="auto"/>
        </w:rPr>
      </w:pPr>
    </w:p>
    <w:p>
      <w:pPr>
        <w:jc w:val="both"/>
        <w:ind w:right="1519"/>
        <w:spacing w:after="0" w:line="249" w:lineRule="auto"/>
        <w:rPr>
          <w:sz w:val="20"/>
          <w:szCs w:val="20"/>
          <w:color w:val="auto"/>
        </w:rPr>
      </w:pPr>
      <w:r>
        <w:rPr>
          <w:rFonts w:ascii="Arial" w:cs="Arial" w:eastAsia="Arial" w:hAnsi="Arial"/>
          <w:sz w:val="17"/>
          <w:szCs w:val="17"/>
          <w:color w:val="auto"/>
        </w:rPr>
        <w:t>The Company sells mortuary services and products through its eight mortuaries in Utah. The Company also sells cemetery products and services through its five cemeteries in Utah and one cemetery in San Diego County, California. At-need product sales and services are recognized as revenue when the services are performed or when the products are delivered. Pre-need cemetery product sales are deferred until the merchandise is delivered and services performed. Recognition of revenue for cemetery land sales occurs when 10% of the purchase price is received.</w:t>
      </w:r>
    </w:p>
    <w:p>
      <w:pPr>
        <w:spacing w:after="0" w:line="81" w:lineRule="exact"/>
        <w:rPr>
          <w:sz w:val="20"/>
          <w:szCs w:val="20"/>
          <w:color w:val="auto"/>
        </w:rPr>
      </w:pPr>
    </w:p>
    <w:p>
      <w:pPr>
        <w:jc w:val="both"/>
        <w:ind w:right="1519"/>
        <w:spacing w:after="0" w:line="338" w:lineRule="auto"/>
        <w:rPr>
          <w:sz w:val="20"/>
          <w:szCs w:val="20"/>
          <w:color w:val="auto"/>
        </w:rPr>
      </w:pPr>
      <w:r>
        <w:rPr>
          <w:rFonts w:ascii="Arial" w:cs="Arial" w:eastAsia="Arial" w:hAnsi="Arial"/>
          <w:sz w:val="15"/>
          <w:szCs w:val="15"/>
          <w:color w:val="auto"/>
        </w:rPr>
        <w:t>The following table shows the condensed financial results of the cemetery and mortuary operations for the three months ended March 31, 2020 and 2019. See Note 7 to the condensed consolidated financial statements.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40" w:type="dxa"/>
            <w:vAlign w:val="bottom"/>
            <w:gridSpan w:val="7"/>
          </w:tcPr>
          <w:p>
            <w:pPr>
              <w:jc w:val="center"/>
              <w:ind w:right="582"/>
              <w:spacing w:after="0"/>
              <w:rPr>
                <w:sz w:val="20"/>
                <w:szCs w:val="20"/>
                <w:color w:val="auto"/>
              </w:rPr>
            </w:pPr>
            <w:r>
              <w:rPr>
                <w:rFonts w:ascii="Arial" w:cs="Arial" w:eastAsia="Arial" w:hAnsi="Arial"/>
                <w:sz w:val="16"/>
                <w:szCs w:val="16"/>
                <w:color w:val="auto"/>
                <w:w w:val="86"/>
              </w:rPr>
              <w:t>Three months ended March 31</w:t>
            </w:r>
          </w:p>
        </w:tc>
      </w:tr>
      <w:tr>
        <w:trPr>
          <w:trHeight w:val="205"/>
        </w:trPr>
        <w:tc>
          <w:tcPr>
            <w:tcW w:w="382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6"/>
          </w:tcPr>
          <w:p>
            <w:pPr>
              <w:jc w:val="center"/>
              <w:ind w:left="162"/>
              <w:spacing w:after="0"/>
              <w:rPr>
                <w:sz w:val="20"/>
                <w:szCs w:val="20"/>
                <w:color w:val="auto"/>
              </w:rPr>
            </w:pPr>
            <w:r>
              <w:rPr>
                <w:rFonts w:ascii="Arial" w:cs="Arial" w:eastAsia="Arial" w:hAnsi="Arial"/>
                <w:sz w:val="16"/>
                <w:szCs w:val="16"/>
                <w:color w:val="auto"/>
                <w:w w:val="88"/>
              </w:rPr>
              <w:t>(in thousands of dollars)</w:t>
            </w:r>
          </w:p>
        </w:tc>
        <w:tc>
          <w:tcPr>
            <w:tcW w:w="920" w:type="dxa"/>
            <w:vAlign w:val="bottom"/>
            <w:tcBorders>
              <w:bottom w:val="single" w:sz="8" w:color="auto"/>
            </w:tcBorders>
          </w:tcPr>
          <w:p>
            <w:pPr>
              <w:spacing w:after="0"/>
              <w:rPr>
                <w:sz w:val="17"/>
                <w:szCs w:val="17"/>
                <w:color w:val="auto"/>
              </w:rPr>
            </w:pPr>
          </w:p>
        </w:tc>
      </w:tr>
      <w:tr>
        <w:trPr>
          <w:trHeight w:val="184"/>
        </w:trPr>
        <w:tc>
          <w:tcPr>
            <w:tcW w:w="3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82"/>
              <w:spacing w:after="0"/>
              <w:rPr>
                <w:sz w:val="20"/>
                <w:szCs w:val="20"/>
                <w:color w:val="auto"/>
              </w:rPr>
            </w:pPr>
            <w:r>
              <w:rPr>
                <w:rFonts w:ascii="Arial" w:cs="Arial" w:eastAsia="Arial" w:hAnsi="Arial"/>
                <w:sz w:val="16"/>
                <w:szCs w:val="16"/>
                <w:color w:val="auto"/>
                <w:w w:val="92"/>
              </w:rPr>
              <w:t>% Increase</w:t>
            </w:r>
          </w:p>
        </w:tc>
      </w:tr>
      <w:tr>
        <w:trPr>
          <w:trHeight w:val="205"/>
        </w:trPr>
        <w:tc>
          <w:tcPr>
            <w:tcW w:w="382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360" w:type="dxa"/>
            <w:vAlign w:val="bottom"/>
            <w:tcBorders>
              <w:bottom w:val="single" w:sz="8" w:color="auto"/>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center"/>
              <w:ind w:right="262"/>
              <w:spacing w:after="0"/>
              <w:rPr>
                <w:sz w:val="20"/>
                <w:szCs w:val="20"/>
                <w:color w:val="auto"/>
              </w:rPr>
            </w:pPr>
            <w:r>
              <w:rPr>
                <w:rFonts w:ascii="Arial" w:cs="Arial" w:eastAsia="Arial" w:hAnsi="Arial"/>
                <w:sz w:val="16"/>
                <w:szCs w:val="16"/>
                <w:color w:val="auto"/>
                <w:w w:val="89"/>
              </w:rPr>
              <w:t>2019</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93"/>
              </w:rPr>
              <w:t>(Decrease)</w:t>
            </w:r>
          </w:p>
        </w:tc>
      </w:tr>
      <w:tr>
        <w:trPr>
          <w:trHeight w:val="208"/>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 from external customers</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5"/>
        </w:trPr>
        <w:tc>
          <w:tcPr>
            <w:tcW w:w="3820" w:type="dxa"/>
            <w:vAlign w:val="bottom"/>
          </w:tcPr>
          <w:p>
            <w:pPr>
              <w:ind w:left="180"/>
              <w:spacing w:after="0"/>
              <w:rPr>
                <w:sz w:val="20"/>
                <w:szCs w:val="20"/>
                <w:color w:val="auto"/>
              </w:rPr>
            </w:pPr>
            <w:r>
              <w:rPr>
                <w:rFonts w:ascii="Arial" w:cs="Arial" w:eastAsia="Arial" w:hAnsi="Arial"/>
                <w:sz w:val="16"/>
                <w:szCs w:val="16"/>
                <w:color w:val="auto"/>
              </w:rPr>
              <w:t>Mortuary revenues</w:t>
            </w:r>
          </w:p>
        </w:tc>
        <w:tc>
          <w:tcPr>
            <w:tcW w:w="680" w:type="dxa"/>
            <w:vAlign w:val="bottom"/>
          </w:tcPr>
          <w:p>
            <w:pPr>
              <w:jc w:val="right"/>
              <w:ind w:right="222"/>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w w:val="84"/>
              </w:rPr>
              <w:t>1,762</w:t>
            </w:r>
          </w:p>
        </w:tc>
        <w:tc>
          <w:tcPr>
            <w:tcW w:w="24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1,633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6"/>
        </w:trPr>
        <w:tc>
          <w:tcPr>
            <w:tcW w:w="3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Cemetery revenues</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2,696</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05"/>
        </w:trPr>
        <w:tc>
          <w:tcPr>
            <w:tcW w:w="3820" w:type="dxa"/>
            <w:vAlign w:val="bottom"/>
          </w:tcPr>
          <w:p>
            <w:pPr>
              <w:ind w:left="180"/>
              <w:spacing w:after="0"/>
              <w:rPr>
                <w:sz w:val="20"/>
                <w:szCs w:val="20"/>
                <w:color w:val="auto"/>
              </w:rPr>
            </w:pPr>
            <w:r>
              <w:rPr>
                <w:rFonts w:ascii="Arial" w:cs="Arial" w:eastAsia="Arial" w:hAnsi="Arial"/>
                <w:sz w:val="16"/>
                <w:szCs w:val="16"/>
                <w:color w:val="auto"/>
              </w:rPr>
              <w:t>Net investment income</w:t>
            </w:r>
          </w:p>
        </w:tc>
        <w:tc>
          <w:tcPr>
            <w:tcW w:w="6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205</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16"/>
        </w:trPr>
        <w:tc>
          <w:tcPr>
            <w:tcW w:w="3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Gains (losses) on investments and other assets</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(660)</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r>
      <w:tr>
        <w:trPr>
          <w:trHeight w:val="205"/>
        </w:trPr>
        <w:tc>
          <w:tcPr>
            <w:tcW w:w="38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w:t>
            </w:r>
          </w:p>
        </w:tc>
        <w:tc>
          <w:tcPr>
            <w:tcW w:w="6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2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r>
      <w:tr>
        <w:trPr>
          <w:trHeight w:val="208"/>
        </w:trPr>
        <w:tc>
          <w:tcPr>
            <w:tcW w:w="3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680" w:type="dxa"/>
            <w:vAlign w:val="bottom"/>
            <w:tcBorders>
              <w:bottom w:val="single" w:sz="8" w:color="auto"/>
            </w:tcBorders>
            <w:shd w:val="clear" w:color="auto" w:fill="CCEEFF"/>
          </w:tcPr>
          <w:p>
            <w:pPr>
              <w:jc w:val="right"/>
              <w:ind w:right="222"/>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4,014</w:t>
            </w: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4,359</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0"/>
        </w:trPr>
        <w:tc>
          <w:tcPr>
            <w:tcW w:w="38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6"/>
        </w:trPr>
        <w:tc>
          <w:tcPr>
            <w:tcW w:w="3820" w:type="dxa"/>
            <w:vAlign w:val="bottom"/>
          </w:tcPr>
          <w:p>
            <w:pPr>
              <w:ind w:left="20"/>
              <w:spacing w:after="0"/>
              <w:rPr>
                <w:sz w:val="20"/>
                <w:szCs w:val="20"/>
                <w:color w:val="auto"/>
              </w:rPr>
            </w:pPr>
            <w:r>
              <w:rPr>
                <w:rFonts w:ascii="Arial" w:cs="Arial" w:eastAsia="Arial" w:hAnsi="Arial"/>
                <w:sz w:val="16"/>
                <w:szCs w:val="16"/>
                <w:color w:val="auto"/>
              </w:rPr>
              <w:t>Earnings before income taxes</w:t>
            </w:r>
          </w:p>
        </w:tc>
        <w:tc>
          <w:tcPr>
            <w:tcW w:w="68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240" w:type="dxa"/>
            <w:vAlign w:val="bottom"/>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1,185</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r>
      <w:tr>
        <w:trPr>
          <w:trHeight w:val="20"/>
        </w:trPr>
        <w:tc>
          <w:tcPr>
            <w:tcW w:w="38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1519"/>
        <w:spacing w:after="0" w:line="288" w:lineRule="auto"/>
        <w:rPr>
          <w:sz w:val="20"/>
          <w:szCs w:val="20"/>
          <w:color w:val="auto"/>
        </w:rPr>
      </w:pPr>
      <w:r>
        <w:rPr>
          <w:rFonts w:ascii="Arial" w:cs="Arial" w:eastAsia="Arial" w:hAnsi="Arial"/>
          <w:sz w:val="15"/>
          <w:szCs w:val="15"/>
          <w:color w:val="auto"/>
        </w:rPr>
        <w:t>Profitability in the three months ended March 31, 2020 has decreased due to a $1,158,000 decrease in gains on investments and other assets primarily attributable to a $821,000 decrease in the fair value of equity securities classified as restricted assets and cemetery perpetual care trust investments due to the recent downturn of the economy caused by the COVID-19 Pandemic and a decrease of $298,000 in gains on real estate sales. This decrease was partially offset by a $363,000 increase in cemetery pre-need sales, a $287,000 increase in cemetery at-need sales, a $129,000 increase in mortuary at-need sales, and a $92,000 increase in net investment income.</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Mortgage Operations</w:t>
      </w:r>
    </w:p>
    <w:p>
      <w:pPr>
        <w:spacing w:after="0" w:line="208" w:lineRule="exact"/>
        <w:rPr>
          <w:sz w:val="20"/>
          <w:szCs w:val="20"/>
          <w:color w:val="auto"/>
        </w:rPr>
      </w:pPr>
    </w:p>
    <w:p>
      <w:pPr>
        <w:jc w:val="both"/>
        <w:ind w:right="1519"/>
        <w:spacing w:after="0" w:line="265" w:lineRule="auto"/>
        <w:rPr>
          <w:sz w:val="20"/>
          <w:szCs w:val="20"/>
          <w:color w:val="auto"/>
        </w:rPr>
      </w:pPr>
      <w:r>
        <w:rPr>
          <w:rFonts w:ascii="Arial" w:cs="Arial" w:eastAsia="Arial" w:hAnsi="Arial"/>
          <w:sz w:val="16"/>
          <w:szCs w:val="16"/>
          <w:color w:val="auto"/>
        </w:rPr>
        <w:t>The Company’s wholly owned subsidiaries, SecurityNational Mortgage and EverLEND Mortgage Company (formerly known as Green Street Mortgage Services, Inc.), are mortgage lenders incorporated under the laws of the State of Utah and approved and regulated by the Federal Housing Administration (FHA), a department of the U.S. Department of Housing and Urban Development (HUD), which originate mortgage loans that qualify for government insurance in the event of default by the borrower, in addition to various conventional mortgage loan products. SecurityNational Mortgage and EverLEND Mortgage originate and refinance mortgage loans on a retail basis. Mortgage loans originated or refinanced by the Company’s mortgage subsidiaries are funded through loan purchase agreements with Security National Life and unaffiliated financial institutions.</w:t>
      </w:r>
    </w:p>
    <w:p>
      <w:pPr>
        <w:spacing w:after="0" w:line="164" w:lineRule="exact"/>
        <w:rPr>
          <w:sz w:val="20"/>
          <w:szCs w:val="20"/>
          <w:color w:val="auto"/>
        </w:rPr>
      </w:pPr>
    </w:p>
    <w:p>
      <w:pPr>
        <w:jc w:val="both"/>
        <w:ind w:right="1519"/>
        <w:spacing w:after="0" w:line="248" w:lineRule="auto"/>
        <w:rPr>
          <w:sz w:val="20"/>
          <w:szCs w:val="20"/>
          <w:color w:val="auto"/>
        </w:rPr>
      </w:pPr>
      <w:r>
        <w:rPr>
          <w:rFonts w:ascii="Arial" w:cs="Arial" w:eastAsia="Arial" w:hAnsi="Arial"/>
          <w:sz w:val="17"/>
          <w:szCs w:val="17"/>
          <w:color w:val="auto"/>
        </w:rPr>
        <w:t>The Company’s mortgage subsidiaries receive fees from borrowers that are involved in mortgage loan originations and refinancings, and secondary fees earned from third party investors that purchase the mortgage loans originated by the mortgage subsidiaries. Mortgage loans originated by the mortgage subsidiaries are generally sold with mortgage servicing rights released to third-party investors or retained by SecurityNational Mortgage. SecurityNational Mortgage currently retains the mortgage servicing rights on approximately 26% of its loan origination volume. These mortgage loans are serviced by either SecurityNational Mortgage or an approved third-party sub-servicer.</w:t>
      </w:r>
    </w:p>
    <w:p>
      <w:pPr>
        <w:spacing w:after="0" w:line="176" w:lineRule="exact"/>
        <w:rPr>
          <w:sz w:val="20"/>
          <w:szCs w:val="20"/>
          <w:color w:val="auto"/>
        </w:rPr>
      </w:pPr>
    </w:p>
    <w:p>
      <w:pPr>
        <w:jc w:val="both"/>
        <w:ind w:right="1519"/>
        <w:spacing w:after="0" w:line="252" w:lineRule="auto"/>
        <w:rPr>
          <w:sz w:val="20"/>
          <w:szCs w:val="20"/>
          <w:color w:val="auto"/>
        </w:rPr>
      </w:pPr>
      <w:r>
        <w:rPr>
          <w:rFonts w:ascii="Arial" w:cs="Arial" w:eastAsia="Arial" w:hAnsi="Arial"/>
          <w:sz w:val="17"/>
          <w:szCs w:val="17"/>
          <w:color w:val="auto"/>
        </w:rPr>
        <w:t>For the three months ended March 31, 2020 and 2019, SecurityNational Mortgage originated 3,067 loans ($769,309,000 total volume) and 1,953 loans ($419,493,000 total volume), respectively. For the three months ended March 31, 2020 and 2019, EverLEND Mortgage originated 86 loans ($22,885,000 total volume) and 40 loans ($9,008,000 total volume), respectively.</w:t>
      </w:r>
    </w:p>
    <w:p>
      <w:pPr>
        <w:spacing w:after="0" w:line="196"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85725</wp:posOffset>
            </wp:positionV>
            <wp:extent cx="498983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9898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right="1519"/>
        <w:spacing w:after="0" w:line="302" w:lineRule="auto"/>
        <w:rPr>
          <w:sz w:val="20"/>
          <w:szCs w:val="20"/>
          <w:color w:val="auto"/>
        </w:rPr>
      </w:pPr>
      <w:r>
        <w:rPr>
          <w:rFonts w:ascii="Arial" w:cs="Arial" w:eastAsia="Arial" w:hAnsi="Arial"/>
          <w:sz w:val="16"/>
          <w:szCs w:val="16"/>
          <w:color w:val="auto"/>
        </w:rPr>
        <w:t>The following table shows the condensed financial results of the mortgage operations for the three months ended March 31, 2020 and 2019. See Note 7 to the condensed consolidated financial statements.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340" w:type="dxa"/>
            <w:vAlign w:val="bottom"/>
            <w:gridSpan w:val="6"/>
          </w:tcPr>
          <w:p>
            <w:pPr>
              <w:jc w:val="center"/>
              <w:ind w:left="302"/>
              <w:spacing w:after="0"/>
              <w:rPr>
                <w:sz w:val="20"/>
                <w:szCs w:val="20"/>
                <w:color w:val="auto"/>
              </w:rPr>
            </w:pPr>
            <w:r>
              <w:rPr>
                <w:rFonts w:ascii="Arial" w:cs="Arial" w:eastAsia="Arial" w:hAnsi="Arial"/>
                <w:sz w:val="16"/>
                <w:szCs w:val="16"/>
                <w:color w:val="auto"/>
                <w:w w:val="87"/>
              </w:rPr>
              <w:t>Three months ended March 31</w:t>
            </w:r>
          </w:p>
        </w:tc>
        <w:tc>
          <w:tcPr>
            <w:tcW w:w="940" w:type="dxa"/>
            <w:vAlign w:val="bottom"/>
          </w:tcPr>
          <w:p>
            <w:pPr>
              <w:spacing w:after="0"/>
              <w:rPr>
                <w:sz w:val="16"/>
                <w:szCs w:val="16"/>
                <w:color w:val="auto"/>
              </w:rPr>
            </w:pPr>
          </w:p>
        </w:tc>
      </w:tr>
      <w:tr>
        <w:trPr>
          <w:trHeight w:val="205"/>
        </w:trPr>
        <w:tc>
          <w:tcPr>
            <w:tcW w:w="29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6"/>
                <w:szCs w:val="16"/>
                <w:color w:val="auto"/>
                <w:w w:val="88"/>
              </w:rPr>
              <w:t>(in thousands of dollars)</w:t>
            </w:r>
          </w:p>
        </w:tc>
        <w:tc>
          <w:tcPr>
            <w:tcW w:w="940" w:type="dxa"/>
            <w:vAlign w:val="bottom"/>
            <w:tcBorders>
              <w:bottom w:val="single" w:sz="8" w:color="auto"/>
            </w:tcBorders>
          </w:tcPr>
          <w:p>
            <w:pPr>
              <w:spacing w:after="0"/>
              <w:rPr>
                <w:sz w:val="17"/>
                <w:szCs w:val="17"/>
                <w:color w:val="auto"/>
              </w:rPr>
            </w:pPr>
          </w:p>
        </w:tc>
      </w:tr>
      <w:tr>
        <w:trPr>
          <w:trHeight w:val="184"/>
        </w:trPr>
        <w:tc>
          <w:tcPr>
            <w:tcW w:w="2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142"/>
              <w:spacing w:after="0"/>
              <w:rPr>
                <w:sz w:val="20"/>
                <w:szCs w:val="20"/>
                <w:color w:val="auto"/>
              </w:rPr>
            </w:pPr>
            <w:r>
              <w:rPr>
                <w:rFonts w:ascii="Arial" w:cs="Arial" w:eastAsia="Arial" w:hAnsi="Arial"/>
                <w:sz w:val="16"/>
                <w:szCs w:val="16"/>
                <w:color w:val="auto"/>
                <w:w w:val="87"/>
              </w:rPr>
              <w:t>% Increase</w:t>
            </w:r>
          </w:p>
        </w:tc>
      </w:tr>
      <w:tr>
        <w:trPr>
          <w:trHeight w:val="205"/>
        </w:trPr>
        <w:tc>
          <w:tcPr>
            <w:tcW w:w="2920" w:type="dxa"/>
            <w:vAlign w:val="bottom"/>
          </w:tcPr>
          <w:p>
            <w:pPr>
              <w:spacing w:after="0"/>
              <w:rPr>
                <w:sz w:val="17"/>
                <w:szCs w:val="17"/>
                <w:color w:val="auto"/>
              </w:rPr>
            </w:pPr>
          </w:p>
        </w:tc>
        <w:tc>
          <w:tcPr>
            <w:tcW w:w="1100" w:type="dxa"/>
            <w:vAlign w:val="bottom"/>
            <w:gridSpan w:val="2"/>
          </w:tcPr>
          <w:p>
            <w:pPr>
              <w:jc w:val="right"/>
              <w:ind w:right="322"/>
              <w:spacing w:after="0"/>
              <w:rPr>
                <w:sz w:val="20"/>
                <w:szCs w:val="20"/>
                <w:color w:val="auto"/>
              </w:rPr>
            </w:pPr>
            <w:r>
              <w:rPr>
                <w:rFonts w:ascii="Arial" w:cs="Arial" w:eastAsia="Arial" w:hAnsi="Arial"/>
                <w:sz w:val="16"/>
                <w:szCs w:val="16"/>
                <w:color w:val="auto"/>
              </w:rPr>
              <w:t>2020</w:t>
            </w:r>
          </w:p>
        </w:tc>
        <w:tc>
          <w:tcPr>
            <w:tcW w:w="1380" w:type="dxa"/>
            <w:vAlign w:val="bottom"/>
            <w:gridSpan w:val="3"/>
          </w:tcPr>
          <w:p>
            <w:pPr>
              <w:jc w:val="center"/>
              <w:ind w:left="182"/>
              <w:spacing w:after="0"/>
              <w:rPr>
                <w:sz w:val="20"/>
                <w:szCs w:val="20"/>
                <w:color w:val="auto"/>
              </w:rPr>
            </w:pPr>
            <w:r>
              <w:rPr>
                <w:rFonts w:ascii="Arial" w:cs="Arial" w:eastAsia="Arial" w:hAnsi="Arial"/>
                <w:sz w:val="16"/>
                <w:szCs w:val="16"/>
                <w:color w:val="auto"/>
                <w:w w:val="89"/>
              </w:rPr>
              <w:t>2019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142"/>
              <w:spacing w:after="0"/>
              <w:rPr>
                <w:sz w:val="20"/>
                <w:szCs w:val="20"/>
                <w:color w:val="auto"/>
              </w:rPr>
            </w:pPr>
            <w:r>
              <w:rPr>
                <w:rFonts w:ascii="Arial" w:cs="Arial" w:eastAsia="Arial" w:hAnsi="Arial"/>
                <w:sz w:val="16"/>
                <w:szCs w:val="16"/>
                <w:color w:val="auto"/>
                <w:w w:val="88"/>
              </w:rPr>
              <w:t>(Decrease)</w:t>
            </w:r>
          </w:p>
        </w:tc>
      </w:tr>
      <w:tr>
        <w:trPr>
          <w:trHeight w:val="208"/>
        </w:trPr>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 from external customers</w:t>
            </w:r>
          </w:p>
        </w:tc>
        <w:tc>
          <w:tcPr>
            <w:tcW w:w="5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05"/>
        </w:trPr>
        <w:tc>
          <w:tcPr>
            <w:tcW w:w="2920" w:type="dxa"/>
            <w:vAlign w:val="bottom"/>
          </w:tcPr>
          <w:p>
            <w:pPr>
              <w:ind w:left="180"/>
              <w:spacing w:after="0"/>
              <w:rPr>
                <w:sz w:val="20"/>
                <w:szCs w:val="20"/>
                <w:color w:val="auto"/>
              </w:rPr>
            </w:pPr>
            <w:r>
              <w:rPr>
                <w:rFonts w:ascii="Arial" w:cs="Arial" w:eastAsia="Arial" w:hAnsi="Arial"/>
                <w:sz w:val="16"/>
                <w:szCs w:val="16"/>
                <w:color w:val="auto"/>
              </w:rPr>
              <w:t>Income from loan originations</w:t>
            </w:r>
          </w:p>
        </w:tc>
        <w:tc>
          <w:tcPr>
            <w:tcW w:w="5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13,641</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8,114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16"/>
        </w:trPr>
        <w:tc>
          <w:tcPr>
            <w:tcW w:w="29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Secondary gains from investors</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26,641</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16,365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r>
    </w:tbl>
    <w:p>
      <w:pPr>
        <w:sectPr>
          <w:pgSz w:w="11900" w:h="16838" w:orient="portrait"/>
          <w:cols w:equalWidth="0" w:num="1">
            <w:col w:w="9379"/>
          </w:cols>
          <w:pgMar w:left="1080" w:top="120" w:right="1440" w:bottom="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920" w:type="dxa"/>
            <w:vAlign w:val="bottom"/>
          </w:tcPr>
          <w:p>
            <w:pPr>
              <w:ind w:left="20"/>
              <w:spacing w:after="0"/>
              <w:rPr>
                <w:sz w:val="20"/>
                <w:szCs w:val="20"/>
                <w:color w:val="auto"/>
              </w:rPr>
            </w:pPr>
            <w:r>
              <w:rPr>
                <w:rFonts w:ascii="Arial" w:cs="Arial" w:eastAsia="Arial" w:hAnsi="Arial"/>
                <w:sz w:val="16"/>
                <w:szCs w:val="16"/>
                <w:color w:val="auto"/>
              </w:rPr>
              <w:t>Net investment income</w:t>
            </w:r>
          </w:p>
        </w:tc>
        <w:tc>
          <w:tcPr>
            <w:tcW w:w="5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144</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176</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7"/>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Gains on investments and other assets</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05"/>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5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1,970</w:t>
            </w:r>
          </w:p>
        </w:tc>
        <w:tc>
          <w:tcPr>
            <w:tcW w:w="26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2,009</w:t>
            </w:r>
          </w:p>
        </w:tc>
        <w:tc>
          <w:tcPr>
            <w:tcW w:w="24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08"/>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5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42,389</w:t>
            </w:r>
          </w:p>
        </w:tc>
        <w:tc>
          <w:tcPr>
            <w:tcW w:w="2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26,629</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0"/>
        </w:trPr>
        <w:tc>
          <w:tcPr>
            <w:tcW w:w="29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6"/>
        </w:trPr>
        <w:tc>
          <w:tcPr>
            <w:tcW w:w="2920" w:type="dxa"/>
            <w:vAlign w:val="bottom"/>
          </w:tcPr>
          <w:p>
            <w:pPr>
              <w:ind w:left="20"/>
              <w:spacing w:after="0"/>
              <w:rPr>
                <w:sz w:val="20"/>
                <w:szCs w:val="20"/>
                <w:color w:val="auto"/>
              </w:rPr>
            </w:pPr>
            <w:r>
              <w:rPr>
                <w:rFonts w:ascii="Arial" w:cs="Arial" w:eastAsia="Arial" w:hAnsi="Arial"/>
                <w:sz w:val="16"/>
                <w:szCs w:val="16"/>
                <w:color w:val="auto"/>
              </w:rPr>
              <w:t>Earnings before income taxes</w:t>
            </w:r>
          </w:p>
        </w:tc>
        <w:tc>
          <w:tcPr>
            <w:tcW w:w="5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4,439</w:t>
            </w:r>
          </w:p>
        </w:tc>
        <w:tc>
          <w:tcPr>
            <w:tcW w:w="260" w:type="dxa"/>
            <w:vAlign w:val="bottom"/>
          </w:tcPr>
          <w:p>
            <w:pPr>
              <w:spacing w:after="0"/>
              <w:rPr>
                <w:sz w:val="16"/>
                <w:szCs w:val="16"/>
                <w:color w:val="auto"/>
              </w:rPr>
            </w:pPr>
          </w:p>
        </w:tc>
        <w:tc>
          <w:tcPr>
            <w:tcW w:w="5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(838)</w:t>
            </w:r>
          </w:p>
        </w:tc>
        <w:tc>
          <w:tcPr>
            <w:tcW w:w="240" w:type="dxa"/>
            <w:vAlign w:val="bottom"/>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w:t>
            </w:r>
          </w:p>
        </w:tc>
      </w:tr>
      <w:tr>
        <w:trPr>
          <w:trHeight w:val="20"/>
        </w:trPr>
        <w:tc>
          <w:tcPr>
            <w:tcW w:w="29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1519"/>
        <w:spacing w:after="0" w:line="257" w:lineRule="auto"/>
        <w:rPr>
          <w:sz w:val="20"/>
          <w:szCs w:val="20"/>
          <w:color w:val="auto"/>
        </w:rPr>
      </w:pPr>
      <w:r>
        <w:rPr>
          <w:rFonts w:ascii="Arial" w:cs="Arial" w:eastAsia="Arial" w:hAnsi="Arial"/>
          <w:sz w:val="17"/>
          <w:szCs w:val="17"/>
          <w:color w:val="auto"/>
        </w:rPr>
        <w:t>Included in other revenues is service fee income. The increase in earnings for the three months ended March 31, 2020 was due to an increase in mortgage loan originations and refinancings, and subsequent sales of mortgage loans into the secondary market.</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Mortgage Loan Loss Settlements</w:t>
      </w:r>
    </w:p>
    <w:p>
      <w:pPr>
        <w:spacing w:after="0" w:line="354" w:lineRule="exact"/>
        <w:rPr>
          <w:sz w:val="20"/>
          <w:szCs w:val="20"/>
          <w:color w:val="auto"/>
        </w:rPr>
      </w:pPr>
    </w:p>
    <w:p>
      <w:pPr>
        <w:jc w:val="both"/>
        <w:ind w:right="1519"/>
        <w:spacing w:after="0" w:line="250" w:lineRule="auto"/>
        <w:rPr>
          <w:sz w:val="20"/>
          <w:szCs w:val="20"/>
          <w:color w:val="auto"/>
        </w:rPr>
      </w:pPr>
      <w:r>
        <w:rPr>
          <w:rFonts w:ascii="Arial" w:cs="Arial" w:eastAsia="Arial" w:hAnsi="Arial"/>
          <w:sz w:val="17"/>
          <w:szCs w:val="17"/>
          <w:color w:val="auto"/>
        </w:rPr>
        <w:t>Future mortgage loan losses can be extremely difficult to estimate. However, management believes that the Company’s reserve methodology and its current practice of property preservation allow it to estimate its potential losses on mortgage loans sold. The estimated liability for indemnification losses was included in other liabilities and accrued expenses and, as of March 31, 2020 and December 31, 2019, the balances were $3,429,000 and $4,046,000,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Mortgage Loan Loss Litigation</w:t>
      </w:r>
    </w:p>
    <w:p>
      <w:pPr>
        <w:spacing w:after="0" w:line="202" w:lineRule="exact"/>
        <w:rPr>
          <w:sz w:val="20"/>
          <w:szCs w:val="20"/>
          <w:color w:val="auto"/>
        </w:rPr>
      </w:pPr>
    </w:p>
    <w:p>
      <w:pPr>
        <w:jc w:val="both"/>
        <w:ind w:right="1519"/>
        <w:spacing w:after="0" w:line="270" w:lineRule="auto"/>
        <w:rPr>
          <w:sz w:val="20"/>
          <w:szCs w:val="20"/>
          <w:color w:val="auto"/>
        </w:rPr>
      </w:pPr>
      <w:r>
        <w:rPr>
          <w:rFonts w:ascii="Arial" w:cs="Arial" w:eastAsia="Arial" w:hAnsi="Arial"/>
          <w:sz w:val="17"/>
          <w:szCs w:val="17"/>
          <w:color w:val="auto"/>
        </w:rPr>
        <w:t>For a description of the litigation involving SecurityNational Mortgage and Lehman Brothers Holdings, see Part I, Item 1. Notes to Condensed Consolidated Financial Statements (unaudited) in Note 11.</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Consolidation</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Three Months Ended March 31, 2020 Compared to Three Months Ended March 31, 2019</w:t>
      </w:r>
    </w:p>
    <w:p>
      <w:pPr>
        <w:spacing w:after="0" w:line="208" w:lineRule="exact"/>
        <w:rPr>
          <w:sz w:val="20"/>
          <w:szCs w:val="20"/>
          <w:color w:val="auto"/>
        </w:rPr>
      </w:pPr>
    </w:p>
    <w:p>
      <w:pPr>
        <w:jc w:val="both"/>
        <w:ind w:right="1519"/>
        <w:spacing w:after="0" w:line="267" w:lineRule="auto"/>
        <w:rPr>
          <w:sz w:val="20"/>
          <w:szCs w:val="20"/>
          <w:color w:val="auto"/>
        </w:rPr>
      </w:pPr>
      <w:r>
        <w:rPr>
          <w:rFonts w:ascii="Arial" w:cs="Arial" w:eastAsia="Arial" w:hAnsi="Arial"/>
          <w:sz w:val="16"/>
          <w:szCs w:val="16"/>
          <w:color w:val="auto"/>
        </w:rPr>
        <w:t>Total revenues increased by $18,115,000, or 29.5%, to $79,609,000 for the three months ended March 31, 2020, from $61,494,000 for the comparable period in 2019. Contributing to this increase in total revenues was a $15,803,000 increase in mortgage fee income, a $3,359,000 increase in net investment income, a $3,264,000 increase in insurance premiums and other considerations, and a $779,000 increase in net mortuary and cemetery sales. This increase in total revenues was partially offset by a $5,019,000 decrease in gains on investments and other assets and a $71,000 decrease in other revenues.</w:t>
      </w:r>
    </w:p>
    <w:p>
      <w:pPr>
        <w:spacing w:after="0" w:line="163" w:lineRule="exact"/>
        <w:rPr>
          <w:sz w:val="20"/>
          <w:szCs w:val="20"/>
          <w:color w:val="auto"/>
        </w:rPr>
      </w:pPr>
    </w:p>
    <w:p>
      <w:pPr>
        <w:jc w:val="both"/>
        <w:ind w:right="1519"/>
        <w:spacing w:after="0" w:line="249" w:lineRule="auto"/>
        <w:rPr>
          <w:sz w:val="20"/>
          <w:szCs w:val="20"/>
          <w:color w:val="auto"/>
        </w:rPr>
      </w:pPr>
      <w:r>
        <w:rPr>
          <w:rFonts w:ascii="Arial" w:cs="Arial" w:eastAsia="Arial" w:hAnsi="Arial"/>
          <w:sz w:val="17"/>
          <w:szCs w:val="17"/>
          <w:color w:val="auto"/>
        </w:rPr>
        <w:t>Insurance premiums and other considerations increased by $3,264,000, or 17.2%, to $22,291,000 for the three months ended March 31, 2020, from $19,027,000 for the comparable period in 2019. This increase was primarily due to $2,911,000 from the acquisition of Kilpatrick Life in December 2019. See Note 15 to the condensed consolidated financial statements. This increase was also due to an increase in renewal premiums due to the growth of the Company in recent years, particularly in whole life products, which resulted in more premium paying business in force.</w:t>
      </w:r>
    </w:p>
    <w:p>
      <w:pPr>
        <w:spacing w:after="0" w:line="175" w:lineRule="exact"/>
        <w:rPr>
          <w:sz w:val="20"/>
          <w:szCs w:val="20"/>
          <w:color w:val="auto"/>
        </w:rPr>
      </w:pPr>
    </w:p>
    <w:p>
      <w:pPr>
        <w:jc w:val="both"/>
        <w:ind w:right="1519"/>
        <w:spacing w:after="0" w:line="248" w:lineRule="auto"/>
        <w:rPr>
          <w:sz w:val="20"/>
          <w:szCs w:val="20"/>
          <w:color w:val="auto"/>
        </w:rPr>
      </w:pPr>
      <w:r>
        <w:rPr>
          <w:rFonts w:ascii="Arial" w:cs="Arial" w:eastAsia="Arial" w:hAnsi="Arial"/>
          <w:sz w:val="17"/>
          <w:szCs w:val="17"/>
          <w:color w:val="auto"/>
        </w:rPr>
        <w:t>Net investment income increased by $3,359,000, or 33.4%, to $13,400,000 for the three months ended March 31, 2020, from $10,042,000 for the comparable period in 2019. This increase was primarily attributable to a $1,551,000 increase in mortgage loan interest ($580,000 due to the acquisition of Kilpatrick Life), a $1,243,000 increase in rental income from real estate held for investment ($506,000 due to the acquisition of Kilpatrick Life), a $421,000 increase in fixed maturity securities income ($471,000 due to the acquisition of Kilpatrick Life), a $146,000 increase in policy loan income ($136,000 due to the acquisition of Kilpatrick Life), a $128,000 decrease in investment</w:t>
      </w:r>
    </w:p>
    <w:p>
      <w:pPr>
        <w:spacing w:after="0" w:line="200"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93345</wp:posOffset>
            </wp:positionV>
            <wp:extent cx="498983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989830" cy="29845"/>
                    </a:xfrm>
                    <a:prstGeom prst="rect">
                      <a:avLst/>
                    </a:prstGeom>
                    <a:noFill/>
                  </pic:spPr>
                </pic:pic>
              </a:graphicData>
            </a:graphic>
          </wp:anchor>
        </w:drawing>
      </w:r>
    </w:p>
    <w:p>
      <w:pPr>
        <w:sectPr>
          <w:pgSz w:w="11900" w:h="16838" w:orient="portrait"/>
          <w:cols w:equalWidth="0" w:num="1">
            <w:col w:w="9379"/>
          </w:cols>
          <w:pgMar w:left="1080" w:top="127" w:right="1440" w:bottom="1440" w:gutter="0" w:footer="0" w:header="0"/>
        </w:sectPr>
      </w:pPr>
    </w:p>
    <w:bookmarkStart w:id="55" w:name="page56"/>
    <w:bookmarkEnd w:id="55"/>
    <w:p>
      <w:pPr>
        <w:jc w:val="both"/>
        <w:ind w:right="1519"/>
        <w:spacing w:after="0" w:line="297" w:lineRule="auto"/>
        <w:rPr>
          <w:sz w:val="20"/>
          <w:szCs w:val="20"/>
          <w:color w:val="auto"/>
        </w:rPr>
      </w:pPr>
      <w:r>
        <w:rPr>
          <w:rFonts w:ascii="Arial" w:cs="Arial" w:eastAsia="Arial" w:hAnsi="Arial"/>
          <w:sz w:val="15"/>
          <w:szCs w:val="15"/>
          <w:color w:val="auto"/>
        </w:rPr>
        <w:t>expenses ($114,000 increase due to the acquisition of Kilpatrick Life), a $87,000 increase in insurance assignment income, and a $14,000 increase in equity securities income. This increase was partially offset by a $201,000 decrease in interest on cash and cash equivalents ($111,000 increase due to the acquisition of Kilpatrick Life) and a $30,000 decrease in other investment income ($25,000 increase due to the acquisition of Kilpatrick Life).</w:t>
      </w:r>
    </w:p>
    <w:p>
      <w:pPr>
        <w:spacing w:after="0" w:line="48" w:lineRule="exact"/>
        <w:rPr>
          <w:sz w:val="20"/>
          <w:szCs w:val="20"/>
          <w:color w:val="auto"/>
        </w:rPr>
      </w:pPr>
    </w:p>
    <w:p>
      <w:pPr>
        <w:jc w:val="both"/>
        <w:ind w:right="1519"/>
        <w:spacing w:after="0" w:line="252" w:lineRule="auto"/>
        <w:rPr>
          <w:sz w:val="20"/>
          <w:szCs w:val="20"/>
          <w:color w:val="auto"/>
        </w:rPr>
      </w:pPr>
      <w:r>
        <w:rPr>
          <w:rFonts w:ascii="Arial" w:cs="Arial" w:eastAsia="Arial" w:hAnsi="Arial"/>
          <w:sz w:val="17"/>
          <w:szCs w:val="17"/>
          <w:color w:val="auto"/>
        </w:rPr>
        <w:t>Net mortuary and cemetery sales increased by $779,000, or 21.2%, to $4,458,000 for the three months ended March 31, 2020, from $3,679,000 for the comparable period in 2019. This increase was primarily due to a $363,000 increase in cemetery pre-need sales, a $287,000 increase in cemetery at-need sales, and a $129,000 increase in mortuary at-need sales.</w:t>
      </w:r>
    </w:p>
    <w:p>
      <w:pPr>
        <w:spacing w:after="0" w:line="173" w:lineRule="exact"/>
        <w:rPr>
          <w:sz w:val="20"/>
          <w:szCs w:val="20"/>
          <w:color w:val="auto"/>
        </w:rPr>
      </w:pPr>
    </w:p>
    <w:p>
      <w:pPr>
        <w:jc w:val="both"/>
        <w:ind w:right="1519"/>
        <w:spacing w:after="0" w:line="283" w:lineRule="auto"/>
        <w:rPr>
          <w:sz w:val="20"/>
          <w:szCs w:val="20"/>
          <w:color w:val="auto"/>
        </w:rPr>
      </w:pPr>
      <w:r>
        <w:rPr>
          <w:rFonts w:ascii="Arial" w:cs="Arial" w:eastAsia="Arial" w:hAnsi="Arial"/>
          <w:sz w:val="15"/>
          <w:szCs w:val="15"/>
          <w:color w:val="auto"/>
        </w:rPr>
        <w:t>Gains on investments and other assets decreased by $5,019,000, or 277.8%, to losses of $3,212,000 for the three months ended March 31, 2020, from gains of $1,807,000 for the comparable period in 2019. This decrease in gains on investments and other assets was primarily due a $3,592,000 decrease in gains on equity securities ($148,000 due to the acquisition of Kilpatrick Life) mostly attributable to decreases in the fair value of these equity securities, due to the recent downturn of the economy caused by the COVID-19 Pandemic. Due to the adoption of Accounting Standards Update (“ASU”) 2016-01 on January 1, 2019, these changes in fair value are recognized in earnings instead of other comprehensive income. This decrease in gains on investments and other assets was also due to a $1,472,000 decrease in gains on other assets mostly attributable to decreases in the fair value of call and put option derivatives. This decrease in gains on investments and other assets was partially offset by a $45,000 increase in gains on fixed maturity securities ($36,000 due to the acquisition of Kilpatrick Life).</w:t>
      </w:r>
    </w:p>
    <w:p>
      <w:pPr>
        <w:spacing w:after="0" w:line="153" w:lineRule="exact"/>
        <w:rPr>
          <w:sz w:val="20"/>
          <w:szCs w:val="20"/>
          <w:color w:val="auto"/>
        </w:rPr>
      </w:pPr>
    </w:p>
    <w:p>
      <w:pPr>
        <w:jc w:val="both"/>
        <w:ind w:right="1519"/>
        <w:spacing w:after="0" w:line="292" w:lineRule="auto"/>
        <w:rPr>
          <w:sz w:val="20"/>
          <w:szCs w:val="20"/>
          <w:color w:val="auto"/>
        </w:rPr>
      </w:pPr>
      <w:r>
        <w:rPr>
          <w:rFonts w:ascii="Arial" w:cs="Arial" w:eastAsia="Arial" w:hAnsi="Arial"/>
          <w:sz w:val="15"/>
          <w:szCs w:val="15"/>
          <w:color w:val="auto"/>
        </w:rPr>
        <w:t>Mortgage fee income increased by $15,803,000, or 64.6%, to $40,282,000, for the three months ended March 31, 2020, from $24,479,000 for the comparable period in 2019. This increase was primarily due to a $10,277,000 increase in secondary gains from loans sold to third-party investors, a $3,641,000 increase in loan fees and interest income, and a $2,396,000 increase in the fair value of loans held for sale and loan commitments. This increase in mortgage fee income was partially offset by a $511,000 increase in the provision for loan loss reserve.</w:t>
      </w:r>
    </w:p>
    <w:p>
      <w:pPr>
        <w:spacing w:after="0" w:line="143" w:lineRule="exact"/>
        <w:rPr>
          <w:sz w:val="20"/>
          <w:szCs w:val="20"/>
          <w:color w:val="auto"/>
        </w:rPr>
      </w:pPr>
    </w:p>
    <w:p>
      <w:pPr>
        <w:jc w:val="both"/>
        <w:ind w:right="1519"/>
        <w:spacing w:after="0" w:line="257" w:lineRule="auto"/>
        <w:rPr>
          <w:sz w:val="20"/>
          <w:szCs w:val="20"/>
          <w:color w:val="auto"/>
        </w:rPr>
      </w:pPr>
      <w:r>
        <w:rPr>
          <w:rFonts w:ascii="Arial" w:cs="Arial" w:eastAsia="Arial" w:hAnsi="Arial"/>
          <w:sz w:val="17"/>
          <w:szCs w:val="17"/>
          <w:color w:val="auto"/>
        </w:rPr>
        <w:t>Other revenues decreased by $71,000, or 2.9%, to $2,390,000 for the three months ended March 31, 2020, from $2,461,000 for the comparable period in 2019. This decrease was primarily attributable to a decrease in servicing fee revenue.</w:t>
      </w:r>
    </w:p>
    <w:p>
      <w:pPr>
        <w:spacing w:after="0" w:line="167" w:lineRule="exact"/>
        <w:rPr>
          <w:sz w:val="20"/>
          <w:szCs w:val="20"/>
          <w:color w:val="auto"/>
        </w:rPr>
      </w:pPr>
    </w:p>
    <w:p>
      <w:pPr>
        <w:jc w:val="both"/>
        <w:ind w:right="1519"/>
        <w:spacing w:after="0" w:line="302" w:lineRule="auto"/>
        <w:rPr>
          <w:sz w:val="20"/>
          <w:szCs w:val="20"/>
          <w:color w:val="auto"/>
        </w:rPr>
      </w:pPr>
      <w:r>
        <w:rPr>
          <w:rFonts w:ascii="Arial" w:cs="Arial" w:eastAsia="Arial" w:hAnsi="Arial"/>
          <w:sz w:val="16"/>
          <w:szCs w:val="16"/>
          <w:color w:val="auto"/>
        </w:rPr>
        <w:t>Total benefits and expenses were $78,135,000, or 98.1% of total revenues, for the three months ended March 31, 2020, as compared to $59,062,000, or 96.0% of total revenues, for the comparable period in 2019.</w:t>
      </w:r>
    </w:p>
    <w:p>
      <w:pPr>
        <w:spacing w:after="0" w:line="133" w:lineRule="exact"/>
        <w:rPr>
          <w:sz w:val="20"/>
          <w:szCs w:val="20"/>
          <w:color w:val="auto"/>
        </w:rPr>
      </w:pPr>
    </w:p>
    <w:p>
      <w:pPr>
        <w:jc w:val="both"/>
        <w:ind w:right="1519"/>
        <w:spacing w:after="0" w:line="249" w:lineRule="auto"/>
        <w:rPr>
          <w:sz w:val="20"/>
          <w:szCs w:val="20"/>
          <w:color w:val="auto"/>
        </w:rPr>
      </w:pPr>
      <w:r>
        <w:rPr>
          <w:rFonts w:ascii="Arial" w:cs="Arial" w:eastAsia="Arial" w:hAnsi="Arial"/>
          <w:sz w:val="17"/>
          <w:szCs w:val="17"/>
          <w:color w:val="auto"/>
        </w:rPr>
        <w:t>Death benefits, surrenders and other policy benefits, and future policy benefits increased by an aggregate of $4,821,000 or 28.9%, to $21,516,000 for the three months ended March 31, 2020, from $16,695,000 for the comparable period in 2019. This increase was primarily the result of a $3,330,000 increase in death benefits ($2,522,000 due to the acquisition of Kilpatrick Life), a $1,287,000 increase in future policy benefits ($929,000 due to the acquisition of Kilpatrick Life) and a $204,000 increase in surrender and other policy benefits ($277,000 due to the acquisition of Kilpatrick Life).</w:t>
      </w:r>
    </w:p>
    <w:p>
      <w:pPr>
        <w:spacing w:after="0" w:line="175" w:lineRule="exact"/>
        <w:rPr>
          <w:sz w:val="20"/>
          <w:szCs w:val="20"/>
          <w:color w:val="auto"/>
        </w:rPr>
      </w:pPr>
    </w:p>
    <w:p>
      <w:pPr>
        <w:jc w:val="both"/>
        <w:ind w:right="1519"/>
        <w:spacing w:after="0" w:line="273" w:lineRule="auto"/>
        <w:rPr>
          <w:sz w:val="20"/>
          <w:szCs w:val="20"/>
          <w:color w:val="auto"/>
        </w:rPr>
      </w:pPr>
      <w:r>
        <w:rPr>
          <w:rFonts w:ascii="Arial" w:cs="Arial" w:eastAsia="Arial" w:hAnsi="Arial"/>
          <w:sz w:val="16"/>
          <w:szCs w:val="16"/>
          <w:color w:val="auto"/>
        </w:rPr>
        <w:t>Amortization of deferred policy and pre-need acquisition costs and value of business acquired increased by $387,000, or 12.4%, to $3,515,000 for the three months ended March 31, 2020, from $3,128,000 for the comparable period in 2019. This increase was primarily due to an increase in the average outstanding balance of deferred policy and pre-need acquisition costs and $13,000 due to the acquisition of Kilpatrick Life.</w:t>
      </w:r>
    </w:p>
    <w:p>
      <w:pPr>
        <w:spacing w:after="0" w:line="157" w:lineRule="exact"/>
        <w:rPr>
          <w:sz w:val="20"/>
          <w:szCs w:val="20"/>
          <w:color w:val="auto"/>
        </w:rPr>
      </w:pPr>
    </w:p>
    <w:p>
      <w:pPr>
        <w:jc w:val="both"/>
        <w:ind w:right="1519"/>
        <w:spacing w:after="0" w:line="264" w:lineRule="auto"/>
        <w:rPr>
          <w:sz w:val="20"/>
          <w:szCs w:val="20"/>
          <w:color w:val="auto"/>
        </w:rPr>
      </w:pPr>
      <w:r>
        <w:rPr>
          <w:rFonts w:ascii="Arial" w:cs="Arial" w:eastAsia="Arial" w:hAnsi="Arial"/>
          <w:sz w:val="16"/>
          <w:szCs w:val="16"/>
          <w:color w:val="auto"/>
        </w:rPr>
        <w:t>Selling, general and administrative expenses increased by $13,349,000, or 36.0%, to $50,443,000 for the three months ended March 31, 2020, from $37,094,000 for the comparable period in 2019. This increase was primarily the result of a $6,880,000 increase in commissions, a $3,689,000 increase in personnel expenses, a $2,430,000 increase in other expenses, a $601,000 increase in costs related to funding mortgage loans, and a $67,000 increase in depreciation on property and equipment. This increase was partially offset by a $290,000 decrease in rent and rent related expenses and a $28,000 decrease in advertising expenses. Most of these increases are attributable to the mortgage segment due to the increase in mortgage loan originations and refinancings, most notably $6,561,000 in commissions, $2,108,000 in personnel expenses, and $1,615,000 in other expenses. Also, these increases are attributable to the acquisition of Kilpatrick Life, most notably $953,000 in personnel expenses, $543,000 in commissions, and $618,000 in other expenses.</w:t>
      </w:r>
    </w:p>
    <w:p>
      <w:pPr>
        <w:spacing w:after="0" w:line="186"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85725</wp:posOffset>
            </wp:positionV>
            <wp:extent cx="498983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989830" cy="29845"/>
                    </a:xfrm>
                    <a:prstGeom prst="rect">
                      <a:avLst/>
                    </a:prstGeom>
                    <a:noFill/>
                  </pic:spPr>
                </pic:pic>
              </a:graphicData>
            </a:graphic>
          </wp:anchor>
        </w:drawing>
      </w:r>
    </w:p>
    <w:p>
      <w:pPr>
        <w:sectPr>
          <w:pgSz w:w="11900" w:h="16838" w:orient="portrait"/>
          <w:cols w:equalWidth="0" w:num="1">
            <w:col w:w="9379"/>
          </w:cols>
          <w:pgMar w:left="1080" w:top="124" w:right="1440" w:bottom="1440" w:gutter="0" w:footer="0" w:header="0"/>
        </w:sectPr>
      </w:pPr>
    </w:p>
    <w:bookmarkStart w:id="56" w:name="page57"/>
    <w:bookmarkEnd w:id="56"/>
    <w:p>
      <w:pPr>
        <w:jc w:val="both"/>
        <w:ind w:right="1519"/>
        <w:spacing w:after="0" w:line="257" w:lineRule="auto"/>
        <w:rPr>
          <w:sz w:val="20"/>
          <w:szCs w:val="20"/>
          <w:color w:val="auto"/>
        </w:rPr>
      </w:pPr>
      <w:r>
        <w:rPr>
          <w:rFonts w:ascii="Arial" w:cs="Arial" w:eastAsia="Arial" w:hAnsi="Arial"/>
          <w:sz w:val="17"/>
          <w:szCs w:val="17"/>
          <w:color w:val="auto"/>
        </w:rPr>
        <w:t>Interest expense increased by $327,000, or 21.9%, to $1,819,000 for the three months ended March 31, 2020, from $1,492,000 for the comparable period in 2019. This increase was primarily due to a $305,000 increase in interest expense on mortgage warehouse lines for loans held for sale.</w:t>
      </w:r>
    </w:p>
    <w:p>
      <w:pPr>
        <w:spacing w:after="0" w:line="169" w:lineRule="exact"/>
        <w:rPr>
          <w:sz w:val="20"/>
          <w:szCs w:val="20"/>
          <w:color w:val="auto"/>
        </w:rPr>
      </w:pPr>
    </w:p>
    <w:p>
      <w:pPr>
        <w:jc w:val="both"/>
        <w:ind w:right="1519"/>
        <w:spacing w:after="0" w:line="252" w:lineRule="auto"/>
        <w:rPr>
          <w:sz w:val="20"/>
          <w:szCs w:val="20"/>
          <w:color w:val="auto"/>
        </w:rPr>
      </w:pPr>
      <w:r>
        <w:rPr>
          <w:rFonts w:ascii="Arial" w:cs="Arial" w:eastAsia="Arial" w:hAnsi="Arial"/>
          <w:sz w:val="17"/>
          <w:szCs w:val="17"/>
          <w:color w:val="auto"/>
        </w:rPr>
        <w:t>Cost of goods and services sold-mortuaries and cemeteries increased by $189,000, or 29.8%, to $842,000 for the three months ended March 31, 2020, from $653,000 for the comparable period in 2019. This increase was primarily due to a $87,000 increase in cemetery at-need sales, a $80,000 increase in cemetery pre-need sales, and a $22,000 increase in mortuary at-need sales.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08" w:lineRule="exact"/>
        <w:rPr>
          <w:sz w:val="20"/>
          <w:szCs w:val="20"/>
          <w:color w:val="auto"/>
        </w:rPr>
      </w:pPr>
    </w:p>
    <w:p>
      <w:pPr>
        <w:jc w:val="both"/>
        <w:ind w:right="1519"/>
        <w:spacing w:after="0" w:line="264" w:lineRule="auto"/>
        <w:rPr>
          <w:sz w:val="20"/>
          <w:szCs w:val="20"/>
          <w:color w:val="auto"/>
        </w:rPr>
      </w:pPr>
      <w:r>
        <w:rPr>
          <w:rFonts w:ascii="Arial" w:cs="Arial" w:eastAsia="Arial" w:hAnsi="Arial"/>
          <w:sz w:val="16"/>
          <w:szCs w:val="16"/>
          <w:color w:val="auto"/>
        </w:rPr>
        <w:t>The Company’s life insurance subsidiaries and cemetery and mortuary subsidiaries realize cash flow from premiums, contract payments and sales on personal services rendered for cemetery and mortuary business, from interest and dividends on invested assets, and from the proceeds from the maturity or sale of investments. The mortgage subsidiaries realize cash flow from fees generated by originating and refinancing mortgage loans, and fees earned from mortgage loans held for sale that are sold to investors. The Company considers these sources of cash flow to be adequate to fund future policyholder and cemetery and mortuary liabilities, which generally are long-term and adequate to pay current policyholder claims, annuity payments, expenses related to the issuance of new policies, the maintenance of existing policies, and debt service, and to meet current operating expenses. It should be noted that current conditions in the financial markets and economy caused by the COVID-19 Pandemic may affect the cash flows of the Company.</w:t>
      </w:r>
    </w:p>
    <w:p>
      <w:pPr>
        <w:spacing w:after="0" w:line="163" w:lineRule="exact"/>
        <w:rPr>
          <w:sz w:val="20"/>
          <w:szCs w:val="20"/>
          <w:color w:val="auto"/>
        </w:rPr>
      </w:pPr>
    </w:p>
    <w:p>
      <w:pPr>
        <w:jc w:val="both"/>
        <w:ind w:right="1519"/>
        <w:spacing w:after="0" w:line="257" w:lineRule="auto"/>
        <w:rPr>
          <w:sz w:val="20"/>
          <w:szCs w:val="20"/>
          <w:color w:val="auto"/>
        </w:rPr>
      </w:pPr>
      <w:r>
        <w:rPr>
          <w:rFonts w:ascii="Arial" w:cs="Arial" w:eastAsia="Arial" w:hAnsi="Arial"/>
          <w:sz w:val="17"/>
          <w:szCs w:val="17"/>
          <w:color w:val="auto"/>
        </w:rPr>
        <w:t>During the three months ended March 31, 2020 and 2019, the Company's operations used cash of $63,771,000 and provided cash of $19,519,000, respectively. This decrease was due primarily to originations of mortgage loans held for sale.</w:t>
      </w:r>
    </w:p>
    <w:p>
      <w:pPr>
        <w:spacing w:after="0" w:line="167" w:lineRule="exact"/>
        <w:rPr>
          <w:sz w:val="20"/>
          <w:szCs w:val="20"/>
          <w:color w:val="auto"/>
        </w:rPr>
      </w:pPr>
    </w:p>
    <w:p>
      <w:pPr>
        <w:jc w:val="both"/>
        <w:ind w:right="1519"/>
        <w:spacing w:after="0" w:line="267" w:lineRule="auto"/>
        <w:rPr>
          <w:sz w:val="20"/>
          <w:szCs w:val="20"/>
          <w:color w:val="auto"/>
        </w:rPr>
      </w:pPr>
      <w:r>
        <w:rPr>
          <w:rFonts w:ascii="Arial" w:cs="Arial" w:eastAsia="Arial" w:hAnsi="Arial"/>
          <w:sz w:val="16"/>
          <w:szCs w:val="16"/>
          <w:color w:val="auto"/>
        </w:rPr>
        <w:t>The Company’s liability for future policy benefits is expected to be paid out over the long-term due to the Company’s market niche of selling funeral plans. Funeral plans are small face value life insurance that will pay the costs and expenses incurred at the time of a person’s death. A person generally will keep these policies in force and will not surrender them prior to a person’s death. Because of the long-term nature of these liabilities, the Company is able to hold to maturity its bonds, real estate, and mortgage loans, thus reducing the risk of having to liquidate these long-term investments as a result of any sudden changes in their fair values.</w:t>
      </w:r>
    </w:p>
    <w:p>
      <w:pPr>
        <w:spacing w:after="0" w:line="163" w:lineRule="exact"/>
        <w:rPr>
          <w:sz w:val="20"/>
          <w:szCs w:val="20"/>
          <w:color w:val="auto"/>
        </w:rPr>
      </w:pPr>
    </w:p>
    <w:p>
      <w:pPr>
        <w:jc w:val="both"/>
        <w:ind w:right="1519"/>
        <w:spacing w:after="0" w:line="249" w:lineRule="auto"/>
        <w:rPr>
          <w:sz w:val="20"/>
          <w:szCs w:val="20"/>
          <w:color w:val="auto"/>
        </w:rPr>
      </w:pPr>
      <w:r>
        <w:rPr>
          <w:rFonts w:ascii="Arial" w:cs="Arial" w:eastAsia="Arial" w:hAnsi="Arial"/>
          <w:sz w:val="17"/>
          <w:szCs w:val="17"/>
          <w:color w:val="auto"/>
        </w:rPr>
        <w:t>The Company attempts to match the duration of invested assets with its policyholder and cemetery and mortuary liabilities. The Company may sell investments other than those held to maturity in the portfolio to help in this timing. The Company purchases short-term investments on a temporary basis to meet the expectations of short-term requirements of the Company’s products. The Company’s investment philosophy is intended to provide a rate of return that will persist during the expected duration of policyholder and cemetery and mortuary liabilities regardless of future interest rate movements.</w:t>
      </w:r>
    </w:p>
    <w:p>
      <w:pPr>
        <w:spacing w:after="0" w:line="175" w:lineRule="exact"/>
        <w:rPr>
          <w:sz w:val="20"/>
          <w:szCs w:val="20"/>
          <w:color w:val="auto"/>
        </w:rPr>
      </w:pPr>
    </w:p>
    <w:p>
      <w:pPr>
        <w:jc w:val="both"/>
        <w:ind w:right="1519"/>
        <w:spacing w:after="0" w:line="283" w:lineRule="auto"/>
        <w:rPr>
          <w:sz w:val="20"/>
          <w:szCs w:val="20"/>
          <w:color w:val="auto"/>
        </w:rPr>
      </w:pPr>
      <w:r>
        <w:rPr>
          <w:rFonts w:ascii="Arial" w:cs="Arial" w:eastAsia="Arial" w:hAnsi="Arial"/>
          <w:sz w:val="15"/>
          <w:szCs w:val="15"/>
          <w:color w:val="auto"/>
        </w:rPr>
        <w:t>The Company’s investment policy is to invest predominantly in fixed maturity securities, real estate, mortgage loans, and warehousing of mortgage loans on a short-term basis before selling the loans to investors in accordance with the requirements and laws governing the life insurance subsidiaries. Bonds owned by the insurance subsidiaries and classified as fixed maturity securities available for sale carried at estimated fair value amounted to $328,772,000 and $355,613,000 as of March 31, 2020 and December 31, 2019, respectively. This represents 42.9% and 45.5% of the total investments as of March 31, 2020 and December 31, 2019, respectively. Generally, all bonds owned by the life insurance subsidiaries are rated by the National Association of Insurance Commissioners. Under this rating system, there are six categories used for rating bonds. At March 31, 2020, 2.15% (or $7,063,000) and at December 31, 2019, 2.2% (or $7,633,000) of the Company’s total bond investments were invested in bonds in rating categories three through six, which were considered non-investment grade.</w:t>
      </w:r>
    </w:p>
    <w:p>
      <w:pPr>
        <w:spacing w:after="0" w:line="153" w:lineRule="exact"/>
        <w:rPr>
          <w:sz w:val="20"/>
          <w:szCs w:val="20"/>
          <w:color w:val="auto"/>
        </w:rPr>
      </w:pPr>
    </w:p>
    <w:p>
      <w:pPr>
        <w:jc w:val="both"/>
        <w:ind w:right="1519"/>
        <w:spacing w:after="0" w:line="307" w:lineRule="auto"/>
        <w:rPr>
          <w:sz w:val="20"/>
          <w:szCs w:val="20"/>
          <w:color w:val="auto"/>
        </w:rPr>
      </w:pPr>
      <w:r>
        <w:rPr>
          <w:rFonts w:ascii="Arial" w:cs="Arial" w:eastAsia="Arial" w:hAnsi="Arial"/>
          <w:sz w:val="15"/>
          <w:szCs w:val="15"/>
          <w:color w:val="auto"/>
        </w:rPr>
        <w:t>The Company is subject to risk-based capital guidelines established by statutory regulators requiring minimum capital levels based on the perceived risk of assets, liabilities, disintermediation, and business risk. At March 31, 2020 and December 31, 2019, the life insurance subsidiaries were in compliance with the regulatory criteria.</w:t>
      </w:r>
    </w:p>
    <w:p>
      <w:pPr>
        <w:spacing w:after="0" w:line="157"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85725</wp:posOffset>
            </wp:positionV>
            <wp:extent cx="498983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989830" cy="29845"/>
                    </a:xfrm>
                    <a:prstGeom prst="rect">
                      <a:avLst/>
                    </a:prstGeom>
                    <a:noFill/>
                  </pic:spPr>
                </pic:pic>
              </a:graphicData>
            </a:graphic>
          </wp:anchor>
        </w:drawing>
      </w:r>
    </w:p>
    <w:p>
      <w:pPr>
        <w:sectPr>
          <w:pgSz w:w="11900" w:h="16838" w:orient="portrait"/>
          <w:cols w:equalWidth="0" w:num="1">
            <w:col w:w="9379"/>
          </w:cols>
          <w:pgMar w:left="1080" w:top="124" w:right="1440" w:bottom="1440" w:gutter="0" w:footer="0" w:header="0"/>
        </w:sectPr>
      </w:pPr>
    </w:p>
    <w:bookmarkStart w:id="57" w:name="page58"/>
    <w:bookmarkEnd w:id="57"/>
    <w:p>
      <w:pPr>
        <w:jc w:val="both"/>
        <w:ind w:right="1519"/>
        <w:spacing w:after="0" w:line="281" w:lineRule="auto"/>
        <w:rPr>
          <w:sz w:val="20"/>
          <w:szCs w:val="20"/>
          <w:color w:val="auto"/>
        </w:rPr>
      </w:pPr>
      <w:r>
        <w:rPr>
          <w:rFonts w:ascii="Arial" w:cs="Arial" w:eastAsia="Arial" w:hAnsi="Arial"/>
          <w:sz w:val="16"/>
          <w:szCs w:val="16"/>
          <w:color w:val="auto"/>
        </w:rPr>
        <w:t>The Company’s total capitalization of stockholders’ equity, bank and other loans payable was $443,627,000 as of March 31, 2020, as compared to $414,283,000 as of December 31, 2019. Stockholders’ equity as a percent of total capitalization was 42.8% and 47.5% as of March 31, 2020 and December 31, 2019, respectively.</w:t>
      </w:r>
    </w:p>
    <w:p>
      <w:pPr>
        <w:spacing w:after="0" w:line="150" w:lineRule="exact"/>
        <w:rPr>
          <w:sz w:val="20"/>
          <w:szCs w:val="20"/>
          <w:color w:val="auto"/>
        </w:rPr>
      </w:pPr>
    </w:p>
    <w:p>
      <w:pPr>
        <w:jc w:val="both"/>
        <w:ind w:right="1519"/>
        <w:spacing w:after="0" w:line="257" w:lineRule="auto"/>
        <w:rPr>
          <w:sz w:val="20"/>
          <w:szCs w:val="20"/>
          <w:color w:val="auto"/>
        </w:rPr>
      </w:pPr>
      <w:r>
        <w:rPr>
          <w:rFonts w:ascii="Arial" w:cs="Arial" w:eastAsia="Arial" w:hAnsi="Arial"/>
          <w:sz w:val="17"/>
          <w:szCs w:val="17"/>
          <w:color w:val="auto"/>
        </w:rPr>
        <w:t>Lapse rates measure the amount of insurance terminated during a particular period. The Company’s lapse rate for life insurance in 2019 was 9.8% as compared to a rate of 9.9% for 2018. The 2020 lapse rate to date has been approximately the same as 2019.</w:t>
      </w:r>
    </w:p>
    <w:p>
      <w:pPr>
        <w:spacing w:after="0" w:line="74" w:lineRule="exact"/>
        <w:rPr>
          <w:sz w:val="20"/>
          <w:szCs w:val="20"/>
          <w:color w:val="auto"/>
        </w:rPr>
      </w:pPr>
    </w:p>
    <w:p>
      <w:pPr>
        <w:jc w:val="both"/>
        <w:ind w:right="1519"/>
        <w:spacing w:after="0" w:line="257" w:lineRule="auto"/>
        <w:rPr>
          <w:sz w:val="20"/>
          <w:szCs w:val="20"/>
          <w:color w:val="auto"/>
        </w:rPr>
      </w:pPr>
      <w:r>
        <w:rPr>
          <w:rFonts w:ascii="Arial" w:cs="Arial" w:eastAsia="Arial" w:hAnsi="Arial"/>
          <w:sz w:val="17"/>
          <w:szCs w:val="17"/>
          <w:color w:val="auto"/>
        </w:rPr>
        <w:t>At March 31, 2020, the combined statutory capital and surplus of the Company’s life insurance subsidiaries was $70,563,000. The life insurance subsidiaries cannot pay a dividend to its parent company without approval of state insurance regulatory authorities.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COVID-19 Pandemic</w:t>
      </w:r>
    </w:p>
    <w:p>
      <w:pPr>
        <w:spacing w:after="0" w:line="208" w:lineRule="exact"/>
        <w:rPr>
          <w:sz w:val="20"/>
          <w:szCs w:val="20"/>
          <w:color w:val="auto"/>
        </w:rPr>
      </w:pPr>
    </w:p>
    <w:p>
      <w:pPr>
        <w:jc w:val="both"/>
        <w:ind w:right="1519"/>
        <w:spacing w:after="0" w:line="264" w:lineRule="auto"/>
        <w:rPr>
          <w:sz w:val="20"/>
          <w:szCs w:val="20"/>
          <w:color w:val="auto"/>
        </w:rPr>
      </w:pPr>
      <w:r>
        <w:rPr>
          <w:rFonts w:ascii="Arial" w:cs="Arial" w:eastAsia="Arial" w:hAnsi="Arial"/>
          <w:sz w:val="16"/>
          <w:szCs w:val="16"/>
          <w:color w:val="auto"/>
        </w:rPr>
        <w:t>During the first quarter 2020, the outbreak of COVID-19 has spread worldwide and was declared a global pandemic by the World Health Organization on March 11, 2020. COVID-19 poses a threat to the health and economic well-being of the Company’s employees, customers, and vendors. The Company is closely monitoring developments relating to the COVID-19 Pandemic and assessing its impact on the Company’s business. The COVID-19 Pandemic has had and continues to have a major impact on the global economy and financial markets. Governments and businesses have taken numerous measures to try to contain the virus, which include the implementation of travel bans, self-imposed quarantine periods and social distancing. These measures have disrupted and will continue to disrupt businesses globally. Governments and central banks have reacted with significant monetary and fiscal interventions designed to stabilize the economic conditions.</w:t>
      </w:r>
    </w:p>
    <w:p>
      <w:pPr>
        <w:spacing w:after="0" w:line="166" w:lineRule="exact"/>
        <w:rPr>
          <w:sz w:val="20"/>
          <w:szCs w:val="20"/>
          <w:color w:val="auto"/>
        </w:rPr>
      </w:pPr>
    </w:p>
    <w:p>
      <w:pPr>
        <w:jc w:val="both"/>
        <w:ind w:right="1519"/>
        <w:spacing w:after="0" w:line="264" w:lineRule="auto"/>
        <w:rPr>
          <w:sz w:val="20"/>
          <w:szCs w:val="20"/>
          <w:color w:val="auto"/>
        </w:rPr>
      </w:pPr>
      <w:r>
        <w:rPr>
          <w:rFonts w:ascii="Arial" w:cs="Arial" w:eastAsia="Arial" w:hAnsi="Arial"/>
          <w:sz w:val="16"/>
          <w:szCs w:val="16"/>
          <w:color w:val="auto"/>
        </w:rPr>
        <w:t>Like most businesses, COVID-19 has impacted the Company. However, the Company cannot, with certainty, presently predict the severity or duration with which COVID-19 will impact the Company’s business, financial condition, results of operations, and cash flows. To the extent the COVID-19 pandemic adversely affects the Company’s business, financial condition and results of operations, it may also have the effect of heightening many of the other risks described in the Company’s Management’s Discussion and Analysis of Financial Condition and Results of Operations in the Annual Report on Form 10-K for the year ended December 31, 2019 under the heading “Risks.” These uncertainties have the potential to negatively affect the risk of credit default for the issuers of the Company’s fixed maturity debt securities and individual borrowers with mortgage loans held by the Company.</w:t>
      </w:r>
    </w:p>
    <w:p>
      <w:pPr>
        <w:spacing w:after="0" w:line="166" w:lineRule="exact"/>
        <w:rPr>
          <w:sz w:val="20"/>
          <w:szCs w:val="20"/>
          <w:color w:val="auto"/>
        </w:rPr>
      </w:pPr>
    </w:p>
    <w:p>
      <w:pPr>
        <w:jc w:val="both"/>
        <w:ind w:right="1519"/>
        <w:spacing w:after="0" w:line="257" w:lineRule="auto"/>
        <w:rPr>
          <w:sz w:val="20"/>
          <w:szCs w:val="20"/>
          <w:color w:val="auto"/>
        </w:rPr>
      </w:pPr>
      <w:r>
        <w:rPr>
          <w:rFonts w:ascii="Arial" w:cs="Arial" w:eastAsia="Arial" w:hAnsi="Arial"/>
          <w:sz w:val="17"/>
          <w:szCs w:val="17"/>
          <w:color w:val="auto"/>
        </w:rPr>
        <w:t>The Company has implemented risk management, business continuity plans and has taken preventive measures and other precautions, such as business travel restrictions and remote work arrangements. Such measures and precautions have enabled the Company to continue to conduct business.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08" w:lineRule="exact"/>
        <w:rPr>
          <w:sz w:val="20"/>
          <w:szCs w:val="20"/>
          <w:color w:val="auto"/>
        </w:rPr>
      </w:pPr>
    </w:p>
    <w:p>
      <w:pPr>
        <w:jc w:val="both"/>
        <w:ind w:right="1519"/>
        <w:spacing w:after="0" w:line="270" w:lineRule="auto"/>
        <w:rPr>
          <w:sz w:val="20"/>
          <w:szCs w:val="20"/>
          <w:color w:val="auto"/>
        </w:rPr>
      </w:pPr>
      <w:r>
        <w:rPr>
          <w:rFonts w:ascii="Arial" w:cs="Arial" w:eastAsia="Arial" w:hAnsi="Arial"/>
          <w:sz w:val="17"/>
          <w:szCs w:val="17"/>
          <w:color w:val="auto"/>
        </w:rPr>
        <w:t>As a smaller reporting company, the Company is not required to provide information typically disclosed under this item.</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Disclosure Controls and Procedures</w:t>
      </w:r>
    </w:p>
    <w:p>
      <w:pPr>
        <w:spacing w:after="0" w:line="202" w:lineRule="exact"/>
        <w:rPr>
          <w:sz w:val="20"/>
          <w:szCs w:val="20"/>
          <w:color w:val="auto"/>
        </w:rPr>
      </w:pPr>
    </w:p>
    <w:p>
      <w:pPr>
        <w:jc w:val="both"/>
        <w:ind w:right="1519"/>
        <w:spacing w:after="0" w:line="263" w:lineRule="auto"/>
        <w:rPr>
          <w:sz w:val="20"/>
          <w:szCs w:val="20"/>
          <w:color w:val="auto"/>
        </w:rPr>
      </w:pPr>
      <w:r>
        <w:rPr>
          <w:rFonts w:ascii="Arial" w:cs="Arial" w:eastAsia="Arial" w:hAnsi="Arial"/>
          <w:sz w:val="16"/>
          <w:szCs w:val="16"/>
          <w:color w:val="auto"/>
        </w:rPr>
        <w:t>As of March 31, 2020, the Company carried out an evaluation under the supervision and with the participation of its Chief Executive Officer (CEO) and Chief Financial Officer (CFO), of the effectiveness of the Company’s disclosure controls and procedures (as defined in Rules 13a-15(e) and 15d-15(e) under the Securities Exchange Act of 1934, as amended (the “Exchange Act”). The Company’s disclosure controls and procedures are designed to ensure that information required to be disclosed in the Securities and Exchange Commission (SEC) reports that the Company files or submits under the Exchange Act is recorded, processed, summarized and reported within the time period specified by the SEC’s rules and forms and that such information is accumulated and communicated to management, including the Company’s CEO and CFO, as appropriate, to allow timely decisions regarding required disclosure. The executive officers have concluded that the Company’s disclosure controls and procedures were not effective as of March 31, 2020, and that the unaudited condensed consolidated financial statements included in this Quarterly Report on Form 10-Q fairly present, in all material respects, the Company’s financial condition, results</w:t>
      </w:r>
    </w:p>
    <w:p>
      <w:pPr>
        <w:spacing w:after="0" w:line="18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85725</wp:posOffset>
            </wp:positionV>
            <wp:extent cx="498983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989830" cy="29845"/>
                    </a:xfrm>
                    <a:prstGeom prst="rect">
                      <a:avLst/>
                    </a:prstGeom>
                    <a:noFill/>
                  </pic:spPr>
                </pic:pic>
              </a:graphicData>
            </a:graphic>
          </wp:anchor>
        </w:drawing>
      </w:r>
    </w:p>
    <w:p>
      <w:pPr>
        <w:sectPr>
          <w:pgSz w:w="11900" w:h="16838" w:orient="portrait"/>
          <w:cols w:equalWidth="0" w:num="1">
            <w:col w:w="9379"/>
          </w:cols>
          <w:pgMar w:left="1080" w:top="124" w:right="1440" w:bottom="1440" w:gutter="0" w:footer="0" w:header="0"/>
        </w:sectPr>
      </w:pPr>
    </w:p>
    <w:bookmarkStart w:id="58" w:name="page59"/>
    <w:bookmarkEnd w:id="58"/>
    <w:p>
      <w:pPr>
        <w:jc w:val="both"/>
        <w:ind w:right="1519"/>
        <w:spacing w:after="0" w:line="271" w:lineRule="auto"/>
        <w:rPr>
          <w:sz w:val="20"/>
          <w:szCs w:val="20"/>
          <w:color w:val="auto"/>
        </w:rPr>
      </w:pPr>
      <w:r>
        <w:rPr>
          <w:rFonts w:ascii="Arial" w:cs="Arial" w:eastAsia="Arial" w:hAnsi="Arial"/>
          <w:sz w:val="17"/>
          <w:szCs w:val="17"/>
          <w:color w:val="auto"/>
        </w:rPr>
        <w:t>of operations, and cash flows for the periods presented in conformity with United States Generally Accepted Accounting Principles (GAAP).</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Changes in Internal Control over Financial Reporting</w:t>
      </w:r>
    </w:p>
    <w:p>
      <w:pPr>
        <w:spacing w:after="0" w:line="109" w:lineRule="exact"/>
        <w:rPr>
          <w:sz w:val="20"/>
          <w:szCs w:val="20"/>
          <w:color w:val="auto"/>
        </w:rPr>
      </w:pPr>
    </w:p>
    <w:p>
      <w:pPr>
        <w:jc w:val="both"/>
        <w:ind w:right="1519"/>
        <w:spacing w:after="0" w:line="273" w:lineRule="auto"/>
        <w:rPr>
          <w:sz w:val="20"/>
          <w:szCs w:val="20"/>
          <w:color w:val="auto"/>
        </w:rPr>
      </w:pPr>
      <w:r>
        <w:rPr>
          <w:rFonts w:ascii="Arial" w:cs="Arial" w:eastAsia="Arial" w:hAnsi="Arial"/>
          <w:sz w:val="16"/>
          <w:szCs w:val="16"/>
          <w:color w:val="auto"/>
        </w:rPr>
        <w:t>Except for the material weakness discussed in the Company’s Annual Report on Form 10-K for the year ended December 31, 2019, there have not been any significant changes in the Company’s internal control over financial reporting during the most recently completed fiscal quarter that have materially affected, or are reasonably likely to materially affect, the Company’s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Remediation Efforts to Address the Material Weakness</w:t>
      </w:r>
    </w:p>
    <w:p>
      <w:pPr>
        <w:spacing w:after="0" w:line="202" w:lineRule="exact"/>
        <w:rPr>
          <w:sz w:val="20"/>
          <w:szCs w:val="20"/>
          <w:color w:val="auto"/>
        </w:rPr>
      </w:pPr>
    </w:p>
    <w:p>
      <w:pPr>
        <w:jc w:val="both"/>
        <w:ind w:right="1519"/>
        <w:spacing w:after="0" w:line="265" w:lineRule="auto"/>
        <w:rPr>
          <w:sz w:val="20"/>
          <w:szCs w:val="20"/>
          <w:color w:val="auto"/>
        </w:rPr>
      </w:pPr>
      <w:r>
        <w:rPr>
          <w:rFonts w:ascii="Arial" w:cs="Arial" w:eastAsia="Arial" w:hAnsi="Arial"/>
          <w:sz w:val="16"/>
          <w:szCs w:val="16"/>
          <w:color w:val="auto"/>
        </w:rPr>
        <w:t>The Company acquired Kilpatrick Life in December 2019. Prior to the acquisition, the Company identified a material weakness in Kilpatrick Life’s internal control over financial reporting. The material weakness identified had not been remediated as of March 31, 2020. Specifically, the Company determined that Kilpatrick Life’s controls related to change management and segregation of duties for the policy administration system did not operate effectively. As a result of the control deficiency, a risk exists that inappropriate system changes could potentially result in a material misstatement of Kilpatrick Life’s financial information, which is consolidated with the Company’s results. Prior to the closing of the acquisition, the Company’s management developed and initiated a plan to remediate these internal control deficiencies</w:t>
      </w:r>
    </w:p>
    <w:p>
      <w:pPr>
        <w:spacing w:after="0" w:line="164" w:lineRule="exact"/>
        <w:rPr>
          <w:sz w:val="20"/>
          <w:szCs w:val="20"/>
          <w:color w:val="auto"/>
        </w:rPr>
      </w:pPr>
    </w:p>
    <w:p>
      <w:pPr>
        <w:jc w:val="both"/>
        <w:ind w:right="1519"/>
        <w:spacing w:after="0" w:line="265" w:lineRule="auto"/>
        <w:rPr>
          <w:sz w:val="20"/>
          <w:szCs w:val="20"/>
          <w:color w:val="auto"/>
        </w:rPr>
      </w:pPr>
      <w:r>
        <w:rPr>
          <w:rFonts w:ascii="Arial" w:cs="Arial" w:eastAsia="Arial" w:hAnsi="Arial"/>
          <w:sz w:val="16"/>
          <w:szCs w:val="16"/>
          <w:color w:val="auto"/>
        </w:rPr>
        <w:t>As of May 14, 2020, the Company had not fully assessed Kilpatrick Life’s internal controls over financial reporting and is currently testing new and revised internal controls for design and operating effectiveness. The Securities and Exchange Commission permits companies to exclude acquisitions from their assessment of internal control over financial reporting during the first year of an acquisition, and the Company has elected to exclude Kilpatrick Life from its assessment. The Company has performed additional analysis and procedures to conclude that it believes the condensed consolidated financial statements included in this Form 10-Q present fairly, in all material respects, the Company’s financial position, results of operations, comprehensive income (loss) and cash flows for the periods presented in conformity with U.S. GAAP.</w:t>
      </w:r>
    </w:p>
    <w:p>
      <w:pPr>
        <w:spacing w:after="0" w:line="164" w:lineRule="exact"/>
        <w:rPr>
          <w:sz w:val="20"/>
          <w:szCs w:val="20"/>
          <w:color w:val="auto"/>
        </w:rPr>
      </w:pPr>
    </w:p>
    <w:p>
      <w:pPr>
        <w:jc w:val="both"/>
        <w:ind w:right="1519"/>
        <w:spacing w:after="0" w:line="270" w:lineRule="auto"/>
        <w:rPr>
          <w:sz w:val="20"/>
          <w:szCs w:val="20"/>
          <w:color w:val="auto"/>
        </w:rPr>
      </w:pPr>
      <w:r>
        <w:rPr>
          <w:rFonts w:ascii="Arial" w:cs="Arial" w:eastAsia="Arial" w:hAnsi="Arial"/>
          <w:sz w:val="17"/>
          <w:szCs w:val="17"/>
          <w:color w:val="auto"/>
        </w:rPr>
        <w:t>The Company has implemented controls to remediate the underlying causes that gave rise to the material weakness.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controls have been implemented by management:</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Execution of a formal consultant agreement with the former system developer.</w:t>
      </w:r>
    </w:p>
    <w:p>
      <w:pPr>
        <w:spacing w:after="0" w:line="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Creation of unique login credentials for system users.</w:t>
      </w:r>
    </w:p>
    <w:p>
      <w:pPr>
        <w:spacing w:after="0" w:line="3" w:lineRule="exact"/>
        <w:rPr>
          <w:sz w:val="20"/>
          <w:szCs w:val="20"/>
          <w:color w:val="auto"/>
        </w:rPr>
      </w:pPr>
    </w:p>
    <w:p>
      <w:pPr>
        <w:ind w:left="560" w:right="1519"/>
        <w:spacing w:after="0" w:line="252" w:lineRule="auto"/>
        <w:rPr>
          <w:sz w:val="20"/>
          <w:szCs w:val="20"/>
          <w:color w:val="auto"/>
        </w:rPr>
      </w:pPr>
      <w:r>
        <w:rPr>
          <w:rFonts w:ascii="Arial" w:cs="Arial" w:eastAsia="Arial" w:hAnsi="Arial"/>
          <w:sz w:val="17"/>
          <w:szCs w:val="17"/>
          <w:color w:val="auto"/>
        </w:rPr>
        <w:t>Implementation of system change control processes, including the installation of a third-party database logging software.</w:t>
      </w:r>
    </w:p>
    <w:p>
      <w:pPr>
        <w:spacing w:after="0" w:line="172" w:lineRule="exact"/>
        <w:rPr>
          <w:sz w:val="20"/>
          <w:szCs w:val="20"/>
          <w:color w:val="auto"/>
        </w:rPr>
      </w:pPr>
    </w:p>
    <w:p>
      <w:pPr>
        <w:jc w:val="both"/>
        <w:ind w:right="1519"/>
        <w:spacing w:after="0" w:line="270" w:lineRule="auto"/>
        <w:rPr>
          <w:sz w:val="20"/>
          <w:szCs w:val="20"/>
          <w:color w:val="auto"/>
        </w:rPr>
      </w:pPr>
      <w:r>
        <w:rPr>
          <w:rFonts w:ascii="Arial" w:cs="Arial" w:eastAsia="Arial" w:hAnsi="Arial"/>
          <w:sz w:val="17"/>
          <w:szCs w:val="17"/>
          <w:color w:val="auto"/>
        </w:rPr>
        <w:t>In addition to the steps taken above, the Company will also transition Kilpatrick Life’s policies to its own Policy Administration System, which has appropriate controls in place.</w:t>
      </w:r>
    </w:p>
    <w:p>
      <w:pPr>
        <w:spacing w:after="0" w:line="157" w:lineRule="exact"/>
        <w:rPr>
          <w:sz w:val="20"/>
          <w:szCs w:val="20"/>
          <w:color w:val="auto"/>
        </w:rPr>
      </w:pPr>
    </w:p>
    <w:p>
      <w:pPr>
        <w:jc w:val="both"/>
        <w:ind w:right="1519"/>
        <w:spacing w:after="0" w:line="257" w:lineRule="auto"/>
        <w:rPr>
          <w:sz w:val="20"/>
          <w:szCs w:val="20"/>
          <w:color w:val="auto"/>
        </w:rPr>
      </w:pPr>
      <w:r>
        <w:rPr>
          <w:rFonts w:ascii="Arial" w:cs="Arial" w:eastAsia="Arial" w:hAnsi="Arial"/>
          <w:sz w:val="17"/>
          <w:szCs w:val="17"/>
          <w:color w:val="auto"/>
        </w:rPr>
        <w:t>The Company is committed to continuous improvement of its internal control processes and will continue to diligently review its financial reporting controls and procedures as it works to remedy Kilpatrick Life’s material weakness in internal controls.</w:t>
      </w:r>
    </w:p>
    <w:p>
      <w:pPr>
        <w:spacing w:after="0" w:line="19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85725</wp:posOffset>
            </wp:positionV>
            <wp:extent cx="498983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989830" cy="29845"/>
                    </a:xfrm>
                    <a:prstGeom prst="rect">
                      <a:avLst/>
                    </a:prstGeom>
                    <a:noFill/>
                  </pic:spPr>
                </pic:pic>
              </a:graphicData>
            </a:graphic>
          </wp:anchor>
        </w:drawing>
      </w:r>
    </w:p>
    <w:p>
      <w:pPr>
        <w:sectPr>
          <w:pgSz w:w="11900" w:h="16838" w:orient="portrait"/>
          <w:cols w:equalWidth="0" w:num="1">
            <w:col w:w="9379"/>
          </w:cols>
          <w:pgMar w:left="1080" w:top="124" w:right="1440" w:bottom="1440" w:gutter="0" w:footer="0" w:header="0"/>
        </w:sectPr>
      </w:pPr>
    </w:p>
    <w:bookmarkStart w:id="59" w:name="page60"/>
    <w:bookmarkEnd w:id="59"/>
    <w:p>
      <w:pPr>
        <w:ind w:left="2940"/>
        <w:spacing w:after="0"/>
        <w:rPr>
          <w:sz w:val="20"/>
          <w:szCs w:val="20"/>
          <w:color w:val="auto"/>
        </w:rPr>
      </w:pPr>
      <w:r>
        <w:rPr>
          <w:rFonts w:ascii="Arial" w:cs="Arial" w:eastAsia="Arial" w:hAnsi="Arial"/>
          <w:sz w:val="17"/>
          <w:szCs w:val="17"/>
          <w:b w:val="1"/>
          <w:bCs w:val="1"/>
          <w:color w:val="auto"/>
        </w:rPr>
        <w:t xml:space="preserve">Part II </w:t>
      </w:r>
      <w:r>
        <w:rPr>
          <w:rFonts w:ascii="Arial" w:cs="Arial" w:eastAsia="Arial" w:hAnsi="Arial"/>
          <w:sz w:val="12"/>
          <w:szCs w:val="12"/>
          <w:b w:val="1"/>
          <w:bCs w:val="1"/>
          <w:color w:val="auto"/>
        </w:rPr>
        <w:t>-</w:t>
      </w:r>
      <w:r>
        <w:rPr>
          <w:rFonts w:ascii="Arial" w:cs="Arial" w:eastAsia="Arial" w:hAnsi="Arial"/>
          <w:sz w:val="17"/>
          <w:szCs w:val="17"/>
          <w:b w:val="1"/>
          <w:bCs w:val="1"/>
          <w:color w:val="auto"/>
        </w:rPr>
        <w:t xml:space="preserve"> Other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r>
        <w:rPr>
          <w:rFonts w:ascii="Arial" w:cs="Arial" w:eastAsia="Arial" w:hAnsi="Arial"/>
          <w:sz w:val="17"/>
          <w:szCs w:val="17"/>
          <w:color w:val="auto"/>
        </w:rPr>
        <w:t>.</w:t>
      </w:r>
    </w:p>
    <w:p>
      <w:pPr>
        <w:spacing w:after="0" w:line="208" w:lineRule="exact"/>
        <w:rPr>
          <w:sz w:val="20"/>
          <w:szCs w:val="20"/>
          <w:color w:val="auto"/>
        </w:rPr>
      </w:pPr>
    </w:p>
    <w:p>
      <w:pPr>
        <w:jc w:val="both"/>
        <w:ind w:right="1519"/>
        <w:spacing w:after="0" w:line="270" w:lineRule="auto"/>
        <w:rPr>
          <w:sz w:val="20"/>
          <w:szCs w:val="20"/>
          <w:color w:val="auto"/>
        </w:rPr>
      </w:pPr>
      <w:r>
        <w:rPr>
          <w:rFonts w:ascii="Arial" w:cs="Arial" w:eastAsia="Arial" w:hAnsi="Arial"/>
          <w:sz w:val="17"/>
          <w:szCs w:val="17"/>
          <w:color w:val="auto"/>
        </w:rPr>
        <w:t>For a description of the litigation involving SecurityNational Mortgage and Lehman Brothers Holdings, see Part I, Item 1. Notes to Condensed Consolidated Financial Statements (unaudited) in Note 11.</w:t>
      </w:r>
    </w:p>
    <w:p>
      <w:pPr>
        <w:spacing w:after="0" w:line="157" w:lineRule="exact"/>
        <w:rPr>
          <w:sz w:val="20"/>
          <w:szCs w:val="20"/>
          <w:color w:val="auto"/>
        </w:rPr>
      </w:pPr>
    </w:p>
    <w:p>
      <w:pPr>
        <w:jc w:val="both"/>
        <w:ind w:right="1519"/>
        <w:spacing w:after="0" w:line="257" w:lineRule="auto"/>
        <w:rPr>
          <w:sz w:val="20"/>
          <w:szCs w:val="20"/>
          <w:color w:val="auto"/>
        </w:rPr>
      </w:pPr>
      <w:r>
        <w:rPr>
          <w:rFonts w:ascii="Arial" w:cs="Arial" w:eastAsia="Arial" w:hAnsi="Arial"/>
          <w:sz w:val="17"/>
          <w:szCs w:val="17"/>
          <w:color w:val="auto"/>
        </w:rPr>
        <w:t>The Company is not a party to any other material legal proceedings outside the ordinary course of business or to any other legal proceedings, which if adversely determined, would have a material adverse effect on its financial condition or results of operation.</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1A.Risk Factors.</w:t>
      </w:r>
    </w:p>
    <w:p>
      <w:pPr>
        <w:spacing w:after="0" w:line="208" w:lineRule="exact"/>
        <w:rPr>
          <w:sz w:val="20"/>
          <w:szCs w:val="20"/>
          <w:color w:val="auto"/>
        </w:rPr>
      </w:pPr>
    </w:p>
    <w:p>
      <w:pPr>
        <w:jc w:val="both"/>
        <w:ind w:right="1519"/>
        <w:spacing w:after="0" w:line="270" w:lineRule="auto"/>
        <w:rPr>
          <w:sz w:val="20"/>
          <w:szCs w:val="20"/>
          <w:color w:val="auto"/>
        </w:rPr>
      </w:pPr>
      <w:r>
        <w:rPr>
          <w:rFonts w:ascii="Arial" w:cs="Arial" w:eastAsia="Arial" w:hAnsi="Arial"/>
          <w:sz w:val="17"/>
          <w:szCs w:val="17"/>
          <w:color w:val="auto"/>
        </w:rPr>
        <w:t>As a smaller reporting company, the Company is not required to provide information typically disclosed under this item.</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Sales of Unregistered Securities and Use of Proceeds from Registered Securities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208" w:lineRule="exact"/>
        <w:rPr>
          <w:sz w:val="20"/>
          <w:szCs w:val="20"/>
          <w:color w:val="auto"/>
        </w:rPr>
      </w:pPr>
    </w:p>
    <w:p>
      <w:pPr>
        <w:jc w:val="both"/>
        <w:ind w:right="1519"/>
        <w:spacing w:after="0" w:line="252" w:lineRule="auto"/>
        <w:rPr>
          <w:sz w:val="20"/>
          <w:szCs w:val="20"/>
          <w:color w:val="auto"/>
        </w:rPr>
      </w:pPr>
      <w:r>
        <w:rPr>
          <w:rFonts w:ascii="Arial" w:cs="Arial" w:eastAsia="Arial" w:hAnsi="Arial"/>
          <w:sz w:val="17"/>
          <w:szCs w:val="17"/>
          <w:color w:val="auto"/>
        </w:rPr>
        <w:t>In September 2018, the Board of Directors of the Company approved a Stock Repurchase Plan that authorized the repurchase of 300,000 shares of the Company's Class A Common Stock in the open market. The repurchased shares of Class A common stock will be held as treasury shares to be used as the Company's employer matching contribution to the Employee 401(k) Retirement Savings Plan.</w:t>
      </w:r>
    </w:p>
    <w:p>
      <w:pPr>
        <w:spacing w:after="0" w:line="173" w:lineRule="exact"/>
        <w:rPr>
          <w:sz w:val="20"/>
          <w:szCs w:val="20"/>
          <w:color w:val="auto"/>
        </w:rPr>
      </w:pPr>
    </w:p>
    <w:p>
      <w:pPr>
        <w:jc w:val="both"/>
        <w:ind w:right="1519"/>
        <w:spacing w:after="0" w:line="270" w:lineRule="auto"/>
        <w:rPr>
          <w:sz w:val="20"/>
          <w:szCs w:val="20"/>
          <w:color w:val="auto"/>
        </w:rPr>
      </w:pPr>
      <w:r>
        <w:rPr>
          <w:rFonts w:ascii="Arial" w:cs="Arial" w:eastAsia="Arial" w:hAnsi="Arial"/>
          <w:sz w:val="17"/>
          <w:szCs w:val="17"/>
          <w:color w:val="auto"/>
        </w:rPr>
        <w:t>The following table shows the Company's repurchase activity during the three months ended March 31, 2020 under the Stock Repurchase Plan.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jc w:val="center"/>
              <w:ind w:left="38"/>
              <w:spacing w:after="0"/>
              <w:rPr>
                <w:sz w:val="20"/>
                <w:szCs w:val="20"/>
                <w:color w:val="auto"/>
              </w:rPr>
            </w:pPr>
            <w:r>
              <w:rPr>
                <w:rFonts w:ascii="Arial" w:cs="Arial" w:eastAsia="Arial" w:hAnsi="Arial"/>
                <w:sz w:val="12"/>
                <w:szCs w:val="12"/>
                <w:color w:val="auto"/>
                <w:w w:val="95"/>
              </w:rPr>
              <w:t>(c) Total Number of Class A</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Arial" w:cs="Arial" w:eastAsia="Arial" w:hAnsi="Arial"/>
                <w:sz w:val="12"/>
                <w:szCs w:val="12"/>
                <w:color w:val="auto"/>
                <w:w w:val="98"/>
              </w:rPr>
              <w:t>(d) Maximum Number (or</w:t>
            </w:r>
          </w:p>
        </w:tc>
      </w:tr>
      <w:tr>
        <w:trPr>
          <w:trHeight w:val="129"/>
        </w:trPr>
        <w:tc>
          <w:tcPr>
            <w:tcW w:w="1340" w:type="dxa"/>
            <w:vAlign w:val="bottom"/>
          </w:tcPr>
          <w:p>
            <w:pPr>
              <w:spacing w:after="0"/>
              <w:rPr>
                <w:sz w:val="11"/>
                <w:szCs w:val="11"/>
                <w:color w:val="auto"/>
              </w:rPr>
            </w:pPr>
          </w:p>
        </w:tc>
        <w:tc>
          <w:tcPr>
            <w:tcW w:w="1300" w:type="dxa"/>
            <w:vAlign w:val="bottom"/>
            <w:gridSpan w:val="2"/>
          </w:tcPr>
          <w:p>
            <w:pPr>
              <w:jc w:val="center"/>
              <w:ind w:right="140"/>
              <w:spacing w:after="0" w:line="129" w:lineRule="exact"/>
              <w:rPr>
                <w:sz w:val="20"/>
                <w:szCs w:val="20"/>
                <w:color w:val="auto"/>
              </w:rPr>
            </w:pPr>
            <w:r>
              <w:rPr>
                <w:rFonts w:ascii="Arial" w:cs="Arial" w:eastAsia="Arial" w:hAnsi="Arial"/>
                <w:sz w:val="12"/>
                <w:szCs w:val="12"/>
                <w:color w:val="auto"/>
                <w:w w:val="96"/>
              </w:rPr>
              <w:t>(a) Total Number of</w:t>
            </w: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jc w:val="center"/>
              <w:ind w:left="38"/>
              <w:spacing w:after="0" w:line="129" w:lineRule="exact"/>
              <w:rPr>
                <w:sz w:val="20"/>
                <w:szCs w:val="20"/>
                <w:color w:val="auto"/>
              </w:rPr>
            </w:pPr>
            <w:r>
              <w:rPr>
                <w:rFonts w:ascii="Arial" w:cs="Arial" w:eastAsia="Arial" w:hAnsi="Arial"/>
                <w:sz w:val="12"/>
                <w:szCs w:val="12"/>
                <w:color w:val="auto"/>
                <w:w w:val="89"/>
              </w:rPr>
              <w:t>Shares Purchased as Part of</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0" w:type="dxa"/>
            <w:vAlign w:val="bottom"/>
          </w:tcPr>
          <w:p>
            <w:pPr>
              <w:jc w:val="center"/>
              <w:spacing w:after="0" w:line="129" w:lineRule="exact"/>
              <w:rPr>
                <w:sz w:val="20"/>
                <w:szCs w:val="20"/>
                <w:color w:val="auto"/>
              </w:rPr>
            </w:pPr>
            <w:r>
              <w:rPr>
                <w:rFonts w:ascii="Arial" w:cs="Arial" w:eastAsia="Arial" w:hAnsi="Arial"/>
                <w:sz w:val="12"/>
                <w:szCs w:val="12"/>
                <w:color w:val="auto"/>
                <w:w w:val="96"/>
              </w:rPr>
              <w:t>Approximate Dollar Value) of Class A</w:t>
            </w:r>
          </w:p>
        </w:tc>
      </w:tr>
      <w:tr>
        <w:trPr>
          <w:trHeight w:val="129"/>
        </w:trPr>
        <w:tc>
          <w:tcPr>
            <w:tcW w:w="1340" w:type="dxa"/>
            <w:vAlign w:val="bottom"/>
          </w:tcPr>
          <w:p>
            <w:pPr>
              <w:spacing w:after="0"/>
              <w:rPr>
                <w:sz w:val="11"/>
                <w:szCs w:val="11"/>
                <w:color w:val="auto"/>
              </w:rPr>
            </w:pPr>
          </w:p>
        </w:tc>
        <w:tc>
          <w:tcPr>
            <w:tcW w:w="1300" w:type="dxa"/>
            <w:vAlign w:val="bottom"/>
            <w:gridSpan w:val="2"/>
          </w:tcPr>
          <w:p>
            <w:pPr>
              <w:jc w:val="center"/>
              <w:ind w:right="160"/>
              <w:spacing w:after="0" w:line="129" w:lineRule="exact"/>
              <w:rPr>
                <w:sz w:val="20"/>
                <w:szCs w:val="20"/>
                <w:color w:val="auto"/>
              </w:rPr>
            </w:pPr>
            <w:r>
              <w:rPr>
                <w:rFonts w:ascii="Arial" w:cs="Arial" w:eastAsia="Arial" w:hAnsi="Arial"/>
                <w:sz w:val="12"/>
                <w:szCs w:val="12"/>
                <w:color w:val="auto"/>
                <w:w w:val="89"/>
              </w:rPr>
              <w:t>Class A Shares</w:t>
            </w:r>
          </w:p>
        </w:tc>
        <w:tc>
          <w:tcPr>
            <w:tcW w:w="1380" w:type="dxa"/>
            <w:vAlign w:val="bottom"/>
            <w:gridSpan w:val="3"/>
          </w:tcPr>
          <w:p>
            <w:pPr>
              <w:jc w:val="center"/>
              <w:ind w:right="140"/>
              <w:spacing w:after="0" w:line="129" w:lineRule="exact"/>
              <w:rPr>
                <w:sz w:val="20"/>
                <w:szCs w:val="20"/>
                <w:color w:val="auto"/>
              </w:rPr>
            </w:pPr>
            <w:r>
              <w:rPr>
                <w:rFonts w:ascii="Arial" w:cs="Arial" w:eastAsia="Arial" w:hAnsi="Arial"/>
                <w:sz w:val="12"/>
                <w:szCs w:val="12"/>
                <w:color w:val="auto"/>
                <w:w w:val="92"/>
              </w:rPr>
              <w:t>(b) Average Price Paid</w:t>
            </w:r>
          </w:p>
        </w:tc>
        <w:tc>
          <w:tcPr>
            <w:tcW w:w="1600" w:type="dxa"/>
            <w:vAlign w:val="bottom"/>
          </w:tcPr>
          <w:p>
            <w:pPr>
              <w:jc w:val="center"/>
              <w:ind w:left="38"/>
              <w:spacing w:after="0" w:line="129" w:lineRule="exact"/>
              <w:rPr>
                <w:sz w:val="20"/>
                <w:szCs w:val="20"/>
                <w:color w:val="auto"/>
              </w:rPr>
            </w:pPr>
            <w:r>
              <w:rPr>
                <w:rFonts w:ascii="Arial" w:cs="Arial" w:eastAsia="Arial" w:hAnsi="Arial"/>
                <w:sz w:val="12"/>
                <w:szCs w:val="12"/>
                <w:color w:val="auto"/>
                <w:w w:val="96"/>
              </w:rPr>
              <w:t>Publicly Announced Plan or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0" w:type="dxa"/>
            <w:vAlign w:val="bottom"/>
          </w:tcPr>
          <w:p>
            <w:pPr>
              <w:jc w:val="center"/>
              <w:spacing w:after="0" w:line="129" w:lineRule="exact"/>
              <w:rPr>
                <w:sz w:val="20"/>
                <w:szCs w:val="20"/>
                <w:color w:val="auto"/>
              </w:rPr>
            </w:pPr>
            <w:r>
              <w:rPr>
                <w:rFonts w:ascii="Arial" w:cs="Arial" w:eastAsia="Arial" w:hAnsi="Arial"/>
                <w:sz w:val="12"/>
                <w:szCs w:val="12"/>
                <w:color w:val="auto"/>
                <w:w w:val="91"/>
              </w:rPr>
              <w:t>Shares that May Yet Be Purchased</w:t>
            </w:r>
          </w:p>
        </w:tc>
      </w:tr>
      <w:tr>
        <w:trPr>
          <w:trHeight w:val="156"/>
        </w:trPr>
        <w:tc>
          <w:tcPr>
            <w:tcW w:w="1340" w:type="dxa"/>
            <w:vAlign w:val="bottom"/>
          </w:tcPr>
          <w:p>
            <w:pPr>
              <w:jc w:val="center"/>
              <w:spacing w:after="0"/>
              <w:rPr>
                <w:sz w:val="20"/>
                <w:szCs w:val="20"/>
                <w:color w:val="auto"/>
              </w:rPr>
            </w:pPr>
            <w:r>
              <w:rPr>
                <w:rFonts w:ascii="Arial" w:cs="Arial" w:eastAsia="Arial" w:hAnsi="Arial"/>
                <w:sz w:val="12"/>
                <w:szCs w:val="12"/>
                <w:color w:val="auto"/>
                <w:w w:val="97"/>
              </w:rPr>
              <w:t>Period</w:t>
            </w:r>
          </w:p>
        </w:tc>
        <w:tc>
          <w:tcPr>
            <w:tcW w:w="1300" w:type="dxa"/>
            <w:vAlign w:val="bottom"/>
            <w:gridSpan w:val="2"/>
          </w:tcPr>
          <w:p>
            <w:pPr>
              <w:jc w:val="center"/>
              <w:ind w:right="160"/>
              <w:spacing w:after="0"/>
              <w:rPr>
                <w:sz w:val="20"/>
                <w:szCs w:val="20"/>
                <w:color w:val="auto"/>
              </w:rPr>
            </w:pPr>
            <w:r>
              <w:rPr>
                <w:rFonts w:ascii="Arial" w:cs="Arial" w:eastAsia="Arial" w:hAnsi="Arial"/>
                <w:sz w:val="12"/>
                <w:szCs w:val="12"/>
                <w:color w:val="auto"/>
                <w:w w:val="87"/>
              </w:rPr>
              <w:t>Purchased</w:t>
            </w:r>
          </w:p>
        </w:tc>
        <w:tc>
          <w:tcPr>
            <w:tcW w:w="1380" w:type="dxa"/>
            <w:vAlign w:val="bottom"/>
            <w:gridSpan w:val="3"/>
          </w:tcPr>
          <w:p>
            <w:pPr>
              <w:jc w:val="center"/>
              <w:ind w:right="160"/>
              <w:spacing w:after="0"/>
              <w:rPr>
                <w:sz w:val="20"/>
                <w:szCs w:val="20"/>
                <w:color w:val="auto"/>
              </w:rPr>
            </w:pPr>
            <w:r>
              <w:rPr>
                <w:rFonts w:ascii="Arial" w:cs="Arial" w:eastAsia="Arial" w:hAnsi="Arial"/>
                <w:sz w:val="12"/>
                <w:szCs w:val="12"/>
                <w:color w:val="auto"/>
                <w:w w:val="92"/>
              </w:rPr>
              <w:t>per Class A Share</w:t>
            </w:r>
          </w:p>
        </w:tc>
        <w:tc>
          <w:tcPr>
            <w:tcW w:w="1600" w:type="dxa"/>
            <w:vAlign w:val="bottom"/>
          </w:tcPr>
          <w:p>
            <w:pPr>
              <w:jc w:val="center"/>
              <w:ind w:left="38"/>
              <w:spacing w:after="0"/>
              <w:rPr>
                <w:sz w:val="20"/>
                <w:szCs w:val="20"/>
                <w:color w:val="auto"/>
              </w:rPr>
            </w:pPr>
            <w:r>
              <w:rPr>
                <w:rFonts w:ascii="Arial" w:cs="Arial" w:eastAsia="Arial" w:hAnsi="Arial"/>
                <w:sz w:val="12"/>
                <w:szCs w:val="12"/>
                <w:color w:val="auto"/>
                <w:w w:val="91"/>
              </w:rPr>
              <w:t>Program</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0" w:type="dxa"/>
            <w:vAlign w:val="bottom"/>
          </w:tcPr>
          <w:p>
            <w:pPr>
              <w:jc w:val="center"/>
              <w:spacing w:after="0"/>
              <w:rPr>
                <w:sz w:val="20"/>
                <w:szCs w:val="20"/>
                <w:color w:val="auto"/>
              </w:rPr>
            </w:pPr>
            <w:r>
              <w:rPr>
                <w:rFonts w:ascii="Arial" w:cs="Arial" w:eastAsia="Arial" w:hAnsi="Arial"/>
                <w:sz w:val="12"/>
                <w:szCs w:val="12"/>
                <w:color w:val="auto"/>
                <w:w w:val="93"/>
              </w:rPr>
              <w:t>Under the Plan or Program</w:t>
            </w:r>
          </w:p>
        </w:tc>
      </w:tr>
      <w:tr>
        <w:trPr>
          <w:trHeight w:val="179"/>
        </w:trPr>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4"/>
              </w:rPr>
              <w:t>1/1/2020-1/31/2020</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10,000</w:t>
            </w:r>
          </w:p>
        </w:tc>
        <w:tc>
          <w:tcPr>
            <w:tcW w:w="16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ind w:right="298"/>
              <w:spacing w:after="0"/>
              <w:rPr>
                <w:sz w:val="20"/>
                <w:szCs w:val="20"/>
                <w:color w:val="auto"/>
              </w:rPr>
            </w:pPr>
            <w:r>
              <w:rPr>
                <w:rFonts w:ascii="Arial" w:cs="Arial" w:eastAsia="Arial" w:hAnsi="Arial"/>
                <w:sz w:val="12"/>
                <w:szCs w:val="12"/>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6.08</w:t>
            </w:r>
          </w:p>
        </w:tc>
        <w:tc>
          <w:tcPr>
            <w:tcW w:w="160" w:type="dxa"/>
            <w:vAlign w:val="bottom"/>
            <w:tcBorders>
              <w:top w:val="single" w:sz="8" w:color="CCEEFF"/>
            </w:tcBorders>
            <w:shd w:val="clear" w:color="auto" w:fill="CCEEFF"/>
          </w:tcPr>
          <w:p>
            <w:pPr>
              <w:spacing w:after="0"/>
              <w:rPr>
                <w:sz w:val="15"/>
                <w:szCs w:val="15"/>
                <w:color w:val="auto"/>
              </w:rPr>
            </w:pPr>
          </w:p>
        </w:tc>
        <w:tc>
          <w:tcPr>
            <w:tcW w:w="1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top w:val="single" w:sz="8" w:color="CCEEFF"/>
            </w:tcBorders>
            <w:shd w:val="clear" w:color="auto" w:fill="CCEEFF"/>
          </w:tcPr>
          <w:p>
            <w:pPr>
              <w:spacing w:after="0"/>
              <w:rPr>
                <w:sz w:val="15"/>
                <w:szCs w:val="15"/>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152,007</w:t>
            </w:r>
          </w:p>
        </w:tc>
      </w:tr>
      <w:tr>
        <w:trPr>
          <w:trHeight w:val="199"/>
        </w:trPr>
        <w:tc>
          <w:tcPr>
            <w:tcW w:w="1340" w:type="dxa"/>
            <w:vAlign w:val="bottom"/>
          </w:tcPr>
          <w:p>
            <w:pPr>
              <w:jc w:val="center"/>
              <w:spacing w:after="0"/>
              <w:rPr>
                <w:sz w:val="20"/>
                <w:szCs w:val="20"/>
                <w:color w:val="auto"/>
              </w:rPr>
            </w:pPr>
            <w:r>
              <w:rPr>
                <w:rFonts w:ascii="Arial" w:cs="Arial" w:eastAsia="Arial" w:hAnsi="Arial"/>
                <w:sz w:val="12"/>
                <w:szCs w:val="12"/>
                <w:color w:val="auto"/>
                <w:w w:val="94"/>
              </w:rPr>
              <w:t>2/1/2020-2/29/2020</w:t>
            </w:r>
          </w:p>
        </w:tc>
        <w:tc>
          <w:tcPr>
            <w:tcW w:w="1140" w:type="dxa"/>
            <w:vAlign w:val="bottom"/>
          </w:tcPr>
          <w:p>
            <w:pPr>
              <w:jc w:val="right"/>
              <w:spacing w:after="0"/>
              <w:rPr>
                <w:sz w:val="20"/>
                <w:szCs w:val="20"/>
                <w:color w:val="auto"/>
              </w:rPr>
            </w:pPr>
            <w:r>
              <w:rPr>
                <w:rFonts w:ascii="Arial" w:cs="Arial" w:eastAsia="Arial" w:hAnsi="Arial"/>
                <w:sz w:val="12"/>
                <w:szCs w:val="12"/>
                <w:color w:val="auto"/>
              </w:rPr>
              <w:t>5,940</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5.55</w:t>
            </w: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2"/>
                <w:szCs w:val="12"/>
                <w:color w:val="auto"/>
              </w:rPr>
              <w:t>146,067</w:t>
            </w:r>
          </w:p>
        </w:tc>
      </w:tr>
      <w:tr>
        <w:trPr>
          <w:trHeight w:val="199"/>
        </w:trPr>
        <w:tc>
          <w:tcPr>
            <w:tcW w:w="13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3/1/2020-3/31/2020</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5.22</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145,667</w:t>
            </w:r>
          </w:p>
        </w:tc>
      </w:tr>
      <w:tr>
        <w:trPr>
          <w:trHeight w:val="152"/>
        </w:trPr>
        <w:tc>
          <w:tcPr>
            <w:tcW w:w="134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000" w:type="dxa"/>
            <w:vAlign w:val="bottom"/>
            <w:tcBorders>
              <w:bottom w:val="single" w:sz="8" w:color="auto"/>
            </w:tcBorders>
          </w:tcPr>
          <w:p>
            <w:pPr>
              <w:spacing w:after="0"/>
              <w:rPr>
                <w:sz w:val="13"/>
                <w:szCs w:val="13"/>
                <w:color w:val="auto"/>
              </w:rPr>
            </w:pPr>
          </w:p>
        </w:tc>
      </w:tr>
      <w:tr>
        <w:trPr>
          <w:trHeight w:val="179"/>
        </w:trPr>
        <w:tc>
          <w:tcPr>
            <w:tcW w:w="1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16,340</w:t>
            </w: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298"/>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5.79</w:t>
            </w:r>
          </w:p>
        </w:tc>
        <w:tc>
          <w:tcPr>
            <w:tcW w:w="16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145,667</w:t>
            </w:r>
          </w:p>
        </w:tc>
      </w:tr>
      <w:tr>
        <w:trPr>
          <w:trHeight w:val="20"/>
        </w:trPr>
        <w:tc>
          <w:tcPr>
            <w:tcW w:w="1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85725</wp:posOffset>
            </wp:positionV>
            <wp:extent cx="498983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989830" cy="29845"/>
                    </a:xfrm>
                    <a:prstGeom prst="rect">
                      <a:avLst/>
                    </a:prstGeom>
                    <a:noFill/>
                  </pic:spPr>
                </pic:pic>
              </a:graphicData>
            </a:graphic>
          </wp:anchor>
        </w:drawing>
      </w:r>
    </w:p>
    <w:p>
      <w:pPr>
        <w:sectPr>
          <w:pgSz w:w="11900" w:h="16838" w:orient="portrait"/>
          <w:cols w:equalWidth="0" w:num="1">
            <w:col w:w="9379"/>
          </w:cols>
          <w:pgMar w:left="1080" w:top="120" w:right="1440" w:bottom="1440" w:gutter="0" w:footer="0" w:header="0"/>
        </w:sectPr>
      </w:pPr>
    </w:p>
    <w:bookmarkStart w:id="60" w:name="page61"/>
    <w:bookmarkEnd w:id="60"/>
    <w:p>
      <w:pPr>
        <w:spacing w:after="0"/>
        <w:rPr>
          <w:sz w:val="20"/>
          <w:szCs w:val="20"/>
          <w:color w:val="auto"/>
        </w:rPr>
      </w:pPr>
      <w:r>
        <w:rPr>
          <w:rFonts w:ascii="Arial" w:cs="Arial" w:eastAsia="Arial" w:hAnsi="Arial"/>
          <w:sz w:val="17"/>
          <w:szCs w:val="17"/>
          <w:b w:val="1"/>
          <w:bCs w:val="1"/>
          <w:color w:val="auto"/>
        </w:rPr>
        <w:t>Item 6. Exhibits, Financial Statements Schedules and Reports on Form 8-K.</w:t>
      </w:r>
    </w:p>
    <w:p>
      <w:pPr>
        <w:spacing w:after="0" w:line="207"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color w:val="auto"/>
        </w:rPr>
        <w:t>(a)(1)</w:t>
      </w:r>
      <w:r>
        <w:rPr>
          <w:sz w:val="20"/>
          <w:szCs w:val="20"/>
          <w:color w:val="auto"/>
        </w:rPr>
        <w:tab/>
      </w:r>
      <w:r>
        <w:rPr>
          <w:rFonts w:ascii="Arial" w:cs="Arial" w:eastAsia="Arial" w:hAnsi="Arial"/>
          <w:sz w:val="15"/>
          <w:szCs w:val="15"/>
          <w:u w:val="single" w:color="auto"/>
          <w:color w:val="auto"/>
        </w:rPr>
        <w:t>Financial Statements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See “Table of Contents – Part I – Financial Information” under page 2 above</w:t>
      </w:r>
    </w:p>
    <w:p>
      <w:pPr>
        <w:spacing w:after="0" w:line="202"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color w:val="auto"/>
        </w:rPr>
        <w:t>(a)(2)</w:t>
      </w:r>
      <w:r>
        <w:rPr>
          <w:sz w:val="20"/>
          <w:szCs w:val="20"/>
          <w:color w:val="auto"/>
        </w:rPr>
        <w:tab/>
      </w:r>
      <w:r>
        <w:rPr>
          <w:rFonts w:ascii="Arial" w:cs="Arial" w:eastAsia="Arial" w:hAnsi="Arial"/>
          <w:sz w:val="15"/>
          <w:szCs w:val="15"/>
          <w:u w:val="single" w:color="auto"/>
          <w:color w:val="auto"/>
        </w:rPr>
        <w:t>Financial Statement Schedules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None</w:t>
      </w:r>
    </w:p>
    <w:p>
      <w:pPr>
        <w:spacing w:after="0" w:line="202" w:lineRule="exact"/>
        <w:rPr>
          <w:sz w:val="20"/>
          <w:szCs w:val="20"/>
          <w:color w:val="auto"/>
        </w:rPr>
      </w:pPr>
    </w:p>
    <w:p>
      <w:pPr>
        <w:jc w:val="both"/>
        <w:ind w:left="560" w:right="1519"/>
        <w:spacing w:after="0" w:line="302" w:lineRule="auto"/>
        <w:rPr>
          <w:sz w:val="20"/>
          <w:szCs w:val="20"/>
          <w:color w:val="auto"/>
        </w:rPr>
      </w:pPr>
      <w:r>
        <w:rPr>
          <w:rFonts w:ascii="Arial" w:cs="Arial" w:eastAsia="Arial" w:hAnsi="Arial"/>
          <w:sz w:val="16"/>
          <w:szCs w:val="16"/>
          <w:color w:val="auto"/>
        </w:rPr>
        <w:t>All other schedules to the consolidated financial statements required by Article 7 of Regulation S-X are not required under the related instructions or are inapplicable and therefore have been omitted.</w:t>
      </w:r>
    </w:p>
    <w:p>
      <w:pPr>
        <w:spacing w:after="0" w:line="133"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color w:val="auto"/>
        </w:rPr>
        <w:t>(a)(3)</w:t>
      </w:r>
      <w:r>
        <w:rPr>
          <w:sz w:val="20"/>
          <w:szCs w:val="20"/>
          <w:color w:val="auto"/>
        </w:rPr>
        <w:tab/>
      </w:r>
      <w:r>
        <w:rPr>
          <w:rFonts w:ascii="Arial" w:cs="Arial" w:eastAsia="Arial" w:hAnsi="Arial"/>
          <w:sz w:val="16"/>
          <w:szCs w:val="16"/>
          <w:u w:val="single" w:color="auto"/>
          <w:color w:val="auto"/>
        </w:rPr>
        <w:t>Exhibits</w:t>
      </w:r>
    </w:p>
    <w:p>
      <w:pPr>
        <w:spacing w:after="0" w:line="202" w:lineRule="exact"/>
        <w:rPr>
          <w:sz w:val="20"/>
          <w:szCs w:val="20"/>
          <w:color w:val="auto"/>
        </w:rPr>
      </w:pPr>
    </w:p>
    <w:p>
      <w:pPr>
        <w:jc w:val="both"/>
        <w:ind w:left="560" w:right="1519"/>
        <w:spacing w:after="0" w:line="270" w:lineRule="auto"/>
        <w:rPr>
          <w:sz w:val="20"/>
          <w:szCs w:val="20"/>
          <w:color w:val="auto"/>
        </w:rPr>
      </w:pPr>
      <w:r>
        <w:rPr>
          <w:rFonts w:ascii="Arial" w:cs="Arial" w:eastAsia="Arial" w:hAnsi="Arial"/>
          <w:sz w:val="17"/>
          <w:szCs w:val="17"/>
          <w:color w:val="auto"/>
        </w:rPr>
        <w:t>The following Exhibits are filed herewith pursuant to Rule 601 of Regulation S-K or are incorporated by reference to previous filings.</w:t>
      </w:r>
    </w:p>
    <w:p>
      <w:pPr>
        <w:spacing w:after="0" w:line="157" w:lineRule="exact"/>
        <w:rPr>
          <w:sz w:val="20"/>
          <w:szCs w:val="20"/>
          <w:color w:val="auto"/>
        </w:rPr>
      </w:pPr>
    </w:p>
    <w:p>
      <w:pPr>
        <w:ind w:left="560"/>
        <w:spacing w:after="0"/>
        <w:tabs>
          <w:tab w:leader="none" w:pos="124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5"/>
          <w:szCs w:val="15"/>
          <w:color w:val="auto"/>
        </w:rPr>
        <w:t>Amended and Restated Articles of Incorporation (6)</w:t>
      </w:r>
    </w:p>
    <w:p>
      <w:pPr>
        <w:spacing w:after="0" w:line="17" w:lineRule="exact"/>
        <w:rPr>
          <w:sz w:val="20"/>
          <w:szCs w:val="20"/>
          <w:color w:val="auto"/>
        </w:rPr>
      </w:pPr>
    </w:p>
    <w:p>
      <w:pPr>
        <w:ind w:left="560"/>
        <w:spacing w:after="0"/>
        <w:tabs>
          <w:tab w:leader="none" w:pos="1240" w:val="left"/>
        </w:tabs>
        <w:rPr>
          <w:rFonts w:ascii="Arial" w:cs="Arial" w:eastAsia="Arial" w:hAnsi="Arial"/>
          <w:sz w:val="15"/>
          <w:szCs w:val="15"/>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5"/>
          <w:szCs w:val="15"/>
          <w:color w:val="auto"/>
        </w:rPr>
        <w:t xml:space="preserve">Amended and Restated </w:t>
      </w:r>
      <w:hyperlink r:id="rId113">
        <w:r>
          <w:rPr>
            <w:rFonts w:ascii="Arial" w:cs="Arial" w:eastAsia="Arial" w:hAnsi="Arial"/>
            <w:sz w:val="15"/>
            <w:szCs w:val="15"/>
            <w:u w:val="single" w:color="auto"/>
            <w:color w:val="0000FF"/>
          </w:rPr>
          <w:t>Bylaws</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(10)</w:t>
      </w:r>
    </w:p>
    <w:p>
      <w:pPr>
        <w:spacing w:after="0" w:line="3" w:lineRule="exact"/>
        <w:rPr>
          <w:sz w:val="20"/>
          <w:szCs w:val="20"/>
          <w:color w:val="auto"/>
        </w:rPr>
      </w:pPr>
    </w:p>
    <w:p>
      <w:pPr>
        <w:ind w:left="560"/>
        <w:spacing w:after="0"/>
        <w:tabs>
          <w:tab w:leader="none" w:pos="124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5"/>
          <w:szCs w:val="15"/>
          <w:color w:val="auto"/>
        </w:rPr>
        <w:t>Specimen Class A Stock Certificate (1)</w:t>
      </w:r>
    </w:p>
    <w:p>
      <w:pPr>
        <w:spacing w:after="0" w:line="3" w:lineRule="exact"/>
        <w:rPr>
          <w:sz w:val="20"/>
          <w:szCs w:val="20"/>
          <w:color w:val="auto"/>
        </w:rPr>
      </w:pPr>
    </w:p>
    <w:p>
      <w:pPr>
        <w:ind w:left="560"/>
        <w:spacing w:after="0"/>
        <w:tabs>
          <w:tab w:leader="none" w:pos="124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5"/>
          <w:szCs w:val="15"/>
          <w:color w:val="auto"/>
        </w:rPr>
        <w:t>Specimen Class C Stock Certificate (1)</w:t>
      </w:r>
    </w:p>
    <w:p>
      <w:pPr>
        <w:spacing w:after="0" w:line="3" w:lineRule="exact"/>
        <w:rPr>
          <w:sz w:val="20"/>
          <w:szCs w:val="20"/>
          <w:color w:val="auto"/>
        </w:rPr>
      </w:pPr>
    </w:p>
    <w:p>
      <w:pPr>
        <w:ind w:left="560"/>
        <w:spacing w:after="0"/>
        <w:tabs>
          <w:tab w:leader="none" w:pos="124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5"/>
          <w:szCs w:val="15"/>
          <w:color w:val="auto"/>
        </w:rPr>
        <w:t>Specimen Preferred Stock Certificate and Certificate of Designation of Preferred Stock (1)</w:t>
      </w:r>
    </w:p>
    <w:p>
      <w:pPr>
        <w:spacing w:after="0" w:line="3" w:lineRule="exact"/>
        <w:rPr>
          <w:sz w:val="20"/>
          <w:szCs w:val="20"/>
          <w:color w:val="auto"/>
        </w:rPr>
      </w:pPr>
    </w:p>
    <w:p>
      <w:pPr>
        <w:ind w:left="560"/>
        <w:spacing w:after="0"/>
        <w:tabs>
          <w:tab w:leader="none" w:pos="124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5"/>
          <w:szCs w:val="15"/>
          <w:color w:val="auto"/>
        </w:rPr>
        <w:t>Employee Stock Ownership Plan, as amended and restated (ESOP) and Trust Agreement (1)</w:t>
      </w:r>
    </w:p>
    <w:p>
      <w:pPr>
        <w:spacing w:after="0" w:line="3" w:lineRule="exact"/>
        <w:rPr>
          <w:sz w:val="20"/>
          <w:szCs w:val="20"/>
          <w:color w:val="auto"/>
        </w:rPr>
      </w:pPr>
    </w:p>
    <w:p>
      <w:pPr>
        <w:ind w:left="560"/>
        <w:spacing w:after="0"/>
        <w:tabs>
          <w:tab w:leader="none" w:pos="1240" w:val="left"/>
        </w:tabs>
        <w:rPr>
          <w:rFonts w:ascii="Arial" w:cs="Arial" w:eastAsia="Arial" w:hAnsi="Arial"/>
          <w:sz w:val="15"/>
          <w:szCs w:val="15"/>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5"/>
          <w:szCs w:val="15"/>
          <w:color w:val="auto"/>
        </w:rPr>
        <w:t xml:space="preserve">Amended and Restated </w:t>
      </w:r>
      <w:hyperlink r:id="rId114">
        <w:r>
          <w:rPr>
            <w:rFonts w:ascii="Arial" w:cs="Arial" w:eastAsia="Arial" w:hAnsi="Arial"/>
            <w:sz w:val="15"/>
            <w:szCs w:val="15"/>
            <w:u w:val="single" w:color="auto"/>
            <w:color w:val="0000FF"/>
          </w:rPr>
          <w:t>2013 Stock Option and Other Equity Incentive Awards Plan</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(4)</w:t>
      </w:r>
    </w:p>
    <w:p>
      <w:pPr>
        <w:spacing w:after="0" w:line="3" w:lineRule="exact"/>
        <w:rPr>
          <w:sz w:val="20"/>
          <w:szCs w:val="20"/>
          <w:color w:val="auto"/>
        </w:rPr>
      </w:pPr>
    </w:p>
    <w:p>
      <w:pPr>
        <w:ind w:left="560"/>
        <w:spacing w:after="0"/>
        <w:tabs>
          <w:tab w:leader="none" w:pos="1240" w:val="left"/>
        </w:tabs>
        <w:rPr>
          <w:rFonts w:ascii="Arial" w:cs="Arial" w:eastAsia="Arial" w:hAnsi="Arial"/>
          <w:sz w:val="15"/>
          <w:szCs w:val="15"/>
          <w:color w:val="auto"/>
        </w:rPr>
      </w:pPr>
      <w:r>
        <w:rPr>
          <w:rFonts w:ascii="Arial" w:cs="Arial" w:eastAsia="Arial" w:hAnsi="Arial"/>
          <w:sz w:val="17"/>
          <w:szCs w:val="17"/>
          <w:color w:val="auto"/>
        </w:rPr>
        <w:t>10.3</w:t>
      </w:r>
      <w:r>
        <w:rPr>
          <w:sz w:val="20"/>
          <w:szCs w:val="20"/>
          <w:color w:val="auto"/>
        </w:rPr>
        <w:tab/>
      </w:r>
      <w:r>
        <w:rPr>
          <w:rFonts w:ascii="Arial" w:cs="Arial" w:eastAsia="Arial" w:hAnsi="Arial"/>
          <w:sz w:val="15"/>
          <w:szCs w:val="15"/>
          <w:color w:val="auto"/>
        </w:rPr>
        <w:t xml:space="preserve">Amended and Restated </w:t>
      </w:r>
      <w:hyperlink r:id="rId115">
        <w:r>
          <w:rPr>
            <w:rFonts w:ascii="Arial" w:cs="Arial" w:eastAsia="Arial" w:hAnsi="Arial"/>
            <w:sz w:val="15"/>
            <w:szCs w:val="15"/>
            <w:u w:val="single" w:color="auto"/>
            <w:color w:val="0000FF"/>
          </w:rPr>
          <w:t>2014 Director Stock Option Plan</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(2)</w:t>
      </w:r>
    </w:p>
    <w:p>
      <w:pPr>
        <w:spacing w:after="0" w:line="3" w:lineRule="exact"/>
        <w:rPr>
          <w:sz w:val="20"/>
          <w:szCs w:val="20"/>
          <w:color w:val="auto"/>
        </w:rPr>
      </w:pPr>
    </w:p>
    <w:p>
      <w:pPr>
        <w:ind w:left="560"/>
        <w:spacing w:after="0"/>
        <w:tabs>
          <w:tab w:leader="none" w:pos="1240" w:val="left"/>
        </w:tabs>
        <w:rPr>
          <w:rFonts w:ascii="Arial" w:cs="Arial" w:eastAsia="Arial" w:hAnsi="Arial"/>
          <w:sz w:val="16"/>
          <w:szCs w:val="16"/>
          <w:u w:val="single" w:color="auto"/>
          <w:color w:val="0000FF"/>
        </w:rPr>
      </w:pPr>
      <w:r>
        <w:rPr>
          <w:rFonts w:ascii="Arial" w:cs="Arial" w:eastAsia="Arial" w:hAnsi="Arial"/>
          <w:sz w:val="17"/>
          <w:szCs w:val="17"/>
          <w:color w:val="auto"/>
        </w:rPr>
        <w:t>10.4</w:t>
      </w:r>
      <w:r>
        <w:rPr>
          <w:sz w:val="20"/>
          <w:szCs w:val="20"/>
          <w:color w:val="auto"/>
        </w:rPr>
        <w:tab/>
      </w:r>
      <w:hyperlink r:id="rId116">
        <w:r>
          <w:rPr>
            <w:rFonts w:ascii="Arial" w:cs="Arial" w:eastAsia="Arial" w:hAnsi="Arial"/>
            <w:sz w:val="16"/>
            <w:szCs w:val="16"/>
            <w:u w:val="single" w:color="auto"/>
            <w:color w:val="0000FF"/>
          </w:rPr>
          <w:t xml:space="preserve">Employment Agreement with Scott M. Quist </w:t>
        </w:r>
      </w:hyperlink>
      <w:r>
        <w:rPr>
          <w:rFonts w:ascii="Arial" w:cs="Arial" w:eastAsia="Arial" w:hAnsi="Arial"/>
          <w:sz w:val="16"/>
          <w:szCs w:val="16"/>
          <w:color w:val="000000"/>
        </w:rPr>
        <w:t>(3)</w:t>
      </w:r>
    </w:p>
    <w:p>
      <w:pPr>
        <w:spacing w:after="0" w:line="3" w:lineRule="exact"/>
        <w:rPr>
          <w:sz w:val="20"/>
          <w:szCs w:val="20"/>
          <w:color w:val="auto"/>
        </w:rPr>
      </w:pPr>
    </w:p>
    <w:p>
      <w:pPr>
        <w:jc w:val="both"/>
        <w:ind w:left="1260" w:right="1519" w:hanging="981"/>
        <w:spacing w:after="0" w:line="244" w:lineRule="auto"/>
        <w:tabs>
          <w:tab w:leader="none" w:pos="1240" w:val="left"/>
        </w:tabs>
        <w:rPr>
          <w:rFonts w:ascii="Arial" w:cs="Arial" w:eastAsia="Arial" w:hAnsi="Arial"/>
          <w:sz w:val="17"/>
          <w:szCs w:val="17"/>
          <w:color w:val="0000FF"/>
        </w:rPr>
      </w:pPr>
      <w:r>
        <w:rPr>
          <w:rFonts w:ascii="Arial" w:cs="Arial" w:eastAsia="Arial" w:hAnsi="Arial"/>
          <w:sz w:val="17"/>
          <w:szCs w:val="17"/>
          <w:color w:val="auto"/>
        </w:rPr>
        <w:t>10.5</w:t>
      </w:r>
      <w:r>
        <w:rPr>
          <w:sz w:val="20"/>
          <w:szCs w:val="20"/>
          <w:color w:val="auto"/>
        </w:rPr>
        <w:tab/>
      </w:r>
      <w:hyperlink r:id="rId117">
        <w:r>
          <w:rPr>
            <w:rFonts w:ascii="Arial" w:cs="Arial" w:eastAsia="Arial" w:hAnsi="Arial"/>
            <w:sz w:val="17"/>
            <w:szCs w:val="17"/>
            <w:u w:val="single" w:color="auto"/>
            <w:color w:val="0000FF"/>
          </w:rPr>
          <w:t>Stock Purchase Agreement among Security National Financial Corporation, Beta Capital Corp.,</w:t>
        </w:r>
      </w:hyperlink>
      <w:r>
        <w:rPr>
          <w:rFonts w:ascii="Arial" w:cs="Arial" w:eastAsia="Arial" w:hAnsi="Arial"/>
          <w:sz w:val="17"/>
          <w:szCs w:val="17"/>
          <w:u w:val="single" w:color="auto"/>
          <w:color w:val="0000FF"/>
        </w:rPr>
        <w:t xml:space="preserve"> </w:t>
      </w:r>
      <w:hyperlink r:id="rId117">
        <w:r>
          <w:rPr>
            <w:rFonts w:ascii="Arial" w:cs="Arial" w:eastAsia="Arial" w:hAnsi="Arial"/>
            <w:sz w:val="17"/>
            <w:szCs w:val="17"/>
            <w:u w:val="single" w:color="auto"/>
            <w:color w:val="0000FF"/>
          </w:rPr>
          <w:t>and Ronald D. Maxson, sole shareholder</w:t>
        </w:r>
        <w:r>
          <w:rPr>
            <w:rFonts w:ascii="Arial" w:cs="Arial" w:eastAsia="Arial" w:hAnsi="Arial"/>
            <w:sz w:val="17"/>
            <w:szCs w:val="17"/>
            <w:color w:val="0000FF"/>
          </w:rPr>
          <w:t xml:space="preserve"> </w:t>
        </w:r>
        <w:r>
          <w:rPr>
            <w:rFonts w:ascii="Arial" w:cs="Arial" w:eastAsia="Arial" w:hAnsi="Arial"/>
            <w:sz w:val="17"/>
            <w:szCs w:val="17"/>
            <w:color w:val="000000"/>
          </w:rPr>
          <w:t>(7)</w:t>
        </w:r>
      </w:hyperlink>
    </w:p>
    <w:p>
      <w:pPr>
        <w:ind w:left="560"/>
        <w:spacing w:after="0"/>
        <w:tabs>
          <w:tab w:leader="none" w:pos="1240" w:val="left"/>
        </w:tabs>
        <w:rPr>
          <w:rFonts w:ascii="Arial" w:cs="Arial" w:eastAsia="Arial" w:hAnsi="Arial"/>
          <w:sz w:val="15"/>
          <w:szCs w:val="15"/>
          <w:u w:val="single" w:color="auto"/>
          <w:color w:val="0000FF"/>
        </w:rPr>
      </w:pPr>
      <w:r>
        <w:rPr>
          <w:rFonts w:ascii="Arial" w:cs="Arial" w:eastAsia="Arial" w:hAnsi="Arial"/>
          <w:sz w:val="17"/>
          <w:szCs w:val="17"/>
          <w:color w:val="auto"/>
        </w:rPr>
        <w:t>10.6</w:t>
      </w:r>
      <w:r>
        <w:rPr>
          <w:sz w:val="20"/>
          <w:szCs w:val="20"/>
          <w:color w:val="auto"/>
        </w:rPr>
        <w:tab/>
      </w:r>
      <w:hyperlink r:id="rId118">
        <w:r>
          <w:rPr>
            <w:rFonts w:ascii="Arial" w:cs="Arial" w:eastAsia="Arial" w:hAnsi="Arial"/>
            <w:sz w:val="15"/>
            <w:szCs w:val="15"/>
            <w:u w:val="single" w:color="auto"/>
            <w:color w:val="0000FF"/>
          </w:rPr>
          <w:t xml:space="preserve">Stock Repurchase Plan </w:t>
        </w:r>
      </w:hyperlink>
      <w:r>
        <w:rPr>
          <w:rFonts w:ascii="Arial" w:cs="Arial" w:eastAsia="Arial" w:hAnsi="Arial"/>
          <w:sz w:val="15"/>
          <w:szCs w:val="15"/>
          <w:color w:val="000000"/>
        </w:rPr>
        <w:t>(8)</w:t>
      </w:r>
    </w:p>
    <w:p>
      <w:pPr>
        <w:spacing w:after="0" w:line="3" w:lineRule="exact"/>
        <w:rPr>
          <w:sz w:val="20"/>
          <w:szCs w:val="20"/>
          <w:color w:val="auto"/>
        </w:rPr>
      </w:pPr>
    </w:p>
    <w:p>
      <w:pPr>
        <w:jc w:val="both"/>
        <w:ind w:left="1260" w:right="1519" w:hanging="981"/>
        <w:spacing w:after="0" w:line="244" w:lineRule="auto"/>
        <w:tabs>
          <w:tab w:leader="none" w:pos="1240" w:val="left"/>
        </w:tabs>
        <w:rPr>
          <w:rFonts w:ascii="Arial" w:cs="Arial" w:eastAsia="Arial" w:hAnsi="Arial"/>
          <w:sz w:val="17"/>
          <w:szCs w:val="17"/>
          <w:color w:val="0000FF"/>
        </w:rPr>
      </w:pPr>
      <w:r>
        <w:rPr>
          <w:rFonts w:ascii="Arial" w:cs="Arial" w:eastAsia="Arial" w:hAnsi="Arial"/>
          <w:sz w:val="17"/>
          <w:szCs w:val="17"/>
          <w:color w:val="auto"/>
        </w:rPr>
        <w:t>10.7</w:t>
      </w:r>
      <w:r>
        <w:rPr>
          <w:sz w:val="20"/>
          <w:szCs w:val="20"/>
          <w:color w:val="auto"/>
        </w:rPr>
        <w:tab/>
      </w:r>
      <w:hyperlink r:id="rId119">
        <w:r>
          <w:rPr>
            <w:rFonts w:ascii="Arial" w:cs="Arial" w:eastAsia="Arial" w:hAnsi="Arial"/>
            <w:sz w:val="17"/>
            <w:szCs w:val="17"/>
            <w:u w:val="single" w:color="auto"/>
            <w:color w:val="0000FF"/>
          </w:rPr>
          <w:t>Asset Purchase Agreement among SN Probst LLC, Probst Family Funerals and Cremations,</w:t>
        </w:r>
      </w:hyperlink>
      <w:r>
        <w:rPr>
          <w:rFonts w:ascii="Arial" w:cs="Arial" w:eastAsia="Arial" w:hAnsi="Arial"/>
          <w:sz w:val="17"/>
          <w:szCs w:val="17"/>
          <w:u w:val="single" w:color="auto"/>
          <w:color w:val="0000FF"/>
        </w:rPr>
        <w:t xml:space="preserve"> </w:t>
      </w:r>
      <w:hyperlink r:id="rId119">
        <w:r>
          <w:rPr>
            <w:rFonts w:ascii="Arial" w:cs="Arial" w:eastAsia="Arial" w:hAnsi="Arial"/>
            <w:sz w:val="17"/>
            <w:szCs w:val="17"/>
            <w:u w:val="single" w:color="auto"/>
            <w:color w:val="0000FF"/>
          </w:rPr>
          <w:t>L.L.C, Heber Valley Funeral Home, Inc., Joe T. Probst, Clinton Wayne Probst, Calle J.</w:t>
        </w:r>
      </w:hyperlink>
      <w:r>
        <w:rPr>
          <w:rFonts w:ascii="Arial" w:cs="Arial" w:eastAsia="Arial" w:hAnsi="Arial"/>
          <w:sz w:val="17"/>
          <w:szCs w:val="17"/>
          <w:u w:val="single" w:color="auto"/>
          <w:color w:val="0000FF"/>
        </w:rPr>
        <w:t xml:space="preserve"> </w:t>
      </w:r>
      <w:hyperlink r:id="rId119">
        <w:r>
          <w:rPr>
            <w:rFonts w:ascii="Arial" w:cs="Arial" w:eastAsia="Arial" w:hAnsi="Arial"/>
            <w:sz w:val="17"/>
            <w:szCs w:val="17"/>
            <w:u w:val="single" w:color="auto"/>
            <w:color w:val="0000FF"/>
          </w:rPr>
          <w:t>Probst, and Marsha J. Probst</w:t>
        </w:r>
        <w:r>
          <w:rPr>
            <w:rFonts w:ascii="Arial" w:cs="Arial" w:eastAsia="Arial" w:hAnsi="Arial"/>
            <w:sz w:val="17"/>
            <w:szCs w:val="17"/>
            <w:color w:val="0000FF"/>
          </w:rPr>
          <w:t xml:space="preserve"> </w:t>
        </w:r>
        <w:r>
          <w:rPr>
            <w:rFonts w:ascii="Arial" w:cs="Arial" w:eastAsia="Arial" w:hAnsi="Arial"/>
            <w:sz w:val="17"/>
            <w:szCs w:val="17"/>
            <w:color w:val="000000"/>
          </w:rPr>
          <w:t>(9)</w:t>
        </w:r>
      </w:hyperlink>
    </w:p>
    <w:p>
      <w:pPr>
        <w:jc w:val="both"/>
        <w:ind w:left="1260" w:right="1519" w:hanging="981"/>
        <w:spacing w:after="0" w:line="244" w:lineRule="auto"/>
        <w:tabs>
          <w:tab w:leader="none" w:pos="1240" w:val="left"/>
        </w:tabs>
        <w:rPr>
          <w:rFonts w:ascii="Arial" w:cs="Arial" w:eastAsia="Arial" w:hAnsi="Arial"/>
          <w:sz w:val="17"/>
          <w:szCs w:val="17"/>
          <w:color w:val="0000FF"/>
        </w:rPr>
      </w:pPr>
      <w:r>
        <w:rPr>
          <w:rFonts w:ascii="Arial" w:cs="Arial" w:eastAsia="Arial" w:hAnsi="Arial"/>
          <w:sz w:val="17"/>
          <w:szCs w:val="17"/>
          <w:color w:val="auto"/>
        </w:rPr>
        <w:t>10.8</w:t>
      </w:r>
      <w:r>
        <w:rPr>
          <w:sz w:val="20"/>
          <w:szCs w:val="20"/>
          <w:color w:val="auto"/>
        </w:rPr>
        <w:tab/>
      </w:r>
      <w:hyperlink r:id="rId120">
        <w:r>
          <w:rPr>
            <w:rFonts w:ascii="Arial" w:cs="Arial" w:eastAsia="Arial" w:hAnsi="Arial"/>
            <w:sz w:val="17"/>
            <w:szCs w:val="17"/>
            <w:u w:val="single" w:color="auto"/>
            <w:color w:val="0000FF"/>
          </w:rPr>
          <w:t>Coinsurance Agreement between Kilpatrick Life Insurance Company and Security National</w:t>
        </w:r>
      </w:hyperlink>
      <w:r>
        <w:rPr>
          <w:rFonts w:ascii="Arial" w:cs="Arial" w:eastAsia="Arial" w:hAnsi="Arial"/>
          <w:sz w:val="17"/>
          <w:szCs w:val="17"/>
          <w:u w:val="single" w:color="auto"/>
          <w:color w:val="0000FF"/>
        </w:rPr>
        <w:t xml:space="preserve"> </w:t>
      </w:r>
      <w:hyperlink r:id="rId120">
        <w:r>
          <w:rPr>
            <w:rFonts w:ascii="Arial" w:cs="Arial" w:eastAsia="Arial" w:hAnsi="Arial"/>
            <w:sz w:val="17"/>
            <w:szCs w:val="17"/>
            <w:u w:val="single" w:color="auto"/>
            <w:color w:val="0000FF"/>
          </w:rPr>
          <w:t>Life Insurance Company</w:t>
        </w:r>
        <w:r>
          <w:rPr>
            <w:rFonts w:ascii="Arial" w:cs="Arial" w:eastAsia="Arial" w:hAnsi="Arial"/>
            <w:sz w:val="17"/>
            <w:szCs w:val="17"/>
            <w:color w:val="0000FF"/>
          </w:rPr>
          <w:t xml:space="preserve"> </w:t>
        </w:r>
        <w:r>
          <w:rPr>
            <w:rFonts w:ascii="Arial" w:cs="Arial" w:eastAsia="Arial" w:hAnsi="Arial"/>
            <w:sz w:val="17"/>
            <w:szCs w:val="17"/>
            <w:color w:val="000000"/>
          </w:rPr>
          <w:t>(11)</w:t>
        </w:r>
      </w:hyperlink>
    </w:p>
    <w:p>
      <w:pPr>
        <w:jc w:val="both"/>
        <w:ind w:left="1260" w:right="1519" w:hanging="981"/>
        <w:spacing w:after="0" w:line="259" w:lineRule="auto"/>
        <w:tabs>
          <w:tab w:leader="none" w:pos="1240" w:val="left"/>
        </w:tabs>
        <w:rPr>
          <w:rFonts w:ascii="Arial" w:cs="Arial" w:eastAsia="Arial" w:hAnsi="Arial"/>
          <w:sz w:val="16"/>
          <w:szCs w:val="16"/>
          <w:color w:val="0000FF"/>
        </w:rPr>
      </w:pPr>
      <w:r>
        <w:rPr>
          <w:rFonts w:ascii="Arial" w:cs="Arial" w:eastAsia="Arial" w:hAnsi="Arial"/>
          <w:sz w:val="17"/>
          <w:szCs w:val="17"/>
          <w:color w:val="auto"/>
        </w:rPr>
        <w:t>10.9</w:t>
      </w:r>
      <w:r>
        <w:rPr>
          <w:sz w:val="20"/>
          <w:szCs w:val="20"/>
          <w:color w:val="auto"/>
        </w:rPr>
        <w:tab/>
      </w:r>
      <w:hyperlink r:id="rId121">
        <w:r>
          <w:rPr>
            <w:rFonts w:ascii="Arial" w:cs="Arial" w:eastAsia="Arial" w:hAnsi="Arial"/>
            <w:sz w:val="16"/>
            <w:szCs w:val="16"/>
            <w:u w:val="single" w:color="auto"/>
            <w:color w:val="0000FF"/>
          </w:rPr>
          <w:t>Stock Purchase Agreement among Security National Financial Corporation, Kilpatrick Life</w:t>
        </w:r>
      </w:hyperlink>
      <w:r>
        <w:rPr>
          <w:rFonts w:ascii="Arial" w:cs="Arial" w:eastAsia="Arial" w:hAnsi="Arial"/>
          <w:sz w:val="16"/>
          <w:szCs w:val="16"/>
          <w:u w:val="single" w:color="auto"/>
          <w:color w:val="0000FF"/>
        </w:rPr>
        <w:t xml:space="preserve"> </w:t>
      </w:r>
      <w:hyperlink r:id="rId121">
        <w:r>
          <w:rPr>
            <w:rFonts w:ascii="Arial" w:cs="Arial" w:eastAsia="Arial" w:hAnsi="Arial"/>
            <w:sz w:val="16"/>
            <w:szCs w:val="16"/>
            <w:u w:val="single" w:color="auto"/>
            <w:color w:val="0000FF"/>
          </w:rPr>
          <w:t>Insurance Company, and the Shareholders of Kilpatrick Life Insurance Company</w:t>
        </w:r>
        <w:r>
          <w:rPr>
            <w:rFonts w:ascii="Arial" w:cs="Arial" w:eastAsia="Arial" w:hAnsi="Arial"/>
            <w:sz w:val="16"/>
            <w:szCs w:val="16"/>
            <w:color w:val="0000FF"/>
          </w:rPr>
          <w:t xml:space="preserve"> </w:t>
        </w:r>
        <w:r>
          <w:rPr>
            <w:rFonts w:ascii="Arial" w:cs="Arial" w:eastAsia="Arial" w:hAnsi="Arial"/>
            <w:sz w:val="16"/>
            <w:szCs w:val="16"/>
            <w:color w:val="000000"/>
          </w:rPr>
          <w:t>(11)</w:t>
        </w:r>
      </w:hyperlink>
    </w:p>
    <w:p>
      <w:pPr>
        <w:ind w:left="560"/>
        <w:spacing w:after="0"/>
        <w:tabs>
          <w:tab w:leader="none" w:pos="1240" w:val="left"/>
        </w:tabs>
        <w:rPr>
          <w:rFonts w:ascii="Arial" w:cs="Arial" w:eastAsia="Arial" w:hAnsi="Arial"/>
          <w:sz w:val="16"/>
          <w:szCs w:val="16"/>
          <w:u w:val="single" w:color="auto"/>
          <w:color w:val="0000FF"/>
        </w:rPr>
      </w:pPr>
      <w:r>
        <w:rPr>
          <w:rFonts w:ascii="Arial" w:cs="Arial" w:eastAsia="Arial" w:hAnsi="Arial"/>
          <w:sz w:val="17"/>
          <w:szCs w:val="17"/>
          <w:color w:val="auto"/>
        </w:rPr>
        <w:t>10.10</w:t>
      </w:r>
      <w:r>
        <w:rPr>
          <w:sz w:val="20"/>
          <w:szCs w:val="20"/>
          <w:color w:val="auto"/>
        </w:rPr>
        <w:tab/>
      </w:r>
      <w:hyperlink r:id="rId122">
        <w:r>
          <w:rPr>
            <w:rFonts w:ascii="Arial" w:cs="Arial" w:eastAsia="Arial" w:hAnsi="Arial"/>
            <w:sz w:val="16"/>
            <w:szCs w:val="16"/>
            <w:u w:val="single" w:color="auto"/>
            <w:color w:val="0000FF"/>
          </w:rPr>
          <w:t xml:space="preserve">Consolidated Statement of Assets Acquired and Liabilities Assumed </w:t>
        </w:r>
      </w:hyperlink>
      <w:r>
        <w:rPr>
          <w:rFonts w:ascii="Arial" w:cs="Arial" w:eastAsia="Arial" w:hAnsi="Arial"/>
          <w:sz w:val="16"/>
          <w:szCs w:val="16"/>
          <w:color w:val="000000"/>
        </w:rPr>
        <w:t>at</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December 13, 2019</w:t>
      </w:r>
    </w:p>
    <w:p>
      <w:pPr>
        <w:spacing w:after="0" w:line="3"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(12)</w:t>
      </w:r>
    </w:p>
    <w:p>
      <w:pPr>
        <w:spacing w:after="0" w:line="3" w:lineRule="exact"/>
        <w:rPr>
          <w:sz w:val="20"/>
          <w:szCs w:val="20"/>
          <w:color w:val="auto"/>
        </w:rPr>
      </w:pPr>
    </w:p>
    <w:p>
      <w:pPr>
        <w:ind w:left="1260" w:hanging="693"/>
        <w:spacing w:after="0"/>
        <w:tabs>
          <w:tab w:leader="none" w:pos="1260" w:val="left"/>
        </w:tabs>
        <w:numPr>
          <w:ilvl w:val="0"/>
          <w:numId w:val="66"/>
        </w:numPr>
        <w:rPr>
          <w:rFonts w:ascii="Arial" w:cs="Arial" w:eastAsia="Arial" w:hAnsi="Arial"/>
          <w:sz w:val="17"/>
          <w:szCs w:val="17"/>
          <w:color w:val="0000FF"/>
        </w:rPr>
      </w:pPr>
      <w:hyperlink r:id="rId123">
        <w:r>
          <w:rPr>
            <w:rFonts w:ascii="Arial" w:cs="Arial" w:eastAsia="Arial" w:hAnsi="Arial"/>
            <w:sz w:val="17"/>
            <w:szCs w:val="17"/>
            <w:u w:val="single" w:color="auto"/>
            <w:color w:val="0000FF"/>
          </w:rPr>
          <w:t>Code of Business Conduct and Ethics</w:t>
        </w:r>
        <w:r>
          <w:rPr>
            <w:rFonts w:ascii="Arial" w:cs="Arial" w:eastAsia="Arial" w:hAnsi="Arial"/>
            <w:sz w:val="17"/>
            <w:szCs w:val="17"/>
            <w:color w:val="0000FF"/>
          </w:rPr>
          <w:t xml:space="preserve"> </w:t>
        </w:r>
      </w:hyperlink>
      <w:r>
        <w:rPr>
          <w:rFonts w:ascii="Arial" w:cs="Arial" w:eastAsia="Arial" w:hAnsi="Arial"/>
          <w:sz w:val="17"/>
          <w:szCs w:val="17"/>
          <w:color w:val="000000"/>
        </w:rPr>
        <w:t>(10)</w:t>
      </w:r>
    </w:p>
    <w:p>
      <w:pPr>
        <w:spacing w:after="0" w:line="3" w:lineRule="exact"/>
        <w:rPr>
          <w:rFonts w:ascii="Arial" w:cs="Arial" w:eastAsia="Arial" w:hAnsi="Arial"/>
          <w:sz w:val="17"/>
          <w:szCs w:val="17"/>
          <w:color w:val="0000FF"/>
        </w:rPr>
      </w:pPr>
    </w:p>
    <w:p>
      <w:pPr>
        <w:ind w:left="1260" w:hanging="693"/>
        <w:spacing w:after="0"/>
        <w:tabs>
          <w:tab w:leader="none" w:pos="1260" w:val="left"/>
        </w:tabs>
        <w:numPr>
          <w:ilvl w:val="0"/>
          <w:numId w:val="67"/>
        </w:numPr>
        <w:rPr>
          <w:rFonts w:ascii="Arial" w:cs="Arial" w:eastAsia="Arial" w:hAnsi="Arial"/>
          <w:sz w:val="17"/>
          <w:szCs w:val="17"/>
          <w:color w:val="0000FF"/>
        </w:rPr>
      </w:pPr>
      <w:hyperlink r:id="rId124">
        <w:r>
          <w:rPr>
            <w:rFonts w:ascii="Arial" w:cs="Arial" w:eastAsia="Arial" w:hAnsi="Arial"/>
            <w:sz w:val="17"/>
            <w:szCs w:val="17"/>
            <w:u w:val="single" w:color="auto"/>
            <w:color w:val="0000FF"/>
          </w:rPr>
          <w:t>Subsidiaries of the Registrant</w:t>
        </w:r>
        <w:r>
          <w:rPr>
            <w:rFonts w:ascii="Arial" w:cs="Arial" w:eastAsia="Arial" w:hAnsi="Arial"/>
            <w:sz w:val="17"/>
            <w:szCs w:val="17"/>
            <w:color w:val="0000FF"/>
          </w:rPr>
          <w:t xml:space="preserve"> </w:t>
        </w:r>
      </w:hyperlink>
      <w:r>
        <w:rPr>
          <w:rFonts w:ascii="Arial" w:cs="Arial" w:eastAsia="Arial" w:hAnsi="Arial"/>
          <w:sz w:val="17"/>
          <w:szCs w:val="17"/>
          <w:color w:val="000000"/>
        </w:rPr>
        <w:t>(13)</w:t>
      </w:r>
    </w:p>
    <w:p>
      <w:pPr>
        <w:spacing w:after="0" w:line="3" w:lineRule="exact"/>
        <w:rPr>
          <w:rFonts w:ascii="Arial" w:cs="Arial" w:eastAsia="Arial" w:hAnsi="Arial"/>
          <w:sz w:val="17"/>
          <w:szCs w:val="17"/>
          <w:color w:val="0000FF"/>
        </w:rPr>
      </w:pPr>
    </w:p>
    <w:p>
      <w:pPr>
        <w:ind w:left="560"/>
        <w:spacing w:after="0"/>
        <w:rPr>
          <w:rFonts w:ascii="Arial" w:cs="Arial" w:eastAsia="Arial" w:hAnsi="Arial"/>
          <w:sz w:val="16"/>
          <w:szCs w:val="16"/>
          <w:u w:val="single" w:color="auto"/>
          <w:color w:val="0000FF"/>
        </w:rPr>
      </w:pPr>
      <w:r>
        <w:rPr>
          <w:rFonts w:ascii="Arial" w:cs="Arial" w:eastAsia="Arial" w:hAnsi="Arial"/>
          <w:sz w:val="17"/>
          <w:szCs w:val="17"/>
          <w:color w:val="auto"/>
        </w:rPr>
        <w:t>23.1</w:t>
      </w:r>
      <w:hyperlink r:id="rId125">
        <w:r>
          <w:rPr>
            <w:rFonts w:ascii="Arial" w:cs="Arial" w:eastAsia="Arial" w:hAnsi="Arial"/>
            <w:sz w:val="16"/>
            <w:szCs w:val="16"/>
            <w:u w:val="single" w:color="auto"/>
            <w:color w:val="0000FF"/>
          </w:rPr>
          <w:t xml:space="preserve">Consent of Eide Bailly LLP </w:t>
        </w:r>
      </w:hyperlink>
      <w:r>
        <w:rPr>
          <w:rFonts w:ascii="Arial" w:cs="Arial" w:eastAsia="Arial" w:hAnsi="Arial"/>
          <w:sz w:val="16"/>
          <w:szCs w:val="16"/>
          <w:color w:val="000000"/>
        </w:rPr>
        <w:t>(5)</w:t>
      </w:r>
    </w:p>
    <w:p>
      <w:pPr>
        <w:spacing w:after="0" w:line="3" w:lineRule="exact"/>
        <w:rPr>
          <w:rFonts w:ascii="Arial" w:cs="Arial" w:eastAsia="Arial" w:hAnsi="Arial"/>
          <w:sz w:val="16"/>
          <w:szCs w:val="16"/>
          <w:u w:val="single" w:color="auto"/>
          <w:color w:val="0000FF"/>
        </w:rPr>
      </w:pPr>
    </w:p>
    <w:p>
      <w:pPr>
        <w:ind w:left="560"/>
        <w:spacing w:after="0"/>
        <w:rPr>
          <w:rFonts w:ascii="Arial" w:cs="Arial" w:eastAsia="Arial" w:hAnsi="Arial"/>
          <w:sz w:val="15"/>
          <w:szCs w:val="15"/>
          <w:u w:val="single" w:color="auto"/>
          <w:color w:val="0000FF"/>
        </w:rPr>
      </w:pPr>
      <w:r>
        <w:rPr>
          <w:rFonts w:ascii="Arial" w:cs="Arial" w:eastAsia="Arial" w:hAnsi="Arial"/>
          <w:sz w:val="17"/>
          <w:szCs w:val="17"/>
          <w:color w:val="auto"/>
        </w:rPr>
        <w:t>23.2</w:t>
      </w:r>
      <w:hyperlink r:id="rId126">
        <w:r>
          <w:rPr>
            <w:rFonts w:ascii="Arial" w:cs="Arial" w:eastAsia="Arial" w:hAnsi="Arial"/>
            <w:sz w:val="15"/>
            <w:szCs w:val="15"/>
            <w:u w:val="single" w:color="auto"/>
            <w:color w:val="0000FF"/>
          </w:rPr>
          <w:t xml:space="preserve">Consent of Mackey Price &amp; Mecham </w:t>
        </w:r>
      </w:hyperlink>
      <w:r>
        <w:rPr>
          <w:rFonts w:ascii="Arial" w:cs="Arial" w:eastAsia="Arial" w:hAnsi="Arial"/>
          <w:sz w:val="15"/>
          <w:szCs w:val="15"/>
          <w:color w:val="000000"/>
        </w:rPr>
        <w:t>(5)</w:t>
      </w:r>
    </w:p>
    <w:p>
      <w:pPr>
        <w:spacing w:after="0" w:line="3" w:lineRule="exact"/>
        <w:rPr>
          <w:rFonts w:ascii="Arial" w:cs="Arial" w:eastAsia="Arial" w:hAnsi="Arial"/>
          <w:sz w:val="15"/>
          <w:szCs w:val="15"/>
          <w:u w:val="single" w:color="auto"/>
          <w:color w:val="0000FF"/>
        </w:rPr>
      </w:pPr>
    </w:p>
    <w:p>
      <w:pPr>
        <w:ind w:left="1260" w:right="1519" w:hanging="982"/>
        <w:spacing w:after="0" w:line="244" w:lineRule="auto"/>
        <w:rPr>
          <w:rFonts w:ascii="Arial" w:cs="Arial" w:eastAsia="Arial" w:hAnsi="Arial"/>
          <w:sz w:val="17"/>
          <w:szCs w:val="17"/>
          <w:u w:val="single" w:color="auto"/>
          <w:color w:val="0000FF"/>
        </w:rPr>
      </w:pPr>
      <w:r>
        <w:rPr>
          <w:rFonts w:ascii="Arial" w:cs="Arial" w:eastAsia="Arial" w:hAnsi="Arial"/>
          <w:sz w:val="17"/>
          <w:szCs w:val="17"/>
          <w:color w:val="auto"/>
        </w:rPr>
        <w:t>31.1</w:t>
      </w:r>
      <w:hyperlink r:id="rId127">
        <w:r>
          <w:rPr>
            <w:rFonts w:ascii="Arial" w:cs="Arial" w:eastAsia="Arial" w:hAnsi="Arial"/>
            <w:sz w:val="17"/>
            <w:szCs w:val="17"/>
            <w:u w:val="single" w:color="auto"/>
            <w:color w:val="0000FF"/>
          </w:rPr>
          <w:t>Certification pursuant to 18 U.S.C. Section 1350</w:t>
        </w:r>
      </w:hyperlink>
      <w:r>
        <w:rPr>
          <w:rFonts w:ascii="Arial" w:cs="Arial" w:eastAsia="Arial" w:hAnsi="Arial"/>
          <w:sz w:val="17"/>
          <w:szCs w:val="17"/>
          <w:color w:val="000000"/>
        </w:rPr>
        <w:t>,</w:t>
      </w:r>
      <w:r>
        <w:rPr>
          <w:rFonts w:ascii="Arial" w:cs="Arial" w:eastAsia="Arial" w:hAnsi="Arial"/>
          <w:sz w:val="17"/>
          <w:szCs w:val="17"/>
          <w:u w:val="single" w:color="auto"/>
          <w:color w:val="0000FF"/>
        </w:rPr>
        <w:t xml:space="preserve"> </w:t>
      </w:r>
      <w:r>
        <w:rPr>
          <w:rFonts w:ascii="Arial" w:cs="Arial" w:eastAsia="Arial" w:hAnsi="Arial"/>
          <w:sz w:val="17"/>
          <w:szCs w:val="17"/>
          <w:color w:val="000000"/>
        </w:rPr>
        <w:t>as enacted by Section 302 of the Sarbanes-Oxley Act of 2002</w:t>
      </w:r>
    </w:p>
    <w:p>
      <w:pPr>
        <w:ind w:left="1260" w:right="1519" w:hanging="982"/>
        <w:spacing w:after="0" w:line="244" w:lineRule="auto"/>
        <w:rPr>
          <w:rFonts w:ascii="Arial" w:cs="Arial" w:eastAsia="Arial" w:hAnsi="Arial"/>
          <w:sz w:val="17"/>
          <w:szCs w:val="17"/>
          <w:u w:val="single" w:color="auto"/>
          <w:color w:val="0000FF"/>
        </w:rPr>
      </w:pPr>
      <w:r>
        <w:rPr>
          <w:rFonts w:ascii="Arial" w:cs="Arial" w:eastAsia="Arial" w:hAnsi="Arial"/>
          <w:sz w:val="17"/>
          <w:szCs w:val="17"/>
          <w:color w:val="auto"/>
        </w:rPr>
        <w:t>31.2</w:t>
      </w:r>
      <w:hyperlink r:id="rId128">
        <w:r>
          <w:rPr>
            <w:rFonts w:ascii="Arial" w:cs="Arial" w:eastAsia="Arial" w:hAnsi="Arial"/>
            <w:sz w:val="17"/>
            <w:szCs w:val="17"/>
            <w:u w:val="single" w:color="auto"/>
            <w:color w:val="0000FF"/>
          </w:rPr>
          <w:t>Certification pursuant to 18 U.S.C. Section 1350</w:t>
        </w:r>
      </w:hyperlink>
      <w:r>
        <w:rPr>
          <w:rFonts w:ascii="Arial" w:cs="Arial" w:eastAsia="Arial" w:hAnsi="Arial"/>
          <w:sz w:val="17"/>
          <w:szCs w:val="17"/>
          <w:color w:val="000000"/>
        </w:rPr>
        <w:t>,</w:t>
      </w:r>
      <w:r>
        <w:rPr>
          <w:rFonts w:ascii="Arial" w:cs="Arial" w:eastAsia="Arial" w:hAnsi="Arial"/>
          <w:sz w:val="17"/>
          <w:szCs w:val="17"/>
          <w:u w:val="single" w:color="auto"/>
          <w:color w:val="0000FF"/>
        </w:rPr>
        <w:t xml:space="preserve"> </w:t>
      </w:r>
      <w:r>
        <w:rPr>
          <w:rFonts w:ascii="Arial" w:cs="Arial" w:eastAsia="Arial" w:hAnsi="Arial"/>
          <w:sz w:val="17"/>
          <w:szCs w:val="17"/>
          <w:color w:val="000000"/>
        </w:rPr>
        <w:t>as enacted by Section 302 of the Sarbanes-Oxley Act of 2002</w:t>
      </w:r>
    </w:p>
    <w:p>
      <w:pPr>
        <w:ind w:left="1260" w:right="1519" w:hanging="982"/>
        <w:spacing w:after="0" w:line="244" w:lineRule="auto"/>
        <w:rPr>
          <w:rFonts w:ascii="Arial" w:cs="Arial" w:eastAsia="Arial" w:hAnsi="Arial"/>
          <w:sz w:val="17"/>
          <w:szCs w:val="17"/>
          <w:u w:val="single" w:color="auto"/>
          <w:color w:val="0000FF"/>
        </w:rPr>
      </w:pPr>
      <w:r>
        <w:rPr>
          <w:rFonts w:ascii="Arial" w:cs="Arial" w:eastAsia="Arial" w:hAnsi="Arial"/>
          <w:sz w:val="17"/>
          <w:szCs w:val="17"/>
          <w:color w:val="auto"/>
        </w:rPr>
        <w:t>32.1</w:t>
      </w:r>
      <w:hyperlink r:id="rId129">
        <w:r>
          <w:rPr>
            <w:rFonts w:ascii="Arial" w:cs="Arial" w:eastAsia="Arial" w:hAnsi="Arial"/>
            <w:sz w:val="17"/>
            <w:szCs w:val="17"/>
            <w:u w:val="single" w:color="auto"/>
            <w:color w:val="0000FF"/>
          </w:rPr>
          <w:t>Certification pursuant to 18 U.S.C. Section 1350</w:t>
        </w:r>
      </w:hyperlink>
      <w:r>
        <w:rPr>
          <w:rFonts w:ascii="Arial" w:cs="Arial" w:eastAsia="Arial" w:hAnsi="Arial"/>
          <w:sz w:val="17"/>
          <w:szCs w:val="17"/>
          <w:color w:val="000000"/>
        </w:rPr>
        <w:t>,</w:t>
      </w:r>
      <w:r>
        <w:rPr>
          <w:rFonts w:ascii="Arial" w:cs="Arial" w:eastAsia="Arial" w:hAnsi="Arial"/>
          <w:sz w:val="17"/>
          <w:szCs w:val="17"/>
          <w:u w:val="single" w:color="auto"/>
          <w:color w:val="0000FF"/>
        </w:rPr>
        <w:t xml:space="preserve"> </w:t>
      </w:r>
      <w:r>
        <w:rPr>
          <w:rFonts w:ascii="Arial" w:cs="Arial" w:eastAsia="Arial" w:hAnsi="Arial"/>
          <w:sz w:val="17"/>
          <w:szCs w:val="17"/>
          <w:color w:val="000000"/>
        </w:rPr>
        <w:t>as adopted pursuant to Section 906 of the</w:t>
      </w:r>
      <w:r>
        <w:rPr>
          <w:rFonts w:ascii="Arial" w:cs="Arial" w:eastAsia="Arial" w:hAnsi="Arial"/>
          <w:sz w:val="17"/>
          <w:szCs w:val="17"/>
          <w:u w:val="single" w:color="auto"/>
          <w:color w:val="0000FF"/>
        </w:rPr>
        <w:t xml:space="preserve"> </w:t>
      </w:r>
      <w:r>
        <w:rPr>
          <w:rFonts w:ascii="Arial" w:cs="Arial" w:eastAsia="Arial" w:hAnsi="Arial"/>
          <w:sz w:val="17"/>
          <w:szCs w:val="17"/>
          <w:color w:val="000000"/>
        </w:rPr>
        <w:t>Sarbanes-Oxley Act of 2002</w:t>
      </w:r>
    </w:p>
    <w:p>
      <w:pPr>
        <w:ind w:left="1260" w:right="1519" w:hanging="982"/>
        <w:spacing w:after="0" w:line="244" w:lineRule="auto"/>
        <w:rPr>
          <w:rFonts w:ascii="Arial" w:cs="Arial" w:eastAsia="Arial" w:hAnsi="Arial"/>
          <w:sz w:val="17"/>
          <w:szCs w:val="17"/>
          <w:u w:val="single" w:color="auto"/>
          <w:color w:val="0000FF"/>
        </w:rPr>
      </w:pPr>
      <w:r>
        <w:rPr>
          <w:rFonts w:ascii="Arial" w:cs="Arial" w:eastAsia="Arial" w:hAnsi="Arial"/>
          <w:sz w:val="17"/>
          <w:szCs w:val="17"/>
          <w:color w:val="auto"/>
        </w:rPr>
        <w:t>32.2</w:t>
      </w:r>
      <w:hyperlink r:id="rId130">
        <w:r>
          <w:rPr>
            <w:rFonts w:ascii="Arial" w:cs="Arial" w:eastAsia="Arial" w:hAnsi="Arial"/>
            <w:sz w:val="17"/>
            <w:szCs w:val="17"/>
            <w:u w:val="single" w:color="auto"/>
            <w:color w:val="0000FF"/>
          </w:rPr>
          <w:t>Certification pursuant to 18 U.S.C. Section 1350</w:t>
        </w:r>
      </w:hyperlink>
      <w:r>
        <w:rPr>
          <w:rFonts w:ascii="Arial" w:cs="Arial" w:eastAsia="Arial" w:hAnsi="Arial"/>
          <w:sz w:val="17"/>
          <w:szCs w:val="17"/>
          <w:color w:val="000000"/>
        </w:rPr>
        <w:t>,</w:t>
      </w:r>
      <w:r>
        <w:rPr>
          <w:rFonts w:ascii="Arial" w:cs="Arial" w:eastAsia="Arial" w:hAnsi="Arial"/>
          <w:sz w:val="17"/>
          <w:szCs w:val="17"/>
          <w:u w:val="single" w:color="auto"/>
          <w:color w:val="0000FF"/>
        </w:rPr>
        <w:t xml:space="preserve"> </w:t>
      </w:r>
      <w:r>
        <w:rPr>
          <w:rFonts w:ascii="Arial" w:cs="Arial" w:eastAsia="Arial" w:hAnsi="Arial"/>
          <w:sz w:val="17"/>
          <w:szCs w:val="17"/>
          <w:color w:val="000000"/>
        </w:rPr>
        <w:t>as adopted pursuant to Section 906 of the</w:t>
      </w:r>
      <w:r>
        <w:rPr>
          <w:rFonts w:ascii="Arial" w:cs="Arial" w:eastAsia="Arial" w:hAnsi="Arial"/>
          <w:sz w:val="17"/>
          <w:szCs w:val="17"/>
          <w:u w:val="single" w:color="auto"/>
          <w:color w:val="0000FF"/>
        </w:rPr>
        <w:t xml:space="preserve"> </w:t>
      </w:r>
      <w:r>
        <w:rPr>
          <w:rFonts w:ascii="Arial" w:cs="Arial" w:eastAsia="Arial" w:hAnsi="Arial"/>
          <w:sz w:val="17"/>
          <w:szCs w:val="17"/>
          <w:color w:val="000000"/>
        </w:rPr>
        <w:t>Sarbanes-Oxley Act of 2002</w:t>
      </w:r>
    </w:p>
    <w:p>
      <w:pPr>
        <w:ind w:left="560"/>
        <w:spacing w:after="0"/>
        <w:rPr>
          <w:rFonts w:ascii="Arial" w:cs="Arial" w:eastAsia="Arial" w:hAnsi="Arial"/>
          <w:sz w:val="17"/>
          <w:szCs w:val="17"/>
          <w:u w:val="single" w:color="auto"/>
          <w:color w:val="0000FF"/>
        </w:rPr>
      </w:pPr>
      <w:r>
        <w:rPr>
          <w:rFonts w:ascii="Arial" w:cs="Arial" w:eastAsia="Arial" w:hAnsi="Arial"/>
          <w:sz w:val="17"/>
          <w:szCs w:val="17"/>
          <w:color w:val="auto"/>
        </w:rPr>
        <w:t>101.xml  Instance Document</w:t>
      </w:r>
    </w:p>
    <w:tbl>
      <w:tblPr>
        <w:tblLayout w:type="fixed"/>
        <w:tblInd w:w="0" w:type="dxa"/>
        <w:tblCellMar>
          <w:top w:w="0" w:type="dxa"/>
          <w:left w:w="0" w:type="dxa"/>
          <w:bottom w:w="0" w:type="dxa"/>
          <w:right w:w="0" w:type="dxa"/>
        </w:tblCellMar>
      </w:tblPr>
      <w:tr>
        <w:trPr>
          <w:trHeight w:val="188"/>
        </w:trPr>
        <w:tc>
          <w:tcPr>
            <w:tcW w:w="1180" w:type="dxa"/>
            <w:vAlign w:val="bottom"/>
            <w:gridSpan w:val="2"/>
          </w:tcPr>
          <w:p>
            <w:pPr>
              <w:ind w:left="560"/>
              <w:spacing w:after="0" w:line="188" w:lineRule="exact"/>
              <w:rPr>
                <w:sz w:val="20"/>
                <w:szCs w:val="20"/>
                <w:color w:val="auto"/>
              </w:rPr>
            </w:pPr>
            <w:r>
              <w:rPr>
                <w:rFonts w:ascii="Arial" w:cs="Arial" w:eastAsia="Arial" w:hAnsi="Arial"/>
                <w:sz w:val="17"/>
                <w:szCs w:val="17"/>
                <w:color w:val="auto"/>
              </w:rPr>
              <w:t>101.xsd</w:t>
            </w:r>
          </w:p>
        </w:tc>
        <w:tc>
          <w:tcPr>
            <w:tcW w:w="6680" w:type="dxa"/>
            <w:vAlign w:val="bottom"/>
          </w:tcPr>
          <w:p>
            <w:pPr>
              <w:ind w:left="80"/>
              <w:spacing w:after="0" w:line="188" w:lineRule="exact"/>
              <w:rPr>
                <w:sz w:val="20"/>
                <w:szCs w:val="20"/>
                <w:color w:val="auto"/>
              </w:rPr>
            </w:pPr>
            <w:r>
              <w:rPr>
                <w:rFonts w:ascii="Arial" w:cs="Arial" w:eastAsia="Arial" w:hAnsi="Arial"/>
                <w:sz w:val="17"/>
                <w:szCs w:val="17"/>
                <w:color w:val="auto"/>
              </w:rPr>
              <w:t>Taxonomy Extension Schema Document</w:t>
            </w:r>
          </w:p>
        </w:tc>
      </w:tr>
      <w:tr>
        <w:trPr>
          <w:trHeight w:val="199"/>
        </w:trPr>
        <w:tc>
          <w:tcPr>
            <w:tcW w:w="1180" w:type="dxa"/>
            <w:vAlign w:val="bottom"/>
            <w:gridSpan w:val="2"/>
          </w:tcPr>
          <w:p>
            <w:pPr>
              <w:ind w:left="560"/>
              <w:spacing w:after="0"/>
              <w:rPr>
                <w:sz w:val="20"/>
                <w:szCs w:val="20"/>
                <w:color w:val="auto"/>
              </w:rPr>
            </w:pPr>
            <w:r>
              <w:rPr>
                <w:rFonts w:ascii="Arial" w:cs="Arial" w:eastAsia="Arial" w:hAnsi="Arial"/>
                <w:sz w:val="17"/>
                <w:szCs w:val="17"/>
                <w:color w:val="auto"/>
              </w:rPr>
              <w:t>101.cal</w:t>
            </w:r>
          </w:p>
        </w:tc>
        <w:tc>
          <w:tcPr>
            <w:tcW w:w="6680" w:type="dxa"/>
            <w:vAlign w:val="bottom"/>
          </w:tcPr>
          <w:p>
            <w:pPr>
              <w:ind w:left="80"/>
              <w:spacing w:after="0"/>
              <w:rPr>
                <w:sz w:val="20"/>
                <w:szCs w:val="20"/>
                <w:color w:val="auto"/>
              </w:rPr>
            </w:pPr>
            <w:r>
              <w:rPr>
                <w:rFonts w:ascii="Arial" w:cs="Arial" w:eastAsia="Arial" w:hAnsi="Arial"/>
                <w:sz w:val="17"/>
                <w:szCs w:val="17"/>
                <w:color w:val="auto"/>
              </w:rPr>
              <w:t>Taxonomy Extension Calculation Linkbase Document</w:t>
            </w:r>
          </w:p>
        </w:tc>
      </w:tr>
      <w:tr>
        <w:trPr>
          <w:trHeight w:val="199"/>
        </w:trPr>
        <w:tc>
          <w:tcPr>
            <w:tcW w:w="1180" w:type="dxa"/>
            <w:vAlign w:val="bottom"/>
            <w:gridSpan w:val="2"/>
          </w:tcPr>
          <w:p>
            <w:pPr>
              <w:ind w:left="560"/>
              <w:spacing w:after="0"/>
              <w:rPr>
                <w:sz w:val="20"/>
                <w:szCs w:val="20"/>
                <w:color w:val="auto"/>
              </w:rPr>
            </w:pPr>
            <w:r>
              <w:rPr>
                <w:rFonts w:ascii="Arial" w:cs="Arial" w:eastAsia="Arial" w:hAnsi="Arial"/>
                <w:sz w:val="17"/>
                <w:szCs w:val="17"/>
                <w:color w:val="auto"/>
              </w:rPr>
              <w:t>101.def</w:t>
            </w:r>
          </w:p>
        </w:tc>
        <w:tc>
          <w:tcPr>
            <w:tcW w:w="6680" w:type="dxa"/>
            <w:vAlign w:val="bottom"/>
          </w:tcPr>
          <w:p>
            <w:pPr>
              <w:ind w:left="80"/>
              <w:spacing w:after="0"/>
              <w:rPr>
                <w:sz w:val="20"/>
                <w:szCs w:val="20"/>
                <w:color w:val="auto"/>
              </w:rPr>
            </w:pPr>
            <w:r>
              <w:rPr>
                <w:rFonts w:ascii="Arial" w:cs="Arial" w:eastAsia="Arial" w:hAnsi="Arial"/>
                <w:sz w:val="17"/>
                <w:szCs w:val="17"/>
                <w:color w:val="auto"/>
              </w:rPr>
              <w:t>Taxonomy Extension Definition Linkbase Document</w:t>
            </w:r>
          </w:p>
        </w:tc>
      </w:tr>
      <w:tr>
        <w:trPr>
          <w:trHeight w:val="199"/>
        </w:trPr>
        <w:tc>
          <w:tcPr>
            <w:tcW w:w="1180" w:type="dxa"/>
            <w:vAlign w:val="bottom"/>
            <w:gridSpan w:val="2"/>
          </w:tcPr>
          <w:p>
            <w:pPr>
              <w:ind w:left="560"/>
              <w:spacing w:after="0"/>
              <w:rPr>
                <w:sz w:val="20"/>
                <w:szCs w:val="20"/>
                <w:color w:val="auto"/>
              </w:rPr>
            </w:pPr>
            <w:r>
              <w:rPr>
                <w:rFonts w:ascii="Arial" w:cs="Arial" w:eastAsia="Arial" w:hAnsi="Arial"/>
                <w:sz w:val="17"/>
                <w:szCs w:val="17"/>
                <w:color w:val="auto"/>
              </w:rPr>
              <w:t>101.lab</w:t>
            </w:r>
          </w:p>
        </w:tc>
        <w:tc>
          <w:tcPr>
            <w:tcW w:w="6680" w:type="dxa"/>
            <w:vAlign w:val="bottom"/>
          </w:tcPr>
          <w:p>
            <w:pPr>
              <w:ind w:left="80"/>
              <w:spacing w:after="0"/>
              <w:rPr>
                <w:sz w:val="20"/>
                <w:szCs w:val="20"/>
                <w:color w:val="auto"/>
              </w:rPr>
            </w:pPr>
            <w:r>
              <w:rPr>
                <w:rFonts w:ascii="Arial" w:cs="Arial" w:eastAsia="Arial" w:hAnsi="Arial"/>
                <w:sz w:val="17"/>
                <w:szCs w:val="17"/>
                <w:color w:val="auto"/>
              </w:rPr>
              <w:t>Taxonomy Extension Label Linkbase Document</w:t>
            </w:r>
          </w:p>
        </w:tc>
      </w:tr>
      <w:tr>
        <w:trPr>
          <w:trHeight w:val="214"/>
        </w:trPr>
        <w:tc>
          <w:tcPr>
            <w:tcW w:w="1180" w:type="dxa"/>
            <w:vAlign w:val="bottom"/>
            <w:gridSpan w:val="2"/>
          </w:tcPr>
          <w:p>
            <w:pPr>
              <w:ind w:left="560"/>
              <w:spacing w:after="0"/>
              <w:rPr>
                <w:sz w:val="20"/>
                <w:szCs w:val="20"/>
                <w:color w:val="auto"/>
              </w:rPr>
            </w:pPr>
            <w:r>
              <w:rPr>
                <w:rFonts w:ascii="Arial" w:cs="Arial" w:eastAsia="Arial" w:hAnsi="Arial"/>
                <w:sz w:val="17"/>
                <w:szCs w:val="17"/>
                <w:color w:val="auto"/>
              </w:rPr>
              <w:t>101.pre</w:t>
            </w:r>
          </w:p>
        </w:tc>
        <w:tc>
          <w:tcPr>
            <w:tcW w:w="6680" w:type="dxa"/>
            <w:vAlign w:val="bottom"/>
          </w:tcPr>
          <w:p>
            <w:pPr>
              <w:ind w:left="80"/>
              <w:spacing w:after="0"/>
              <w:rPr>
                <w:sz w:val="20"/>
                <w:szCs w:val="20"/>
                <w:color w:val="auto"/>
              </w:rPr>
            </w:pPr>
            <w:r>
              <w:rPr>
                <w:rFonts w:ascii="Arial" w:cs="Arial" w:eastAsia="Arial" w:hAnsi="Arial"/>
                <w:sz w:val="17"/>
                <w:szCs w:val="17"/>
                <w:color w:val="auto"/>
              </w:rPr>
              <w:t>Taxonomy Extension Presentation Linkbase Document</w:t>
            </w:r>
          </w:p>
        </w:tc>
      </w:tr>
      <w:tr>
        <w:trPr>
          <w:trHeight w:val="509"/>
        </w:trPr>
        <w:tc>
          <w:tcPr>
            <w:tcW w:w="8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6680" w:type="dxa"/>
            <w:vAlign w:val="bottom"/>
          </w:tcPr>
          <w:p>
            <w:pPr>
              <w:ind w:left="2660"/>
              <w:spacing w:after="0"/>
              <w:rPr>
                <w:sz w:val="20"/>
                <w:szCs w:val="20"/>
                <w:color w:val="auto"/>
              </w:rPr>
            </w:pPr>
            <w:r>
              <w:rPr>
                <w:rFonts w:ascii="Arial" w:cs="Arial" w:eastAsia="Arial" w:hAnsi="Arial"/>
                <w:sz w:val="17"/>
                <w:szCs w:val="17"/>
                <w:color w:val="auto"/>
              </w:rPr>
              <w:t>61</w:t>
            </w:r>
          </w:p>
        </w:tc>
      </w:tr>
      <w:tr>
        <w:trPr>
          <w:trHeight w:val="140"/>
        </w:trPr>
        <w:tc>
          <w:tcPr>
            <w:tcW w:w="840" w:type="dxa"/>
            <w:vAlign w:val="bottom"/>
            <w:tcBorders>
              <w:bottom w:val="single" w:sz="8" w:color="909090"/>
            </w:tcBorders>
          </w:tcPr>
          <w:p>
            <w:pPr>
              <w:spacing w:after="0"/>
              <w:rPr>
                <w:sz w:val="12"/>
                <w:szCs w:val="12"/>
                <w:color w:val="auto"/>
              </w:rPr>
            </w:pPr>
          </w:p>
        </w:tc>
        <w:tc>
          <w:tcPr>
            <w:tcW w:w="340" w:type="dxa"/>
            <w:vAlign w:val="bottom"/>
            <w:tcBorders>
              <w:bottom w:val="single" w:sz="8" w:color="909090"/>
            </w:tcBorders>
          </w:tcPr>
          <w:p>
            <w:pPr>
              <w:spacing w:after="0"/>
              <w:rPr>
                <w:sz w:val="12"/>
                <w:szCs w:val="12"/>
                <w:color w:val="auto"/>
              </w:rPr>
            </w:pPr>
          </w:p>
        </w:tc>
        <w:tc>
          <w:tcPr>
            <w:tcW w:w="6680" w:type="dxa"/>
            <w:vAlign w:val="bottom"/>
            <w:tcBorders>
              <w:bottom w:val="single" w:sz="8" w:color="909090"/>
            </w:tcBorders>
          </w:tcPr>
          <w:p>
            <w:pPr>
              <w:spacing w:after="0"/>
              <w:rPr>
                <w:sz w:val="12"/>
                <w:szCs w:val="12"/>
                <w:color w:val="auto"/>
              </w:rPr>
            </w:pPr>
          </w:p>
        </w:tc>
      </w:tr>
    </w:tbl>
    <w:p>
      <w:pPr>
        <w:sectPr>
          <w:pgSz w:w="11900" w:h="16838" w:orient="portrait"/>
          <w:cols w:equalWidth="0" w:num="1">
            <w:col w:w="9379"/>
          </w:cols>
          <w:pgMar w:left="1080" w:top="120" w:right="1440" w:bottom="1440" w:gutter="0" w:footer="0" w:header="0"/>
        </w:sectPr>
      </w:pPr>
    </w:p>
    <w:bookmarkStart w:id="61" w:name="page62"/>
    <w:bookmarkEnd w:id="61"/>
    <w:p>
      <w:pPr>
        <w:ind w:left="840" w:hanging="552"/>
        <w:spacing w:after="0"/>
        <w:tabs>
          <w:tab w:leader="none" w:pos="840" w:val="left"/>
        </w:tabs>
        <w:numPr>
          <w:ilvl w:val="0"/>
          <w:numId w:val="68"/>
        </w:numPr>
        <w:rPr>
          <w:rFonts w:ascii="Arial" w:cs="Arial" w:eastAsia="Arial" w:hAnsi="Arial"/>
          <w:sz w:val="15"/>
          <w:szCs w:val="15"/>
          <w:color w:val="auto"/>
        </w:rPr>
      </w:pPr>
      <w:r>
        <w:rPr>
          <w:rFonts w:ascii="Arial" w:cs="Arial" w:eastAsia="Arial" w:hAnsi="Arial"/>
          <w:sz w:val="15"/>
          <w:szCs w:val="15"/>
          <w:color w:val="auto"/>
        </w:rPr>
        <w:t>Incorporated by reference from Registration Statement on Form S-1, as filed on June 29, 1987</w:t>
      </w:r>
    </w:p>
    <w:p>
      <w:pPr>
        <w:spacing w:after="0" w:line="41" w:lineRule="exact"/>
        <w:rPr>
          <w:rFonts w:ascii="Arial" w:cs="Arial" w:eastAsia="Arial" w:hAnsi="Arial"/>
          <w:sz w:val="15"/>
          <w:szCs w:val="15"/>
          <w:color w:val="auto"/>
        </w:rPr>
      </w:pPr>
    </w:p>
    <w:p>
      <w:pPr>
        <w:ind w:left="1040" w:right="1519" w:hanging="752"/>
        <w:spacing w:after="0" w:line="244" w:lineRule="auto"/>
        <w:tabs>
          <w:tab w:leader="none" w:pos="829" w:val="left"/>
        </w:tabs>
        <w:numPr>
          <w:ilvl w:val="0"/>
          <w:numId w:val="68"/>
        </w:numPr>
        <w:rPr>
          <w:rFonts w:ascii="Arial" w:cs="Arial" w:eastAsia="Arial" w:hAnsi="Arial"/>
          <w:sz w:val="17"/>
          <w:szCs w:val="17"/>
          <w:color w:val="auto"/>
        </w:rPr>
      </w:pPr>
      <w:r>
        <w:rPr>
          <w:rFonts w:ascii="Arial" w:cs="Arial" w:eastAsia="Arial" w:hAnsi="Arial"/>
          <w:sz w:val="17"/>
          <w:szCs w:val="17"/>
          <w:color w:val="auto"/>
        </w:rPr>
        <w:t>Incorporated by reference from Schedule 14A Definitive Proxy Statement, as filed on June 2, 2014, related to Company’s Annual Meeting of Stockholders</w:t>
      </w:r>
    </w:p>
    <w:p>
      <w:pPr>
        <w:ind w:left="840" w:hanging="552"/>
        <w:spacing w:after="0"/>
        <w:tabs>
          <w:tab w:leader="none" w:pos="8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Incorporated by reference from Report on Form 10-Q, as filed on November 13, 2015</w:t>
      </w:r>
    </w:p>
    <w:p>
      <w:pPr>
        <w:spacing w:after="0" w:line="3" w:lineRule="exact"/>
        <w:rPr>
          <w:rFonts w:ascii="Arial" w:cs="Arial" w:eastAsia="Arial" w:hAnsi="Arial"/>
          <w:sz w:val="17"/>
          <w:szCs w:val="17"/>
          <w:color w:val="auto"/>
        </w:rPr>
      </w:pPr>
    </w:p>
    <w:p>
      <w:pPr>
        <w:ind w:left="840" w:hanging="552"/>
        <w:spacing w:after="0"/>
        <w:tabs>
          <w:tab w:leader="none" w:pos="8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Incorporated by reference from Report on Form 10-Q, as filed on August 15, 2016</w:t>
      </w:r>
    </w:p>
    <w:p>
      <w:pPr>
        <w:spacing w:after="0" w:line="3" w:lineRule="exact"/>
        <w:rPr>
          <w:rFonts w:ascii="Arial" w:cs="Arial" w:eastAsia="Arial" w:hAnsi="Arial"/>
          <w:sz w:val="17"/>
          <w:szCs w:val="17"/>
          <w:color w:val="auto"/>
        </w:rPr>
      </w:pPr>
    </w:p>
    <w:p>
      <w:pPr>
        <w:ind w:left="1040" w:right="1519" w:hanging="752"/>
        <w:spacing w:after="0" w:line="244" w:lineRule="auto"/>
        <w:tabs>
          <w:tab w:leader="none" w:pos="829" w:val="left"/>
        </w:tabs>
        <w:numPr>
          <w:ilvl w:val="0"/>
          <w:numId w:val="68"/>
        </w:numPr>
        <w:rPr>
          <w:rFonts w:ascii="Arial" w:cs="Arial" w:eastAsia="Arial" w:hAnsi="Arial"/>
          <w:sz w:val="17"/>
          <w:szCs w:val="17"/>
          <w:color w:val="auto"/>
        </w:rPr>
      </w:pPr>
      <w:r>
        <w:rPr>
          <w:rFonts w:ascii="Arial" w:cs="Arial" w:eastAsia="Arial" w:hAnsi="Arial"/>
          <w:sz w:val="17"/>
          <w:szCs w:val="17"/>
          <w:color w:val="auto"/>
        </w:rPr>
        <w:t>Incorporated by reference from Registration Statement on Form S-8, as filed on September 7, 2016</w:t>
      </w:r>
    </w:p>
    <w:p>
      <w:pPr>
        <w:ind w:left="840" w:hanging="552"/>
        <w:spacing w:after="0"/>
        <w:tabs>
          <w:tab w:leader="none" w:pos="8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Incorporated by reference from Report on Form 10-K, as filed on March 31, 2017</w:t>
      </w:r>
    </w:p>
    <w:p>
      <w:pPr>
        <w:spacing w:after="0" w:line="3" w:lineRule="exact"/>
        <w:rPr>
          <w:rFonts w:ascii="Arial" w:cs="Arial" w:eastAsia="Arial" w:hAnsi="Arial"/>
          <w:sz w:val="17"/>
          <w:szCs w:val="17"/>
          <w:color w:val="auto"/>
        </w:rPr>
      </w:pPr>
    </w:p>
    <w:p>
      <w:pPr>
        <w:ind w:left="840" w:hanging="552"/>
        <w:spacing w:after="0"/>
        <w:tabs>
          <w:tab w:leader="none" w:pos="8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Incorporated by reference from Report on Form 8-K, as filed on June 6, 2018</w:t>
      </w:r>
    </w:p>
    <w:p>
      <w:pPr>
        <w:spacing w:after="0" w:line="3" w:lineRule="exact"/>
        <w:rPr>
          <w:rFonts w:ascii="Arial" w:cs="Arial" w:eastAsia="Arial" w:hAnsi="Arial"/>
          <w:sz w:val="17"/>
          <w:szCs w:val="17"/>
          <w:color w:val="auto"/>
        </w:rPr>
      </w:pPr>
    </w:p>
    <w:p>
      <w:pPr>
        <w:ind w:left="840" w:hanging="552"/>
        <w:spacing w:after="0"/>
        <w:tabs>
          <w:tab w:leader="none" w:pos="8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Incorporated by reference from Report on Form 10-Q, as filed on November 13, 2018</w:t>
      </w:r>
    </w:p>
    <w:p>
      <w:pPr>
        <w:spacing w:after="0" w:line="3" w:lineRule="exact"/>
        <w:rPr>
          <w:rFonts w:ascii="Arial" w:cs="Arial" w:eastAsia="Arial" w:hAnsi="Arial"/>
          <w:sz w:val="17"/>
          <w:szCs w:val="17"/>
          <w:color w:val="auto"/>
        </w:rPr>
      </w:pPr>
    </w:p>
    <w:p>
      <w:pPr>
        <w:ind w:left="840" w:hanging="552"/>
        <w:spacing w:after="0"/>
        <w:tabs>
          <w:tab w:leader="none" w:pos="8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Incorporated by reference from Report on Form 8-K, as filed on February 28, 2019</w:t>
      </w:r>
    </w:p>
    <w:p>
      <w:pPr>
        <w:spacing w:after="0" w:line="3" w:lineRule="exact"/>
        <w:rPr>
          <w:rFonts w:ascii="Arial" w:cs="Arial" w:eastAsia="Arial" w:hAnsi="Arial"/>
          <w:sz w:val="17"/>
          <w:szCs w:val="17"/>
          <w:color w:val="auto"/>
        </w:rPr>
      </w:pPr>
    </w:p>
    <w:p>
      <w:pPr>
        <w:ind w:left="840" w:hanging="638"/>
        <w:spacing w:after="0"/>
        <w:tabs>
          <w:tab w:leader="none" w:pos="8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Incorporated by reference from Report on Form 10-Q, as filed on May 15, 2019</w:t>
      </w:r>
    </w:p>
    <w:p>
      <w:pPr>
        <w:spacing w:after="0" w:line="3" w:lineRule="exact"/>
        <w:rPr>
          <w:rFonts w:ascii="Arial" w:cs="Arial" w:eastAsia="Arial" w:hAnsi="Arial"/>
          <w:sz w:val="17"/>
          <w:szCs w:val="17"/>
          <w:color w:val="auto"/>
        </w:rPr>
      </w:pPr>
    </w:p>
    <w:p>
      <w:pPr>
        <w:ind w:left="840" w:hanging="632"/>
        <w:spacing w:after="0"/>
        <w:tabs>
          <w:tab w:leader="none" w:pos="8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Incorporated by reference from Report on Form 8-K, as filed on November 12, 2019</w:t>
      </w:r>
    </w:p>
    <w:p>
      <w:pPr>
        <w:spacing w:after="0" w:line="3" w:lineRule="exact"/>
        <w:rPr>
          <w:rFonts w:ascii="Arial" w:cs="Arial" w:eastAsia="Arial" w:hAnsi="Arial"/>
          <w:sz w:val="17"/>
          <w:szCs w:val="17"/>
          <w:color w:val="auto"/>
        </w:rPr>
      </w:pPr>
    </w:p>
    <w:p>
      <w:pPr>
        <w:ind w:left="840" w:hanging="638"/>
        <w:spacing w:after="0"/>
        <w:tabs>
          <w:tab w:leader="none" w:pos="8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Incorporated by reference from Report on Form 8-K/A, as filed on February 26, 2020</w:t>
      </w:r>
    </w:p>
    <w:p>
      <w:pPr>
        <w:spacing w:after="0" w:line="3" w:lineRule="exact"/>
        <w:rPr>
          <w:rFonts w:ascii="Arial" w:cs="Arial" w:eastAsia="Arial" w:hAnsi="Arial"/>
          <w:sz w:val="17"/>
          <w:szCs w:val="17"/>
          <w:color w:val="auto"/>
        </w:rPr>
      </w:pPr>
    </w:p>
    <w:p>
      <w:pPr>
        <w:ind w:left="840" w:hanging="638"/>
        <w:spacing w:after="0"/>
        <w:tabs>
          <w:tab w:leader="none" w:pos="8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Incorporated by reference from Report on Form 10-K, as filed on March 31, 2020</w:t>
      </w:r>
    </w:p>
    <w:p>
      <w:pPr>
        <w:spacing w:after="0" w:line="211" w:lineRule="exact"/>
        <w:rPr>
          <w:sz w:val="20"/>
          <w:szCs w:val="20"/>
          <w:color w:val="auto"/>
        </w:rPr>
      </w:pPr>
    </w:p>
    <w:p>
      <w:pPr>
        <w:ind w:left="3480"/>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85725</wp:posOffset>
            </wp:positionV>
            <wp:extent cx="498983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1">
                      <a:extLst>
                        <a:ext uri="{28A0092B-C50C-407E-A947-70E740481C1C}"/>
                      </a:extLst>
                    </a:blip>
                    <a:srcRect/>
                    <a:stretch>
                      <a:fillRect/>
                    </a:stretch>
                  </pic:blipFill>
                  <pic:spPr bwMode="auto">
                    <a:xfrm>
                      <a:off x="0" y="0"/>
                      <a:ext cx="4989830" cy="29845"/>
                    </a:xfrm>
                    <a:prstGeom prst="rect">
                      <a:avLst/>
                    </a:prstGeom>
                    <a:noFill/>
                  </pic:spPr>
                </pic:pic>
              </a:graphicData>
            </a:graphic>
          </wp:anchor>
        </w:drawing>
      </w:r>
    </w:p>
    <w:p>
      <w:pPr>
        <w:sectPr>
          <w:pgSz w:w="11900" w:h="16838" w:orient="portrait"/>
          <w:cols w:equalWidth="0" w:num="1">
            <w:col w:w="9019"/>
          </w:cols>
          <w:pgMar w:left="1440" w:top="124" w:right="1440" w:bottom="1440" w:gutter="0" w:footer="0" w:header="0"/>
        </w:sectPr>
      </w:pPr>
    </w:p>
    <w:bookmarkStart w:id="62" w:name="page63"/>
    <w:bookmarkEnd w:id="62"/>
    <w:p>
      <w:pPr>
        <w:jc w:val="center"/>
        <w:ind w:right="1499"/>
        <w:spacing w:after="0"/>
        <w:rPr>
          <w:sz w:val="20"/>
          <w:szCs w:val="20"/>
          <w:color w:val="auto"/>
        </w:rPr>
      </w:pPr>
      <w:r>
        <w:rPr>
          <w:rFonts w:ascii="Arial" w:cs="Arial" w:eastAsia="Arial" w:hAnsi="Arial"/>
          <w:sz w:val="17"/>
          <w:szCs w:val="17"/>
          <w:b w:val="1"/>
          <w:bCs w:val="1"/>
          <w:color w:val="auto"/>
        </w:rPr>
        <w:t>SIGNATURES</w:t>
      </w:r>
    </w:p>
    <w:p>
      <w:pPr>
        <w:spacing w:after="0" w:line="137" w:lineRule="exact"/>
        <w:rPr>
          <w:sz w:val="20"/>
          <w:szCs w:val="20"/>
          <w:color w:val="auto"/>
        </w:rPr>
      </w:pPr>
    </w:p>
    <w:p>
      <w:pPr>
        <w:ind w:right="1519"/>
        <w:spacing w:after="0" w:line="27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14" w:lineRule="exact"/>
        <w:rPr>
          <w:sz w:val="20"/>
          <w:szCs w:val="20"/>
          <w:color w:val="auto"/>
        </w:rPr>
      </w:pPr>
    </w:p>
    <w:p>
      <w:pPr>
        <w:jc w:val="center"/>
        <w:ind w:right="1499"/>
        <w:spacing w:after="0"/>
        <w:rPr>
          <w:sz w:val="20"/>
          <w:szCs w:val="20"/>
          <w:color w:val="auto"/>
        </w:rPr>
      </w:pPr>
      <w:r>
        <w:rPr>
          <w:rFonts w:ascii="Arial" w:cs="Arial" w:eastAsia="Arial" w:hAnsi="Arial"/>
          <w:sz w:val="12"/>
          <w:szCs w:val="12"/>
          <w:b w:val="1"/>
          <w:bCs w:val="1"/>
          <w:i w:val="1"/>
          <w:iCs w:val="1"/>
          <w:color w:val="auto"/>
        </w:rPr>
        <w:t>REGISTRANT</w:t>
      </w:r>
    </w:p>
    <w:p>
      <w:pPr>
        <w:spacing w:after="0" w:line="120" w:lineRule="exact"/>
        <w:rPr>
          <w:sz w:val="20"/>
          <w:szCs w:val="20"/>
          <w:color w:val="auto"/>
        </w:rPr>
      </w:pPr>
    </w:p>
    <w:p>
      <w:pPr>
        <w:jc w:val="center"/>
        <w:ind w:right="1499"/>
        <w:spacing w:after="0"/>
        <w:rPr>
          <w:sz w:val="20"/>
          <w:szCs w:val="20"/>
          <w:color w:val="auto"/>
        </w:rPr>
      </w:pPr>
      <w:r>
        <w:rPr>
          <w:rFonts w:ascii="Arial" w:cs="Arial" w:eastAsia="Arial" w:hAnsi="Arial"/>
          <w:sz w:val="17"/>
          <w:szCs w:val="17"/>
          <w:u w:val="single" w:color="auto"/>
          <w:color w:val="auto"/>
        </w:rPr>
        <w:t>SECURITY NATIONAL FINANCIAL CORPORATION</w:t>
      </w:r>
    </w:p>
    <w:p>
      <w:pPr>
        <w:spacing w:after="0" w:line="17" w:lineRule="exact"/>
        <w:rPr>
          <w:sz w:val="20"/>
          <w:szCs w:val="20"/>
          <w:color w:val="auto"/>
        </w:rPr>
      </w:pPr>
    </w:p>
    <w:p>
      <w:pPr>
        <w:jc w:val="center"/>
        <w:ind w:right="1499"/>
        <w:spacing w:after="0"/>
        <w:rPr>
          <w:sz w:val="20"/>
          <w:szCs w:val="20"/>
          <w:color w:val="auto"/>
        </w:rPr>
      </w:pPr>
      <w:r>
        <w:rPr>
          <w:rFonts w:ascii="Arial" w:cs="Arial" w:eastAsia="Arial" w:hAnsi="Arial"/>
          <w:sz w:val="17"/>
          <w:szCs w:val="17"/>
          <w:color w:val="auto"/>
        </w:rPr>
        <w:t>Registrant</w:t>
      </w:r>
    </w:p>
    <w:p>
      <w:pPr>
        <w:spacing w:after="0" w:line="340" w:lineRule="exact"/>
        <w:rPr>
          <w:sz w:val="20"/>
          <w:szCs w:val="20"/>
          <w:color w:val="auto"/>
        </w:rPr>
      </w:pPr>
    </w:p>
    <w:p>
      <w:pPr>
        <w:ind w:left="860"/>
        <w:spacing w:after="0"/>
        <w:tabs>
          <w:tab w:leader="none" w:pos="3300" w:val="left"/>
        </w:tabs>
        <w:rPr>
          <w:sz w:val="20"/>
          <w:szCs w:val="20"/>
          <w:color w:val="auto"/>
        </w:rPr>
      </w:pPr>
      <w:r>
        <w:rPr>
          <w:rFonts w:ascii="Arial" w:cs="Arial" w:eastAsia="Arial" w:hAnsi="Arial"/>
          <w:sz w:val="17"/>
          <w:szCs w:val="17"/>
          <w:color w:val="auto"/>
        </w:rPr>
        <w:t>Dated: May 15, 2020</w:t>
      </w:r>
      <w:r>
        <w:rPr>
          <w:sz w:val="20"/>
          <w:szCs w:val="20"/>
          <w:color w:val="auto"/>
        </w:rPr>
        <w:tab/>
      </w:r>
      <w:r>
        <w:rPr>
          <w:rFonts w:ascii="Arial" w:cs="Arial" w:eastAsia="Arial" w:hAnsi="Arial"/>
          <w:sz w:val="15"/>
          <w:szCs w:val="15"/>
          <w:u w:val="single" w:color="auto"/>
          <w:color w:val="auto"/>
        </w:rPr>
        <w:t>/s/ Scott M. Quist</w:t>
      </w:r>
    </w:p>
    <w:p>
      <w:pPr>
        <w:spacing w:after="0" w:line="38"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Scott M. Quist</w:t>
      </w:r>
    </w:p>
    <w:p>
      <w:pPr>
        <w:spacing w:after="0" w:line="38"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Chairman, President and Chief Executive Officer</w:t>
      </w:r>
    </w:p>
    <w:p>
      <w:pPr>
        <w:spacing w:after="0" w:line="38"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(Principal Executive Officer)</w:t>
      </w:r>
    </w:p>
    <w:p>
      <w:pPr>
        <w:spacing w:after="0" w:line="200" w:lineRule="exact"/>
        <w:rPr>
          <w:sz w:val="20"/>
          <w:szCs w:val="20"/>
          <w:color w:val="auto"/>
        </w:rPr>
      </w:pPr>
    </w:p>
    <w:p>
      <w:pPr>
        <w:spacing w:after="0" w:line="271" w:lineRule="exact"/>
        <w:rPr>
          <w:sz w:val="20"/>
          <w:szCs w:val="20"/>
          <w:color w:val="auto"/>
        </w:rPr>
      </w:pPr>
    </w:p>
    <w:p>
      <w:pPr>
        <w:ind w:left="860"/>
        <w:spacing w:after="0"/>
        <w:tabs>
          <w:tab w:leader="none" w:pos="3300" w:val="left"/>
        </w:tabs>
        <w:rPr>
          <w:sz w:val="20"/>
          <w:szCs w:val="20"/>
          <w:color w:val="auto"/>
        </w:rPr>
      </w:pPr>
      <w:r>
        <w:rPr>
          <w:rFonts w:ascii="Arial" w:cs="Arial" w:eastAsia="Arial" w:hAnsi="Arial"/>
          <w:sz w:val="17"/>
          <w:szCs w:val="17"/>
          <w:color w:val="auto"/>
        </w:rPr>
        <w:t>Dated: May 15, 2020</w:t>
      </w:r>
      <w:r>
        <w:rPr>
          <w:sz w:val="20"/>
          <w:szCs w:val="20"/>
          <w:color w:val="auto"/>
        </w:rPr>
        <w:tab/>
      </w:r>
      <w:r>
        <w:rPr>
          <w:rFonts w:ascii="Arial" w:cs="Arial" w:eastAsia="Arial" w:hAnsi="Arial"/>
          <w:sz w:val="15"/>
          <w:szCs w:val="15"/>
          <w:u w:val="single" w:color="auto"/>
          <w:color w:val="auto"/>
        </w:rPr>
        <w:t>/s/ Garrett S. Sill</w:t>
      </w:r>
    </w:p>
    <w:p>
      <w:pPr>
        <w:spacing w:after="0" w:line="38"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Garrett S. Sill</w:t>
      </w:r>
    </w:p>
    <w:p>
      <w:pPr>
        <w:spacing w:after="0" w:line="38"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Chief Financial Officer and Treasurer</w:t>
      </w:r>
    </w:p>
    <w:p>
      <w:pPr>
        <w:spacing w:after="0" w:line="27"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(Principal Financial Officer and Principal Accounting</w:t>
      </w:r>
    </w:p>
    <w:p>
      <w:pPr>
        <w:spacing w:after="0" w:line="17"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1866900</wp:posOffset>
            </wp:positionH>
            <wp:positionV relativeFrom="paragraph">
              <wp:posOffset>433070</wp:posOffset>
            </wp:positionV>
            <wp:extent cx="1262380" cy="146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2">
                      <a:extLst>
                        <a:ext uri="{28A0092B-C50C-407E-A947-70E740481C1C}"/>
                      </a:extLst>
                    </a:blip>
                    <a:srcRect/>
                    <a:stretch>
                      <a:fillRect/>
                    </a:stretch>
                  </pic:blipFill>
                  <pic:spPr bwMode="auto">
                    <a:xfrm>
                      <a:off x="0" y="0"/>
                      <a:ext cx="1262380" cy="1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9379"/>
          </w:cols>
          <w:pgMar w:left="1080" w:top="120" w:right="1440" w:bottom="1440" w:gutter="0" w:footer="0" w:header="0"/>
        </w:sectPr>
      </w:pPr>
    </w:p>
    <w:bookmarkStart w:id="63" w:name="page64"/>
    <w:bookmarkEnd w:id="63"/>
    <w:p>
      <w:pPr>
        <w:jc w:val="center"/>
        <w:ind w:right="1539"/>
        <w:spacing w:after="0"/>
        <w:rPr>
          <w:sz w:val="20"/>
          <w:szCs w:val="20"/>
          <w:color w:val="auto"/>
        </w:rPr>
      </w:pPr>
      <w:r>
        <w:rPr>
          <w:rFonts w:ascii="Arial" w:cs="Arial" w:eastAsia="Arial" w:hAnsi="Arial"/>
          <w:sz w:val="17"/>
          <w:szCs w:val="17"/>
          <w:color w:val="auto"/>
        </w:rPr>
        <w:t>EXHIBIT 31.1</w:t>
      </w:r>
    </w:p>
    <w:p>
      <w:pPr>
        <w:jc w:val="center"/>
        <w:ind w:right="1519"/>
        <w:spacing w:after="0" w:line="180" w:lineRule="auto"/>
        <w:rPr>
          <w:sz w:val="20"/>
          <w:szCs w:val="20"/>
          <w:color w:val="auto"/>
        </w:rPr>
      </w:pPr>
      <w:r>
        <w:rPr>
          <w:rFonts w:ascii="Arial" w:cs="Arial" w:eastAsia="Arial" w:hAnsi="Arial"/>
          <w:sz w:val="17"/>
          <w:szCs w:val="17"/>
          <w:color w:val="auto"/>
        </w:rPr>
        <w:t>CERTIFICATION OF CHIEF EXECUTIVE OFFICER,</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AS REQUIRED BY SECTION 302 OF THE SARBANES-OXLEY ACT OF 2002</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I, Scott M. Quist, certify that:</w:t>
      </w:r>
    </w:p>
    <w:p>
      <w:pPr>
        <w:spacing w:after="0" w:line="132" w:lineRule="exact"/>
        <w:rPr>
          <w:sz w:val="20"/>
          <w:szCs w:val="20"/>
          <w:color w:val="auto"/>
        </w:rPr>
      </w:pPr>
    </w:p>
    <w:p>
      <w:pPr>
        <w:ind w:left="180" w:hanging="175"/>
        <w:spacing w:after="0"/>
        <w:tabs>
          <w:tab w:leader="none" w:pos="1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 have reviewed this report on Form 10-Q of Security National Financial Corporation;</w:t>
      </w:r>
    </w:p>
    <w:p>
      <w:pPr>
        <w:spacing w:after="0" w:line="131" w:lineRule="exact"/>
        <w:rPr>
          <w:rFonts w:ascii="Arial" w:cs="Arial" w:eastAsia="Arial" w:hAnsi="Arial"/>
          <w:sz w:val="17"/>
          <w:szCs w:val="17"/>
          <w:color w:val="auto"/>
        </w:rPr>
      </w:pPr>
    </w:p>
    <w:p>
      <w:pPr>
        <w:jc w:val="both"/>
        <w:ind w:right="1519" w:firstLine="5"/>
        <w:spacing w:after="0" w:line="257" w:lineRule="auto"/>
        <w:tabs>
          <w:tab w:leader="none" w:pos="179"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7" w:lineRule="exact"/>
        <w:rPr>
          <w:rFonts w:ascii="Arial" w:cs="Arial" w:eastAsia="Arial" w:hAnsi="Arial"/>
          <w:sz w:val="17"/>
          <w:szCs w:val="17"/>
          <w:color w:val="auto"/>
        </w:rPr>
      </w:pPr>
    </w:p>
    <w:p>
      <w:pPr>
        <w:jc w:val="both"/>
        <w:ind w:right="1519" w:firstLine="5"/>
        <w:spacing w:after="0" w:line="257" w:lineRule="auto"/>
        <w:tabs>
          <w:tab w:leader="none" w:pos="175"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7" w:lineRule="exact"/>
        <w:rPr>
          <w:rFonts w:ascii="Arial" w:cs="Arial" w:eastAsia="Arial" w:hAnsi="Arial"/>
          <w:sz w:val="17"/>
          <w:szCs w:val="17"/>
          <w:color w:val="auto"/>
        </w:rPr>
      </w:pPr>
    </w:p>
    <w:p>
      <w:pPr>
        <w:jc w:val="both"/>
        <w:ind w:right="1519" w:firstLine="5"/>
        <w:spacing w:after="0" w:line="280" w:lineRule="auto"/>
        <w:tabs>
          <w:tab w:leader="none" w:pos="198"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Arial" w:cs="Arial" w:eastAsia="Arial" w:hAnsi="Arial"/>
          <w:sz w:val="16"/>
          <w:szCs w:val="16"/>
          <w:color w:val="auto"/>
        </w:rPr>
      </w:pPr>
    </w:p>
    <w:p>
      <w:pPr>
        <w:jc w:val="both"/>
        <w:ind w:right="1519" w:firstLine="380"/>
        <w:spacing w:after="0" w:line="252" w:lineRule="auto"/>
        <w:tabs>
          <w:tab w:leader="none" w:pos="772" w:val="left"/>
        </w:tabs>
        <w:numPr>
          <w:ilvl w:val="2"/>
          <w:numId w:val="6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79" w:lineRule="exact"/>
        <w:rPr>
          <w:rFonts w:ascii="Arial" w:cs="Arial" w:eastAsia="Arial" w:hAnsi="Arial"/>
          <w:sz w:val="17"/>
          <w:szCs w:val="17"/>
          <w:color w:val="auto"/>
        </w:rPr>
      </w:pPr>
    </w:p>
    <w:p>
      <w:pPr>
        <w:jc w:val="both"/>
        <w:ind w:right="1519" w:firstLine="380"/>
        <w:spacing w:after="0" w:line="252" w:lineRule="auto"/>
        <w:tabs>
          <w:tab w:leader="none" w:pos="772" w:val="left"/>
        </w:tabs>
        <w:numPr>
          <w:ilvl w:val="2"/>
          <w:numId w:val="6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17"/>
          <w:szCs w:val="17"/>
          <w:color w:val="auto"/>
        </w:rPr>
      </w:pPr>
    </w:p>
    <w:p>
      <w:pPr>
        <w:jc w:val="both"/>
        <w:ind w:right="1519" w:firstLine="380"/>
        <w:spacing w:after="0" w:line="257" w:lineRule="auto"/>
        <w:tabs>
          <w:tab w:leader="none" w:pos="772" w:val="left"/>
        </w:tabs>
        <w:numPr>
          <w:ilvl w:val="2"/>
          <w:numId w:val="6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7"/>
          <w:szCs w:val="17"/>
          <w:color w:val="auto"/>
        </w:rPr>
      </w:pPr>
    </w:p>
    <w:p>
      <w:pPr>
        <w:jc w:val="both"/>
        <w:ind w:right="1519" w:firstLine="380"/>
        <w:spacing w:after="0" w:line="252" w:lineRule="auto"/>
        <w:tabs>
          <w:tab w:leader="none" w:pos="772" w:val="left"/>
        </w:tabs>
        <w:numPr>
          <w:ilvl w:val="2"/>
          <w:numId w:val="6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9" w:lineRule="exact"/>
        <w:rPr>
          <w:rFonts w:ascii="Arial" w:cs="Arial" w:eastAsia="Arial" w:hAnsi="Arial"/>
          <w:sz w:val="17"/>
          <w:szCs w:val="17"/>
          <w:color w:val="auto"/>
        </w:rPr>
      </w:pPr>
    </w:p>
    <w:p>
      <w:pPr>
        <w:jc w:val="both"/>
        <w:ind w:right="1519" w:firstLine="5"/>
        <w:spacing w:after="0" w:line="257" w:lineRule="auto"/>
        <w:tabs>
          <w:tab w:leader="none" w:pos="176"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7"/>
          <w:szCs w:val="17"/>
          <w:color w:val="auto"/>
        </w:rPr>
      </w:pPr>
    </w:p>
    <w:p>
      <w:pPr>
        <w:jc w:val="both"/>
        <w:ind w:right="1519" w:firstLine="356"/>
        <w:spacing w:after="0" w:line="257" w:lineRule="auto"/>
        <w:tabs>
          <w:tab w:leader="none" w:pos="772" w:val="left"/>
        </w:tabs>
        <w:numPr>
          <w:ilvl w:val="1"/>
          <w:numId w:val="6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7"/>
          <w:szCs w:val="17"/>
          <w:color w:val="auto"/>
        </w:rPr>
      </w:pPr>
    </w:p>
    <w:p>
      <w:pPr>
        <w:ind w:right="1519" w:firstLine="356"/>
        <w:spacing w:after="0" w:line="270" w:lineRule="auto"/>
        <w:tabs>
          <w:tab w:leader="none" w:pos="772" w:val="left"/>
        </w:tabs>
        <w:numPr>
          <w:ilvl w:val="1"/>
          <w:numId w:val="6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860"/>
        <w:spacing w:after="0"/>
        <w:tabs>
          <w:tab w:leader="none" w:pos="3300" w:val="left"/>
        </w:tabs>
        <w:rPr>
          <w:sz w:val="20"/>
          <w:szCs w:val="20"/>
          <w:color w:val="auto"/>
        </w:rPr>
      </w:pPr>
      <w:r>
        <w:rPr>
          <w:rFonts w:ascii="Arial" w:cs="Arial" w:eastAsia="Arial" w:hAnsi="Arial"/>
          <w:sz w:val="17"/>
          <w:szCs w:val="17"/>
          <w:color w:val="auto"/>
        </w:rPr>
        <w:t>Dated: May 15, 2020</w:t>
      </w:r>
      <w:r>
        <w:rPr>
          <w:sz w:val="20"/>
          <w:szCs w:val="20"/>
          <w:color w:val="auto"/>
        </w:rPr>
        <w:tab/>
      </w:r>
      <w:r>
        <w:rPr>
          <w:rFonts w:ascii="Arial" w:cs="Arial" w:eastAsia="Arial" w:hAnsi="Arial"/>
          <w:sz w:val="15"/>
          <w:szCs w:val="15"/>
          <w:u w:val="single" w:color="auto"/>
          <w:color w:val="auto"/>
        </w:rPr>
        <w:t>/s/ Scott M. Quist</w:t>
      </w:r>
    </w:p>
    <w:p>
      <w:pPr>
        <w:spacing w:after="0" w:line="38"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Scott M. Quist</w:t>
      </w:r>
    </w:p>
    <w:p>
      <w:pPr>
        <w:spacing w:after="0" w:line="38"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Chairman, President and Chief Executive Officer</w:t>
      </w:r>
    </w:p>
    <w:p>
      <w:pPr>
        <w:spacing w:after="0" w:line="38"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9379"/>
          </w:cols>
          <w:pgMar w:left="1080" w:top="124" w:right="1440" w:bottom="1440" w:gutter="0" w:footer="0" w:header="0"/>
        </w:sectPr>
      </w:pPr>
    </w:p>
    <w:bookmarkStart w:id="64" w:name="page65"/>
    <w:bookmarkEnd w:id="64"/>
    <w:p>
      <w:pPr>
        <w:jc w:val="center"/>
        <w:ind w:right="1519"/>
        <w:spacing w:after="0"/>
        <w:rPr>
          <w:sz w:val="20"/>
          <w:szCs w:val="20"/>
          <w:color w:val="auto"/>
        </w:rPr>
      </w:pPr>
      <w:r>
        <w:rPr>
          <w:rFonts w:ascii="Arial" w:cs="Arial" w:eastAsia="Arial" w:hAnsi="Arial"/>
          <w:sz w:val="17"/>
          <w:szCs w:val="17"/>
          <w:color w:val="auto"/>
        </w:rPr>
        <w:t>EXHIBIT 31.2</w:t>
      </w:r>
    </w:p>
    <w:p>
      <w:pPr>
        <w:jc w:val="center"/>
        <w:ind w:right="1519"/>
        <w:spacing w:after="0" w:line="180" w:lineRule="auto"/>
        <w:rPr>
          <w:sz w:val="20"/>
          <w:szCs w:val="20"/>
          <w:color w:val="auto"/>
        </w:rPr>
      </w:pPr>
      <w:r>
        <w:rPr>
          <w:rFonts w:ascii="Arial" w:cs="Arial" w:eastAsia="Arial" w:hAnsi="Arial"/>
          <w:sz w:val="17"/>
          <w:szCs w:val="17"/>
          <w:color w:val="auto"/>
        </w:rPr>
        <w:t>CERTIFICATION OF CHIEF FINANCIAL OFFICER,</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AS REQUIRED BY SECTION 302 OF THE SARBANES-OXLEY ACT OF 2002</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I, Garrett S. Sill, certify that:</w:t>
      </w:r>
    </w:p>
    <w:p>
      <w:pPr>
        <w:spacing w:after="0" w:line="132" w:lineRule="exact"/>
        <w:rPr>
          <w:sz w:val="20"/>
          <w:szCs w:val="20"/>
          <w:color w:val="auto"/>
        </w:rPr>
      </w:pPr>
    </w:p>
    <w:p>
      <w:pPr>
        <w:ind w:left="180" w:hanging="175"/>
        <w:spacing w:after="0"/>
        <w:tabs>
          <w:tab w:leader="none" w:pos="1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I have reviewed this report on Form 10-Q of Security National Financial Corporation;</w:t>
      </w:r>
    </w:p>
    <w:p>
      <w:pPr>
        <w:spacing w:after="0" w:line="131" w:lineRule="exact"/>
        <w:rPr>
          <w:rFonts w:ascii="Arial" w:cs="Arial" w:eastAsia="Arial" w:hAnsi="Arial"/>
          <w:sz w:val="17"/>
          <w:szCs w:val="17"/>
          <w:color w:val="auto"/>
        </w:rPr>
      </w:pPr>
    </w:p>
    <w:p>
      <w:pPr>
        <w:jc w:val="both"/>
        <w:ind w:right="1519" w:firstLine="5"/>
        <w:spacing w:after="0" w:line="257" w:lineRule="auto"/>
        <w:tabs>
          <w:tab w:leader="none" w:pos="179" w:val="left"/>
        </w:tabs>
        <w:numPr>
          <w:ilvl w:val="0"/>
          <w:numId w:val="70"/>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7" w:lineRule="exact"/>
        <w:rPr>
          <w:rFonts w:ascii="Arial" w:cs="Arial" w:eastAsia="Arial" w:hAnsi="Arial"/>
          <w:sz w:val="17"/>
          <w:szCs w:val="17"/>
          <w:color w:val="auto"/>
        </w:rPr>
      </w:pPr>
    </w:p>
    <w:p>
      <w:pPr>
        <w:jc w:val="both"/>
        <w:ind w:right="1519" w:firstLine="5"/>
        <w:spacing w:after="0" w:line="257" w:lineRule="auto"/>
        <w:tabs>
          <w:tab w:leader="none" w:pos="175" w:val="left"/>
        </w:tabs>
        <w:numPr>
          <w:ilvl w:val="0"/>
          <w:numId w:val="7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7" w:lineRule="exact"/>
        <w:rPr>
          <w:rFonts w:ascii="Arial" w:cs="Arial" w:eastAsia="Arial" w:hAnsi="Arial"/>
          <w:sz w:val="17"/>
          <w:szCs w:val="17"/>
          <w:color w:val="auto"/>
        </w:rPr>
      </w:pPr>
    </w:p>
    <w:p>
      <w:pPr>
        <w:jc w:val="both"/>
        <w:ind w:right="1519" w:firstLine="5"/>
        <w:spacing w:after="0" w:line="280" w:lineRule="auto"/>
        <w:tabs>
          <w:tab w:leader="none" w:pos="198"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Arial" w:cs="Arial" w:eastAsia="Arial" w:hAnsi="Arial"/>
          <w:sz w:val="16"/>
          <w:szCs w:val="16"/>
          <w:color w:val="auto"/>
        </w:rPr>
      </w:pPr>
    </w:p>
    <w:p>
      <w:pPr>
        <w:jc w:val="both"/>
        <w:ind w:right="1519" w:firstLine="380"/>
        <w:spacing w:after="0" w:line="252" w:lineRule="auto"/>
        <w:tabs>
          <w:tab w:leader="none" w:pos="772" w:val="left"/>
        </w:tabs>
        <w:numPr>
          <w:ilvl w:val="2"/>
          <w:numId w:val="7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102" w:lineRule="exact"/>
        <w:rPr>
          <w:rFonts w:ascii="Arial" w:cs="Arial" w:eastAsia="Arial" w:hAnsi="Arial"/>
          <w:sz w:val="17"/>
          <w:szCs w:val="17"/>
          <w:color w:val="auto"/>
        </w:rPr>
      </w:pPr>
    </w:p>
    <w:p>
      <w:pPr>
        <w:jc w:val="both"/>
        <w:ind w:right="1519" w:firstLine="380"/>
        <w:spacing w:after="0" w:line="252" w:lineRule="auto"/>
        <w:tabs>
          <w:tab w:leader="none" w:pos="772" w:val="left"/>
        </w:tabs>
        <w:numPr>
          <w:ilvl w:val="2"/>
          <w:numId w:val="7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7"/>
          <w:szCs w:val="17"/>
          <w:color w:val="auto"/>
        </w:rPr>
      </w:pPr>
    </w:p>
    <w:p>
      <w:pPr>
        <w:jc w:val="both"/>
        <w:ind w:right="1519" w:firstLine="380"/>
        <w:spacing w:after="0" w:line="257" w:lineRule="auto"/>
        <w:tabs>
          <w:tab w:leader="none" w:pos="772" w:val="left"/>
        </w:tabs>
        <w:numPr>
          <w:ilvl w:val="2"/>
          <w:numId w:val="7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7"/>
          <w:szCs w:val="17"/>
          <w:color w:val="auto"/>
        </w:rPr>
      </w:pPr>
    </w:p>
    <w:p>
      <w:pPr>
        <w:jc w:val="both"/>
        <w:ind w:right="1519" w:firstLine="380"/>
        <w:spacing w:after="0" w:line="252" w:lineRule="auto"/>
        <w:tabs>
          <w:tab w:leader="none" w:pos="772" w:val="left"/>
        </w:tabs>
        <w:numPr>
          <w:ilvl w:val="2"/>
          <w:numId w:val="7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9" w:lineRule="exact"/>
        <w:rPr>
          <w:rFonts w:ascii="Arial" w:cs="Arial" w:eastAsia="Arial" w:hAnsi="Arial"/>
          <w:sz w:val="17"/>
          <w:szCs w:val="17"/>
          <w:color w:val="auto"/>
        </w:rPr>
      </w:pPr>
    </w:p>
    <w:p>
      <w:pPr>
        <w:jc w:val="both"/>
        <w:ind w:right="1519" w:firstLine="5"/>
        <w:spacing w:after="0" w:line="257" w:lineRule="auto"/>
        <w:tabs>
          <w:tab w:leader="none" w:pos="176"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7"/>
          <w:szCs w:val="17"/>
          <w:color w:val="auto"/>
        </w:rPr>
      </w:pPr>
    </w:p>
    <w:p>
      <w:pPr>
        <w:jc w:val="both"/>
        <w:ind w:right="1519" w:firstLine="356"/>
        <w:spacing w:after="0" w:line="257" w:lineRule="auto"/>
        <w:tabs>
          <w:tab w:leader="none" w:pos="772" w:val="left"/>
        </w:tabs>
        <w:numPr>
          <w:ilvl w:val="1"/>
          <w:numId w:val="7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7"/>
          <w:szCs w:val="17"/>
          <w:color w:val="auto"/>
        </w:rPr>
      </w:pPr>
    </w:p>
    <w:p>
      <w:pPr>
        <w:ind w:right="1519" w:firstLine="356"/>
        <w:spacing w:after="0" w:line="270" w:lineRule="auto"/>
        <w:tabs>
          <w:tab w:leader="none" w:pos="772" w:val="left"/>
        </w:tabs>
        <w:numPr>
          <w:ilvl w:val="1"/>
          <w:numId w:val="7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10" w:lineRule="exact"/>
        <w:rPr>
          <w:sz w:val="20"/>
          <w:szCs w:val="20"/>
          <w:color w:val="auto"/>
        </w:rPr>
      </w:pPr>
    </w:p>
    <w:p>
      <w:pPr>
        <w:ind w:left="860"/>
        <w:spacing w:after="0"/>
        <w:tabs>
          <w:tab w:leader="none" w:pos="3300" w:val="left"/>
        </w:tabs>
        <w:rPr>
          <w:sz w:val="20"/>
          <w:szCs w:val="20"/>
          <w:color w:val="auto"/>
        </w:rPr>
      </w:pPr>
      <w:r>
        <w:rPr>
          <w:rFonts w:ascii="Arial" w:cs="Arial" w:eastAsia="Arial" w:hAnsi="Arial"/>
          <w:sz w:val="17"/>
          <w:szCs w:val="17"/>
          <w:color w:val="auto"/>
        </w:rPr>
        <w:t>Dated: May 15, 2020</w:t>
      </w:r>
      <w:r>
        <w:rPr>
          <w:sz w:val="20"/>
          <w:szCs w:val="20"/>
          <w:color w:val="auto"/>
        </w:rPr>
        <w:tab/>
      </w:r>
      <w:r>
        <w:rPr>
          <w:rFonts w:ascii="Arial" w:cs="Arial" w:eastAsia="Arial" w:hAnsi="Arial"/>
          <w:sz w:val="15"/>
          <w:szCs w:val="15"/>
          <w:u w:val="single" w:color="auto"/>
          <w:color w:val="auto"/>
        </w:rPr>
        <w:t>/s/ Garrett S. Sill</w:t>
      </w:r>
    </w:p>
    <w:p>
      <w:pPr>
        <w:spacing w:after="0" w:line="38"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Garrett S. Sill</w:t>
      </w:r>
    </w:p>
    <w:p>
      <w:pPr>
        <w:spacing w:after="0" w:line="38"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Chief Financial Officer and Treasurer</w:t>
      </w:r>
    </w:p>
    <w:p>
      <w:pPr>
        <w:spacing w:after="0" w:line="27"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(Principal Financial Officer and Principal Accounting</w:t>
      </w:r>
    </w:p>
    <w:p>
      <w:pPr>
        <w:spacing w:after="0" w:line="17"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Officer)</w:t>
      </w:r>
    </w:p>
    <w:p>
      <w:pPr>
        <w:sectPr>
          <w:pgSz w:w="11900" w:h="16838" w:orient="portrait"/>
          <w:cols w:equalWidth="0" w:num="1">
            <w:col w:w="9379"/>
          </w:cols>
          <w:pgMar w:left="1080" w:top="124" w:right="1440" w:bottom="1440" w:gutter="0" w:footer="0" w:header="0"/>
        </w:sectPr>
      </w:pPr>
    </w:p>
    <w:bookmarkStart w:id="65" w:name="page66"/>
    <w:bookmarkEnd w:id="65"/>
    <w:p>
      <w:pPr>
        <w:ind w:left="3140"/>
        <w:spacing w:after="0"/>
        <w:rPr>
          <w:sz w:val="20"/>
          <w:szCs w:val="20"/>
          <w:color w:val="auto"/>
        </w:rPr>
      </w:pPr>
      <w:r>
        <w:rPr>
          <w:rFonts w:ascii="Arial" w:cs="Arial" w:eastAsia="Arial" w:hAnsi="Arial"/>
          <w:sz w:val="17"/>
          <w:szCs w:val="17"/>
          <w:color w:val="auto"/>
        </w:rPr>
        <w:t>EXHIBIT 32.1</w:t>
      </w:r>
    </w:p>
    <w:p>
      <w:pPr>
        <w:ind w:left="2000"/>
        <w:spacing w:after="0" w:line="180" w:lineRule="auto"/>
        <w:rPr>
          <w:sz w:val="20"/>
          <w:szCs w:val="20"/>
          <w:color w:val="auto"/>
        </w:rPr>
      </w:pPr>
      <w:r>
        <w:rPr>
          <w:rFonts w:ascii="Arial" w:cs="Arial" w:eastAsia="Arial" w:hAnsi="Arial"/>
          <w:sz w:val="17"/>
          <w:szCs w:val="17"/>
          <w:color w:val="auto"/>
        </w:rPr>
        <w:t>CERTIFICATION OF CHIEF EXECUTIVE OFFICER,</w:t>
      </w:r>
    </w:p>
    <w:p>
      <w:pPr>
        <w:spacing w:after="0" w:line="1"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AS REQUIRED BY SECTION 906 OF THE SARBANES-OXLEY ACT OF 2002</w:t>
      </w:r>
    </w:p>
    <w:p>
      <w:pPr>
        <w:spacing w:after="0" w:line="48" w:lineRule="exact"/>
        <w:rPr>
          <w:sz w:val="20"/>
          <w:szCs w:val="20"/>
          <w:color w:val="auto"/>
        </w:rPr>
      </w:pPr>
    </w:p>
    <w:p>
      <w:pPr>
        <w:jc w:val="both"/>
        <w:ind w:right="1739"/>
        <w:spacing w:after="0" w:line="292" w:lineRule="auto"/>
        <w:rPr>
          <w:sz w:val="20"/>
          <w:szCs w:val="20"/>
          <w:color w:val="auto"/>
        </w:rPr>
      </w:pPr>
      <w:r>
        <w:rPr>
          <w:rFonts w:ascii="Arial" w:cs="Arial" w:eastAsia="Arial" w:hAnsi="Arial"/>
          <w:sz w:val="15"/>
          <w:szCs w:val="15"/>
          <w:color w:val="auto"/>
        </w:rPr>
        <w:t>In connection with the Quarterly Report of Security National Financial Corporation (the “Company”) on Form 10-Q for the period ending March 31, 2020, as filed with the Securities and Exchange Commission on the date hereof (the “Report”), I, Scott M. Quist, Chairman of the Board, President and Chief Executive Officer of the Company, hereby certify, pursuant to 18 U.S.C. Section 1350, as adopted pursuant to Section 906 of the Sarbanes-Oxley Act of 2002, that, to the best of my knowledge:</w:t>
      </w:r>
    </w:p>
    <w:p>
      <w:pPr>
        <w:spacing w:after="0" w:line="73" w:lineRule="exact"/>
        <w:rPr>
          <w:sz w:val="20"/>
          <w:szCs w:val="20"/>
          <w:color w:val="auto"/>
        </w:rPr>
      </w:pPr>
    </w:p>
    <w:p>
      <w:pPr>
        <w:ind w:left="1160" w:right="1719" w:hanging="593"/>
        <w:spacing w:after="0" w:line="270" w:lineRule="auto"/>
        <w:tabs>
          <w:tab w:leader="none" w:pos="11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86" w:lineRule="exact"/>
        <w:rPr>
          <w:rFonts w:ascii="Arial" w:cs="Arial" w:eastAsia="Arial" w:hAnsi="Arial"/>
          <w:sz w:val="17"/>
          <w:szCs w:val="17"/>
          <w:color w:val="auto"/>
        </w:rPr>
      </w:pPr>
    </w:p>
    <w:p>
      <w:pPr>
        <w:ind w:left="1160" w:right="1739" w:hanging="593"/>
        <w:spacing w:after="0" w:line="270" w:lineRule="auto"/>
        <w:tabs>
          <w:tab w:leader="none" w:pos="11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80" w:lineRule="exact"/>
        <w:rPr>
          <w:sz w:val="20"/>
          <w:szCs w:val="20"/>
          <w:color w:val="auto"/>
        </w:rPr>
      </w:pPr>
    </w:p>
    <w:p>
      <w:pPr>
        <w:ind w:left="400"/>
        <w:spacing w:after="0"/>
        <w:tabs>
          <w:tab w:leader="none" w:pos="3180" w:val="left"/>
        </w:tabs>
        <w:rPr>
          <w:sz w:val="20"/>
          <w:szCs w:val="20"/>
          <w:color w:val="auto"/>
        </w:rPr>
      </w:pPr>
      <w:r>
        <w:rPr>
          <w:rFonts w:ascii="Arial" w:cs="Arial" w:eastAsia="Arial" w:hAnsi="Arial"/>
          <w:sz w:val="17"/>
          <w:szCs w:val="17"/>
          <w:color w:val="auto"/>
        </w:rPr>
        <w:t>Dated: May 15, 2020</w:t>
      </w:r>
      <w:r>
        <w:rPr>
          <w:sz w:val="20"/>
          <w:szCs w:val="20"/>
          <w:color w:val="auto"/>
        </w:rPr>
        <w:tab/>
      </w:r>
      <w:r>
        <w:rPr>
          <w:rFonts w:ascii="Arial" w:cs="Arial" w:eastAsia="Arial" w:hAnsi="Arial"/>
          <w:sz w:val="15"/>
          <w:szCs w:val="15"/>
          <w:u w:val="single" w:color="auto"/>
          <w:color w:val="auto"/>
        </w:rPr>
        <w:t>/s/ Scott M. Quist</w:t>
      </w:r>
    </w:p>
    <w:p>
      <w:pPr>
        <w:spacing w:after="0" w:line="38"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Scott M. Quist</w:t>
      </w:r>
    </w:p>
    <w:p>
      <w:pPr>
        <w:spacing w:after="0" w:line="38"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Chairman, President and Chief Executive Officer</w:t>
      </w:r>
    </w:p>
    <w:p>
      <w:pPr>
        <w:spacing w:after="0" w:line="38"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9019"/>
          </w:cols>
          <w:pgMar w:left="1440" w:top="124" w:right="1440" w:bottom="1440" w:gutter="0" w:footer="0" w:header="0"/>
        </w:sectPr>
      </w:pPr>
    </w:p>
    <w:bookmarkStart w:id="66" w:name="page67"/>
    <w:bookmarkEnd w:id="66"/>
    <w:p>
      <w:pPr>
        <w:ind w:left="3420"/>
        <w:spacing w:after="0"/>
        <w:rPr>
          <w:sz w:val="20"/>
          <w:szCs w:val="20"/>
          <w:color w:val="auto"/>
        </w:rPr>
      </w:pPr>
      <w:r>
        <w:rPr>
          <w:rFonts w:ascii="Arial" w:cs="Arial" w:eastAsia="Arial" w:hAnsi="Arial"/>
          <w:sz w:val="17"/>
          <w:szCs w:val="17"/>
          <w:color w:val="auto"/>
        </w:rPr>
        <w:t>EXHIBIT 32.2</w:t>
      </w:r>
    </w:p>
    <w:p>
      <w:pPr>
        <w:ind w:left="2020"/>
        <w:spacing w:after="0" w:line="180" w:lineRule="auto"/>
        <w:rPr>
          <w:sz w:val="20"/>
          <w:szCs w:val="20"/>
          <w:color w:val="auto"/>
        </w:rPr>
      </w:pPr>
      <w:r>
        <w:rPr>
          <w:rFonts w:ascii="Arial" w:cs="Arial" w:eastAsia="Arial" w:hAnsi="Arial"/>
          <w:sz w:val="17"/>
          <w:szCs w:val="17"/>
          <w:color w:val="auto"/>
        </w:rPr>
        <w:t>CERTIFICATION OF CHIEF FINANCIAL OFFICER,</w:t>
      </w:r>
    </w:p>
    <w:p>
      <w:pPr>
        <w:spacing w:after="0" w:line="1" w:lineRule="exact"/>
        <w:rPr>
          <w:sz w:val="20"/>
          <w:szCs w:val="20"/>
          <w:color w:val="auto"/>
        </w:rPr>
      </w:pPr>
    </w:p>
    <w:p>
      <w:pPr>
        <w:jc w:val="center"/>
        <w:ind w:right="1519"/>
        <w:spacing w:after="0"/>
        <w:rPr>
          <w:sz w:val="20"/>
          <w:szCs w:val="20"/>
          <w:color w:val="auto"/>
        </w:rPr>
      </w:pPr>
      <w:r>
        <w:rPr>
          <w:rFonts w:ascii="Arial" w:cs="Arial" w:eastAsia="Arial" w:hAnsi="Arial"/>
          <w:sz w:val="17"/>
          <w:szCs w:val="17"/>
          <w:color w:val="auto"/>
        </w:rPr>
        <w:t>AS REQUIRED BY SECTION 906 OF THE SARBANES-OXLEY ACT OF 2002</w:t>
      </w:r>
    </w:p>
    <w:p>
      <w:pPr>
        <w:spacing w:after="0" w:line="48" w:lineRule="exact"/>
        <w:rPr>
          <w:sz w:val="20"/>
          <w:szCs w:val="20"/>
          <w:color w:val="auto"/>
        </w:rPr>
      </w:pPr>
    </w:p>
    <w:p>
      <w:pPr>
        <w:jc w:val="both"/>
        <w:ind w:right="1519"/>
        <w:spacing w:after="0" w:line="250" w:lineRule="auto"/>
        <w:rPr>
          <w:sz w:val="20"/>
          <w:szCs w:val="20"/>
          <w:color w:val="auto"/>
        </w:rPr>
      </w:pPr>
      <w:r>
        <w:rPr>
          <w:rFonts w:ascii="Arial" w:cs="Arial" w:eastAsia="Arial" w:hAnsi="Arial"/>
          <w:sz w:val="17"/>
          <w:szCs w:val="17"/>
          <w:color w:val="auto"/>
        </w:rPr>
        <w:t>In connection with the Quarterly Report of Security National Financial Corporation (the “Company”) on Form 10-Q for the period ending March 31, 2020, as filed with the Securities and Exchange Commission on the date hereof (the “Report”), I, Garrett S. Sill, Chief Financial Officer and Treasurer of the Company, hereby certify, pursuant to 18 U.S.C. Section 1350, as adopted pursuant to Section 906 of the Sarbanes-Oxley Act of 2002, that, to the best of my knowledge:</w:t>
      </w:r>
    </w:p>
    <w:p>
      <w:pPr>
        <w:spacing w:after="0" w:line="104" w:lineRule="exact"/>
        <w:rPr>
          <w:sz w:val="20"/>
          <w:szCs w:val="20"/>
          <w:color w:val="auto"/>
        </w:rPr>
      </w:pPr>
    </w:p>
    <w:p>
      <w:pPr>
        <w:ind w:left="1180" w:right="1519" w:hanging="603"/>
        <w:spacing w:after="0" w:line="270" w:lineRule="auto"/>
        <w:tabs>
          <w:tab w:leader="none" w:pos="11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86" w:lineRule="exact"/>
        <w:rPr>
          <w:rFonts w:ascii="Arial" w:cs="Arial" w:eastAsia="Arial" w:hAnsi="Arial"/>
          <w:sz w:val="17"/>
          <w:szCs w:val="17"/>
          <w:color w:val="auto"/>
        </w:rPr>
      </w:pPr>
    </w:p>
    <w:p>
      <w:pPr>
        <w:ind w:left="1180" w:right="1519" w:hanging="603"/>
        <w:spacing w:after="0" w:line="270" w:lineRule="auto"/>
        <w:tabs>
          <w:tab w:leader="none" w:pos="11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80" w:lineRule="exact"/>
        <w:rPr>
          <w:sz w:val="20"/>
          <w:szCs w:val="20"/>
          <w:color w:val="auto"/>
        </w:rPr>
      </w:pPr>
    </w:p>
    <w:p>
      <w:pPr>
        <w:ind w:left="440"/>
        <w:spacing w:after="0"/>
        <w:tabs>
          <w:tab w:leader="none" w:pos="3300" w:val="left"/>
        </w:tabs>
        <w:rPr>
          <w:sz w:val="20"/>
          <w:szCs w:val="20"/>
          <w:color w:val="auto"/>
        </w:rPr>
      </w:pPr>
      <w:r>
        <w:rPr>
          <w:rFonts w:ascii="Arial" w:cs="Arial" w:eastAsia="Arial" w:hAnsi="Arial"/>
          <w:sz w:val="17"/>
          <w:szCs w:val="17"/>
          <w:color w:val="auto"/>
        </w:rPr>
        <w:t>Dated: May 15, 2020</w:t>
      </w:r>
      <w:r>
        <w:rPr>
          <w:sz w:val="20"/>
          <w:szCs w:val="20"/>
          <w:color w:val="auto"/>
        </w:rPr>
        <w:tab/>
      </w:r>
      <w:r>
        <w:rPr>
          <w:rFonts w:ascii="Arial" w:cs="Arial" w:eastAsia="Arial" w:hAnsi="Arial"/>
          <w:sz w:val="15"/>
          <w:szCs w:val="15"/>
          <w:u w:val="single" w:color="auto"/>
          <w:color w:val="auto"/>
        </w:rPr>
        <w:t>/s/ Garrett S. Sill</w:t>
      </w:r>
    </w:p>
    <w:p>
      <w:pPr>
        <w:spacing w:after="0" w:line="38"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Garrett S. Sill</w:t>
      </w:r>
    </w:p>
    <w:p>
      <w:pPr>
        <w:spacing w:after="0" w:line="38"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Chief Financial Officer and Treasurer</w:t>
      </w:r>
    </w:p>
    <w:p>
      <w:pPr>
        <w:spacing w:after="0" w:line="27"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(Principal Financial Officer and Principal Accounting</w:t>
      </w:r>
    </w:p>
    <w:p>
      <w:pPr>
        <w:spacing w:after="0" w:line="17"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Officer)</w:t>
      </w:r>
    </w:p>
    <w:sectPr>
      <w:pgSz w:w="11900" w:h="16838" w:orient="portrait"/>
      <w:cols w:equalWidth="0" w:num="1">
        <w:col w:w="9379"/>
      </w:cols>
      <w:pgMar w:left="1080" w:top="1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1]"/>
      <w:numFmt w:val="upperLetter"/>
      <w:start w:val="24"/>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1)"/>
      <w:numFmt w:val="decimal"/>
      <w:start w:val="1"/>
    </w:lvl>
  </w:abstractNum>
  <w:abstractNum w:abstractNumId="3">
    <w:nsid w:val="5C482A97"/>
    <w:multiLevelType w:val="hybridMultilevel"/>
    <w:lvl w:ilvl="0">
      <w:lvlJc w:val="left"/>
      <w:lvlText w:val="%1)"/>
      <w:numFmt w:val="decimal"/>
      <w:start w:val="1"/>
    </w:lvl>
  </w:abstractNum>
  <w:abstractNum w:abstractNumId="4">
    <w:nsid w:val="2463B9EA"/>
    <w:multiLevelType w:val="hybridMultilevel"/>
    <w:lvl w:ilvl="0">
      <w:lvlJc w:val="left"/>
      <w:lvlText w:val="%1)"/>
      <w:numFmt w:val="decimal"/>
      <w:start w:val="2"/>
    </w:lvl>
  </w:abstractNum>
  <w:abstractNum w:abstractNumId="5">
    <w:nsid w:val="5E884ADC"/>
    <w:multiLevelType w:val="hybridMultilevel"/>
    <w:lvl w:ilvl="0">
      <w:lvlJc w:val="left"/>
      <w:lvlText w:val="%1)"/>
      <w:numFmt w:val="decimal"/>
      <w:start w:val="3"/>
    </w:lvl>
  </w:abstractNum>
  <w:abstractNum w:abstractNumId="6">
    <w:nsid w:val="51EAD36B"/>
    <w:multiLevelType w:val="hybridMultilevel"/>
    <w:lvl w:ilvl="0">
      <w:lvlJc w:val="left"/>
      <w:lvlText w:val="%1)"/>
      <w:numFmt w:val="decimal"/>
      <w:start w:val="3"/>
    </w:lvl>
  </w:abstractNum>
  <w:abstractNum w:abstractNumId="7">
    <w:nsid w:val="2D517796"/>
    <w:multiLevelType w:val="hybridMultilevel"/>
    <w:lvl w:ilvl="0">
      <w:lvlJc w:val="left"/>
      <w:lvlText w:val="%1)"/>
      <w:numFmt w:val="decimal"/>
      <w:start w:val="3"/>
    </w:lvl>
  </w:abstractNum>
  <w:abstractNum w:abstractNumId="8">
    <w:nsid w:val="580BD78F"/>
    <w:multiLevelType w:val="hybridMultilevel"/>
    <w:lvl w:ilvl="0">
      <w:lvlJc w:val="left"/>
      <w:lvlText w:val="%1)"/>
      <w:numFmt w:val="decimal"/>
      <w:start w:val="3"/>
    </w:lvl>
  </w:abstractNum>
  <w:abstractNum w:abstractNumId="9">
    <w:nsid w:val="153EA438"/>
    <w:multiLevelType w:val="hybridMultilevel"/>
    <w:lvl w:ilvl="0">
      <w:lvlJc w:val="left"/>
      <w:lvlText w:val="%1)"/>
      <w:numFmt w:val="decimal"/>
      <w:start w:val="3"/>
    </w:lvl>
  </w:abstractNum>
  <w:abstractNum w:abstractNumId="10">
    <w:nsid w:val="3855585C"/>
    <w:multiLevelType w:val="hybridMultilevel"/>
    <w:lvl w:ilvl="0">
      <w:lvlJc w:val="left"/>
      <w:lvlText w:val="%1)"/>
      <w:numFmt w:val="decimal"/>
      <w:start w:val="3"/>
    </w:lvl>
  </w:abstractNum>
  <w:abstractNum w:abstractNumId="11">
    <w:nsid w:val="70A64E2A"/>
    <w:multiLevelType w:val="hybridMultilevel"/>
    <w:lvl w:ilvl="0">
      <w:lvlJc w:val="left"/>
      <w:lvlText w:val="(%1)"/>
      <w:numFmt w:val="decimal"/>
      <w:start w:val="1"/>
    </w:lvl>
  </w:abstractNum>
  <w:abstractNum w:abstractNumId="12">
    <w:nsid w:val="6A2342EC"/>
    <w:multiLevelType w:val="hybridMultilevel"/>
    <w:lvl w:ilvl="0">
      <w:lvlJc w:val="left"/>
      <w:lvlText w:val="%1)"/>
      <w:numFmt w:val="decimal"/>
      <w:start w:val="3"/>
    </w:lvl>
  </w:abstractNum>
  <w:abstractNum w:abstractNumId="13">
    <w:nsid w:val="2A487CB0"/>
    <w:multiLevelType w:val="hybridMultilevel"/>
    <w:lvl w:ilvl="0">
      <w:lvlJc w:val="left"/>
      <w:lvlText w:val="(%1)"/>
      <w:numFmt w:val="decimal"/>
      <w:start w:val="1"/>
    </w:lvl>
  </w:abstractNum>
  <w:abstractNum w:abstractNumId="14">
    <w:nsid w:val="1D4ED43B"/>
    <w:multiLevelType w:val="hybridMultilevel"/>
    <w:lvl w:ilvl="0">
      <w:lvlJc w:val="left"/>
      <w:lvlText w:val="%1)"/>
      <w:numFmt w:val="decimal"/>
      <w:start w:val="3"/>
    </w:lvl>
  </w:abstractNum>
  <w:abstractNum w:abstractNumId="15">
    <w:nsid w:val="725A06FB"/>
    <w:multiLevelType w:val="hybridMultilevel"/>
    <w:lvl w:ilvl="0">
      <w:lvlJc w:val="left"/>
      <w:lvlText w:val="(%1)"/>
      <w:numFmt w:val="decimal"/>
      <w:start w:val="1"/>
    </w:lvl>
  </w:abstractNum>
  <w:abstractNum w:abstractNumId="16">
    <w:nsid w:val="2CD89A32"/>
    <w:multiLevelType w:val="hybridMultilevel"/>
    <w:lvl w:ilvl="0">
      <w:lvlJc w:val="left"/>
      <w:lvlText w:val="%1)"/>
      <w:numFmt w:val="decimal"/>
      <w:start w:val="3"/>
    </w:lvl>
  </w:abstractNum>
  <w:abstractNum w:abstractNumId="17">
    <w:nsid w:val="57E4CCAF"/>
    <w:multiLevelType w:val="hybridMultilevel"/>
    <w:lvl w:ilvl="0">
      <w:lvlJc w:val="left"/>
      <w:lvlText w:val="%1)"/>
      <w:numFmt w:val="decimal"/>
      <w:start w:val="3"/>
    </w:lvl>
  </w:abstractNum>
  <w:abstractNum w:abstractNumId="18">
    <w:nsid w:val="7A6D8D3C"/>
    <w:multiLevelType w:val="hybridMultilevel"/>
    <w:lvl w:ilvl="0">
      <w:lvlJc w:val="left"/>
      <w:lvlText w:val="%1)"/>
      <w:numFmt w:val="decimal"/>
      <w:start w:val="3"/>
    </w:lvl>
  </w:abstractNum>
  <w:abstractNum w:abstractNumId="19">
    <w:nsid w:val="4B588F54"/>
    <w:multiLevelType w:val="hybridMultilevel"/>
    <w:lvl w:ilvl="0">
      <w:lvlJc w:val="left"/>
      <w:lvlText w:val="%1)"/>
      <w:numFmt w:val="decimal"/>
      <w:start w:val="3"/>
    </w:lvl>
  </w:abstractNum>
  <w:abstractNum w:abstractNumId="20">
    <w:nsid w:val="542289EC"/>
    <w:multiLevelType w:val="hybridMultilevel"/>
    <w:lvl w:ilvl="0">
      <w:lvlJc w:val="left"/>
      <w:lvlText w:val="%1)"/>
      <w:numFmt w:val="decimal"/>
      <w:start w:val="3"/>
    </w:lvl>
  </w:abstractNum>
  <w:abstractNum w:abstractNumId="21">
    <w:nsid w:val="6DE91B18"/>
    <w:multiLevelType w:val="hybridMultilevel"/>
    <w:lvl w:ilvl="0">
      <w:lvlJc w:val="left"/>
      <w:lvlText w:val="%1)"/>
      <w:numFmt w:val="decimal"/>
      <w:start w:val="4"/>
    </w:lvl>
  </w:abstractNum>
  <w:abstractNum w:abstractNumId="22">
    <w:nsid w:val="38437FDB"/>
    <w:multiLevelType w:val="hybridMultilevel"/>
    <w:lvl w:ilvl="0">
      <w:lvlJc w:val="left"/>
      <w:lvlText w:val="%1)"/>
      <w:numFmt w:val="decimal"/>
      <w:start w:val="4"/>
    </w:lvl>
  </w:abstractNum>
  <w:abstractNum w:abstractNumId="23">
    <w:nsid w:val="7644A45C"/>
    <w:multiLevelType w:val="hybridMultilevel"/>
    <w:lvl w:ilvl="0">
      <w:lvlJc w:val="left"/>
      <w:lvlText w:val="%1)"/>
      <w:numFmt w:val="decimal"/>
      <w:start w:val="4"/>
    </w:lvl>
  </w:abstractNum>
  <w:abstractNum w:abstractNumId="24">
    <w:nsid w:val="32FFF902"/>
    <w:multiLevelType w:val="hybridMultilevel"/>
    <w:lvl w:ilvl="0">
      <w:lvlJc w:val="left"/>
      <w:lvlText w:val="%1)"/>
      <w:numFmt w:val="decimal"/>
      <w:start w:val="5"/>
    </w:lvl>
  </w:abstractNum>
  <w:abstractNum w:abstractNumId="25">
    <w:nsid w:val="684A481A"/>
    <w:multiLevelType w:val="hybridMultilevel"/>
    <w:lvl w:ilvl="0">
      <w:lvlJc w:val="left"/>
      <w:lvlText w:val="(%1)"/>
      <w:numFmt w:val="decimal"/>
      <w:start w:val="1"/>
    </w:lvl>
  </w:abstractNum>
  <w:abstractNum w:abstractNumId="26">
    <w:nsid w:val="579478FE"/>
    <w:multiLevelType w:val="hybridMultilevel"/>
    <w:lvl w:ilvl="0">
      <w:lvlJc w:val="left"/>
      <w:lvlText w:val="%1)"/>
      <w:numFmt w:val="decimal"/>
      <w:start w:val="5"/>
    </w:lvl>
  </w:abstractNum>
  <w:abstractNum w:abstractNumId="27">
    <w:nsid w:val="749ABB43"/>
    <w:multiLevelType w:val="hybridMultilevel"/>
    <w:lvl w:ilvl="0">
      <w:lvlJc w:val="left"/>
      <w:lvlText w:val="%1)"/>
      <w:numFmt w:val="decimal"/>
      <w:start w:val="6"/>
    </w:lvl>
  </w:abstractNum>
  <w:abstractNum w:abstractNumId="28">
    <w:nsid w:val="3DC240FB"/>
    <w:multiLevelType w:val="hybridMultilevel"/>
    <w:lvl w:ilvl="0">
      <w:lvlJc w:val="left"/>
      <w:lvlText w:val="%1)"/>
      <w:numFmt w:val="decimal"/>
      <w:start w:val="7"/>
    </w:lvl>
  </w:abstractNum>
  <w:abstractNum w:abstractNumId="29">
    <w:nsid w:val="1BA026FA"/>
    <w:multiLevelType w:val="hybridMultilevel"/>
    <w:lvl w:ilvl="0">
      <w:lvlJc w:val="left"/>
      <w:lvlText w:val="%1)"/>
      <w:numFmt w:val="decimal"/>
      <w:start w:val="7"/>
    </w:lvl>
  </w:abstractNum>
  <w:abstractNum w:abstractNumId="30">
    <w:nsid w:val="79A1DEAA"/>
    <w:multiLevelType w:val="hybridMultilevel"/>
    <w:lvl w:ilvl="0">
      <w:lvlJc w:val="left"/>
      <w:lvlText w:val="%1)"/>
      <w:numFmt w:val="decimal"/>
      <w:start w:val="8"/>
    </w:lvl>
  </w:abstractNum>
  <w:abstractNum w:abstractNumId="31">
    <w:nsid w:val="75C6C33A"/>
    <w:multiLevelType w:val="hybridMultilevel"/>
    <w:lvl w:ilvl="0">
      <w:lvlJc w:val="left"/>
      <w:lvlText w:val="%1)"/>
      <w:numFmt w:val="lowerLetter"/>
      <w:start w:val="1"/>
    </w:lvl>
  </w:abstractNum>
  <w:abstractNum w:abstractNumId="32">
    <w:nsid w:val="12E685FB"/>
    <w:multiLevelType w:val="hybridMultilevel"/>
    <w:lvl w:ilvl="0">
      <w:lvlJc w:val="left"/>
      <w:lvlText w:val="%1)"/>
      <w:numFmt w:val="decimal"/>
      <w:start w:val="8"/>
    </w:lvl>
  </w:abstractNum>
  <w:abstractNum w:abstractNumId="33">
    <w:nsid w:val="70C6A529"/>
    <w:multiLevelType w:val="hybridMultilevel"/>
    <w:lvl w:ilvl="0">
      <w:lvlJc w:val="left"/>
      <w:lvlText w:val="%1)"/>
      <w:numFmt w:val="decimal"/>
      <w:start w:val="8"/>
    </w:lvl>
  </w:abstractNum>
  <w:abstractNum w:abstractNumId="34">
    <w:nsid w:val="520EEDD1"/>
    <w:multiLevelType w:val="hybridMultilevel"/>
    <w:lvl w:ilvl="0">
      <w:lvlJc w:val="left"/>
      <w:lvlText w:val="(%1)"/>
      <w:numFmt w:val="decimal"/>
      <w:start w:val="1"/>
    </w:lvl>
  </w:abstractNum>
  <w:abstractNum w:abstractNumId="35">
    <w:nsid w:val="374A3FE6"/>
    <w:multiLevelType w:val="hybridMultilevel"/>
    <w:lvl w:ilvl="0">
      <w:lvlJc w:val="left"/>
      <w:lvlText w:val="%1)"/>
      <w:numFmt w:val="decimal"/>
      <w:start w:val="8"/>
    </w:lvl>
  </w:abstractNum>
  <w:abstractNum w:abstractNumId="36">
    <w:nsid w:val="4F4EF005"/>
    <w:multiLevelType w:val="hybridMultilevel"/>
    <w:lvl w:ilvl="0">
      <w:lvlJc w:val="left"/>
      <w:lvlText w:val="(%1)"/>
      <w:numFmt w:val="decimal"/>
      <w:start w:val="1"/>
    </w:lvl>
  </w:abstractNum>
  <w:abstractNum w:abstractNumId="37">
    <w:nsid w:val="23F9C13C"/>
    <w:multiLevelType w:val="hybridMultilevel"/>
    <w:lvl w:ilvl="0">
      <w:lvlJc w:val="left"/>
      <w:lvlText w:val="%1)"/>
      <w:numFmt w:val="decimal"/>
      <w:start w:val="8"/>
    </w:lvl>
  </w:abstractNum>
  <w:abstractNum w:abstractNumId="38">
    <w:nsid w:val="649BB77C"/>
    <w:multiLevelType w:val="hybridMultilevel"/>
    <w:lvl w:ilvl="0">
      <w:lvlJc w:val="left"/>
      <w:lvlText w:val="(%1)"/>
      <w:numFmt w:val="decimal"/>
      <w:start w:val="1"/>
    </w:lvl>
  </w:abstractNum>
  <w:abstractNum w:abstractNumId="39">
    <w:nsid w:val="275AC794"/>
    <w:multiLevelType w:val="hybridMultilevel"/>
    <w:lvl w:ilvl="0">
      <w:lvlJc w:val="left"/>
      <w:lvlText w:val="%1)"/>
      <w:numFmt w:val="decimal"/>
      <w:start w:val="8"/>
    </w:lvl>
  </w:abstractNum>
  <w:abstractNum w:abstractNumId="40">
    <w:nsid w:val="39386575"/>
    <w:multiLevelType w:val="hybridMultilevel"/>
    <w:lvl w:ilvl="0">
      <w:lvlJc w:val="left"/>
      <w:lvlText w:val="%1)"/>
      <w:numFmt w:val="decimal"/>
      <w:start w:val="8"/>
    </w:lvl>
  </w:abstractNum>
  <w:abstractNum w:abstractNumId="41">
    <w:nsid w:val="1CF10FD8"/>
    <w:multiLevelType w:val="hybridMultilevel"/>
    <w:lvl w:ilvl="0">
      <w:lvlJc w:val="left"/>
      <w:lvlText w:val="(%1)"/>
      <w:numFmt w:val="decimal"/>
      <w:start w:val="1"/>
    </w:lvl>
  </w:abstractNum>
  <w:abstractNum w:abstractNumId="42">
    <w:nsid w:val="180115BE"/>
    <w:multiLevelType w:val="hybridMultilevel"/>
    <w:lvl w:ilvl="0">
      <w:lvlJc w:val="left"/>
      <w:lvlText w:val="(%1)"/>
      <w:numFmt w:val="decimal"/>
      <w:start w:val="1"/>
    </w:lvl>
  </w:abstractNum>
  <w:abstractNum w:abstractNumId="43">
    <w:nsid w:val="235BA861"/>
    <w:multiLevelType w:val="hybridMultilevel"/>
    <w:lvl w:ilvl="0">
      <w:lvlJc w:val="left"/>
      <w:lvlText w:val="%1)"/>
      <w:numFmt w:val="decimal"/>
      <w:start w:val="8"/>
    </w:lvl>
  </w:abstractNum>
  <w:abstractNum w:abstractNumId="44">
    <w:nsid w:val="47398C89"/>
    <w:multiLevelType w:val="hybridMultilevel"/>
    <w:lvl w:ilvl="0">
      <w:lvlJc w:val="left"/>
      <w:lvlText w:val="%1)"/>
      <w:numFmt w:val="decimal"/>
      <w:start w:val="9"/>
    </w:lvl>
  </w:abstractNum>
  <w:abstractNum w:abstractNumId="45">
    <w:nsid w:val="354FE9F9"/>
    <w:multiLevelType w:val="hybridMultilevel"/>
    <w:lvl w:ilvl="0">
      <w:lvlJc w:val="left"/>
      <w:lvlText w:val="%1)"/>
      <w:numFmt w:val="decimal"/>
      <w:start w:val="10"/>
    </w:lvl>
  </w:abstractNum>
  <w:abstractNum w:abstractNumId="46">
    <w:nsid w:val="15B5AF5C"/>
    <w:multiLevelType w:val="hybridMultilevel"/>
    <w:lvl w:ilvl="0">
      <w:lvlJc w:val="left"/>
      <w:lvlText w:val="%1)"/>
      <w:numFmt w:val="decimal"/>
      <w:start w:val="10"/>
    </w:lvl>
  </w:abstractNum>
  <w:abstractNum w:abstractNumId="47">
    <w:nsid w:val="741226BB"/>
    <w:multiLevelType w:val="hybridMultilevel"/>
    <w:lvl w:ilvl="0">
      <w:lvlJc w:val="left"/>
      <w:lvlText w:val="%1)"/>
      <w:numFmt w:val="decimal"/>
      <w:start w:val="10"/>
    </w:lvl>
  </w:abstractNum>
  <w:abstractNum w:abstractNumId="48">
    <w:nsid w:val="D34B6A8"/>
    <w:multiLevelType w:val="hybridMultilevel"/>
    <w:lvl w:ilvl="0">
      <w:lvlJc w:val="left"/>
      <w:lvlText w:val="%1)"/>
      <w:numFmt w:val="decimal"/>
      <w:start w:val="11"/>
    </w:lvl>
  </w:abstractNum>
  <w:abstractNum w:abstractNumId="49">
    <w:nsid w:val="10233C99"/>
    <w:multiLevelType w:val="hybridMultilevel"/>
    <w:lvl w:ilvl="0">
      <w:lvlJc w:val="left"/>
      <w:lvlText w:val="%1)"/>
      <w:numFmt w:val="decimal"/>
      <w:start w:val="11"/>
    </w:lvl>
  </w:abstractNum>
  <w:abstractNum w:abstractNumId="50">
    <w:nsid w:val="3F6AB60F"/>
    <w:multiLevelType w:val="hybridMultilevel"/>
    <w:lvl w:ilvl="0">
      <w:lvlJc w:val="left"/>
      <w:lvlText w:val="%1)"/>
      <w:numFmt w:val="decimal"/>
      <w:start w:val="11"/>
    </w:lvl>
  </w:abstractNum>
  <w:abstractNum w:abstractNumId="51">
    <w:nsid w:val="61574095"/>
    <w:multiLevelType w:val="hybridMultilevel"/>
    <w:lvl w:ilvl="0">
      <w:lvlJc w:val="left"/>
      <w:lvlText w:val="%1)"/>
      <w:numFmt w:val="decimal"/>
      <w:start w:val="11"/>
    </w:lvl>
  </w:abstractNum>
  <w:abstractNum w:abstractNumId="52">
    <w:nsid w:val="7E0C57B1"/>
    <w:multiLevelType w:val="hybridMultilevel"/>
    <w:lvl w:ilvl="0">
      <w:lvlJc w:val="left"/>
      <w:lvlText w:val="%1)"/>
      <w:numFmt w:val="decimal"/>
      <w:start w:val="11"/>
    </w:lvl>
  </w:abstractNum>
  <w:abstractNum w:abstractNumId="53">
    <w:nsid w:val="77AE35EB"/>
    <w:multiLevelType w:val="hybridMultilevel"/>
    <w:lvl w:ilvl="0">
      <w:lvlJc w:val="left"/>
      <w:lvlText w:val="%1)"/>
      <w:numFmt w:val="decimal"/>
      <w:start w:val="12"/>
    </w:lvl>
  </w:abstractNum>
  <w:abstractNum w:abstractNumId="54">
    <w:nsid w:val="579BE4F1"/>
    <w:multiLevelType w:val="hybridMultilevel"/>
    <w:lvl w:ilvl="0">
      <w:lvlJc w:val="left"/>
      <w:lvlText w:val="(%1)"/>
      <w:numFmt w:val="decimal"/>
      <w:start w:val="1"/>
    </w:lvl>
  </w:abstractNum>
  <w:abstractNum w:abstractNumId="55">
    <w:nsid w:val="310C50B3"/>
    <w:multiLevelType w:val="hybridMultilevel"/>
    <w:lvl w:ilvl="0">
      <w:lvlJc w:val="left"/>
      <w:lvlText w:val="%1)"/>
      <w:numFmt w:val="decimal"/>
      <w:start w:val="12"/>
    </w:lvl>
  </w:abstractNum>
  <w:abstractNum w:abstractNumId="56">
    <w:nsid w:val="5FF87E05"/>
    <w:multiLevelType w:val="hybridMultilevel"/>
    <w:lvl w:ilvl="0">
      <w:lvlJc w:val="left"/>
      <w:lvlText w:val="%1)"/>
      <w:numFmt w:val="decimal"/>
      <w:start w:val="13"/>
    </w:lvl>
  </w:abstractNum>
  <w:abstractNum w:abstractNumId="57">
    <w:nsid w:val="2F305DEF"/>
    <w:multiLevelType w:val="hybridMultilevel"/>
    <w:lvl w:ilvl="0">
      <w:lvlJc w:val="left"/>
      <w:lvlText w:val="%1)"/>
      <w:numFmt w:val="decimal"/>
      <w:start w:val="14"/>
    </w:lvl>
  </w:abstractNum>
  <w:abstractNum w:abstractNumId="58">
    <w:nsid w:val="25A70BF7"/>
    <w:multiLevelType w:val="hybridMultilevel"/>
    <w:lvl w:ilvl="0">
      <w:lvlJc w:val="left"/>
      <w:lvlText w:val="(%1)"/>
      <w:numFmt w:val="decimal"/>
      <w:start w:val="1"/>
    </w:lvl>
  </w:abstractNum>
  <w:abstractNum w:abstractNumId="59">
    <w:nsid w:val="1DBABF00"/>
    <w:multiLevelType w:val="hybridMultilevel"/>
    <w:lvl w:ilvl="0">
      <w:lvlJc w:val="left"/>
      <w:lvlText w:val="%1)"/>
      <w:numFmt w:val="decimal"/>
      <w:start w:val="14"/>
    </w:lvl>
  </w:abstractNum>
  <w:abstractNum w:abstractNumId="60">
    <w:nsid w:val="4AD084E9"/>
    <w:multiLevelType w:val="hybridMultilevel"/>
    <w:lvl w:ilvl="0">
      <w:lvlJc w:val="left"/>
      <w:lvlText w:val="%1)"/>
      <w:numFmt w:val="decimal"/>
      <w:start w:val="15"/>
    </w:lvl>
  </w:abstractNum>
  <w:abstractNum w:abstractNumId="61">
    <w:nsid w:val="1F48EAA1"/>
    <w:multiLevelType w:val="hybridMultilevel"/>
    <w:lvl w:ilvl="0">
      <w:lvlJc w:val="left"/>
      <w:lvlText w:val="%1)"/>
      <w:numFmt w:val="decimal"/>
      <w:start w:val="15"/>
    </w:lvl>
  </w:abstractNum>
  <w:abstractNum w:abstractNumId="62">
    <w:nsid w:val="1381823A"/>
    <w:multiLevelType w:val="hybridMultilevel"/>
    <w:lvl w:ilvl="0">
      <w:lvlJc w:val="left"/>
      <w:lvlText w:val="%1)"/>
      <w:numFmt w:val="decimal"/>
      <w:start w:val="15"/>
    </w:lvl>
  </w:abstractNum>
  <w:abstractNum w:abstractNumId="63">
    <w:nsid w:val="5DB70AE5"/>
    <w:multiLevelType w:val="hybridMultilevel"/>
    <w:lvl w:ilvl="0">
      <w:lvlJc w:val="left"/>
      <w:lvlText w:val="(%1)"/>
      <w:numFmt w:val="decimal"/>
      <w:start w:val="1"/>
    </w:lvl>
  </w:abstractNum>
  <w:abstractNum w:abstractNumId="64">
    <w:nsid w:val="100F8FCA"/>
    <w:multiLevelType w:val="hybridMultilevel"/>
    <w:lvl w:ilvl="0">
      <w:lvlJc w:val="left"/>
      <w:lvlText w:val="(%1)"/>
      <w:numFmt w:val="lowerRoman"/>
      <w:start w:val="3"/>
    </w:lvl>
  </w:abstractNum>
  <w:abstractNum w:abstractNumId="65">
    <w:nsid w:val="6590700B"/>
    <w:multiLevelType w:val="hybridMultilevel"/>
    <w:lvl w:ilvl="0">
      <w:lvlJc w:val="left"/>
      <w:lvlText w:val="%1"/>
      <w:numFmt w:val="decimal"/>
      <w:start w:val="14"/>
    </w:lvl>
  </w:abstractNum>
  <w:abstractNum w:abstractNumId="66">
    <w:nsid w:val="15014ACB"/>
    <w:multiLevelType w:val="hybridMultilevel"/>
    <w:lvl w:ilvl="0">
      <w:lvlJc w:val="left"/>
      <w:lvlText w:val="%1"/>
      <w:numFmt w:val="decimal"/>
      <w:start w:val="21"/>
    </w:lvl>
  </w:abstractNum>
  <w:abstractNum w:abstractNumId="67">
    <w:nsid w:val="5F5E7FD0"/>
    <w:multiLevelType w:val="hybridMultilevel"/>
    <w:lvl w:ilvl="0">
      <w:lvlJc w:val="left"/>
      <w:lvlText w:val="(%1)"/>
      <w:numFmt w:val="decimal"/>
      <w:start w:val="1"/>
    </w:lvl>
  </w:abstractNum>
  <w:abstractNum w:abstractNumId="68">
    <w:nsid w:val="98A314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69">
    <w:nsid w:val="799D024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31" Type="http://schemas.openxmlformats.org/officeDocument/2006/relationships/image" Target="media/image106.png"/><Relationship Id="rId132" Type="http://schemas.openxmlformats.org/officeDocument/2006/relationships/image" Target="media/image107.png"/><Relationship Id="rId113" Type="http://schemas.openxmlformats.org/officeDocument/2006/relationships/hyperlink" Target="http://www.sec.gov/Archives/edgar/data/318673/000109690619000199/exh3_2.pdf" TargetMode="External"/><Relationship Id="rId114" Type="http://schemas.openxmlformats.org/officeDocument/2006/relationships/hyperlink" Target="http://www.sec.gov/Archives/edgar/data/318673/000109690616001835/exh10_4.htm" TargetMode="External"/><Relationship Id="rId115" Type="http://schemas.openxmlformats.org/officeDocument/2006/relationships/hyperlink" Target="http://www.sec.gov/Archives/edgar/data/318673/000109690614000752/snfcadef14a.htm" TargetMode="External"/><Relationship Id="rId116" Type="http://schemas.openxmlformats.org/officeDocument/2006/relationships/hyperlink" Target="http://www.sec.gov/Archives/edgar/data/318673/000109690615001153/exh108.htm" TargetMode="External"/><Relationship Id="rId117" Type="http://schemas.openxmlformats.org/officeDocument/2006/relationships/hyperlink" Target="http://www.sec.gov/Archives/edgar/data/318673/000109690618000285/exh10_1.htm" TargetMode="External"/><Relationship Id="rId118" Type="http://schemas.openxmlformats.org/officeDocument/2006/relationships/hyperlink" Target="http://www.sec.gov/Archives/edgar/data/318673/000109690618000639/exh10_9.htm" TargetMode="External"/><Relationship Id="rId119" Type="http://schemas.openxmlformats.org/officeDocument/2006/relationships/hyperlink" Target="http://www.sec.gov/Archives/edgar/data/318673/000109690619000084/exh10_1.htm" TargetMode="External"/><Relationship Id="rId120" Type="http://schemas.openxmlformats.org/officeDocument/2006/relationships/hyperlink" Target="http://www.sec.gov/Archives/edgar/data/318673/000109690619000367/exh10_2.htm" TargetMode="External"/><Relationship Id="rId121" Type="http://schemas.openxmlformats.org/officeDocument/2006/relationships/hyperlink" Target="http://www.sec.gov/Archives/edgar/data/318673/000109690619000367/exh10_1.htm" TargetMode="External"/><Relationship Id="rId122" Type="http://schemas.openxmlformats.org/officeDocument/2006/relationships/hyperlink" Target="http://www.sec.gov/Archives/edgar/data/318673/000109690620000092/exh99_1.htm" TargetMode="External"/><Relationship Id="rId123" Type="http://schemas.openxmlformats.org/officeDocument/2006/relationships/hyperlink" Target="http://www.sec.gov/Archives/edgar/data/318673/000109690619000199/exh14.htm" TargetMode="External"/><Relationship Id="rId124" Type="http://schemas.openxmlformats.org/officeDocument/2006/relationships/hyperlink" Target="http://www.sec.gov/Archives/edgar/data/318673/000109690620000127/exh21.htm" TargetMode="External"/><Relationship Id="rId125" Type="http://schemas.openxmlformats.org/officeDocument/2006/relationships/hyperlink" Target="http://www.sec.gov/Archives/edgar/data/318673/000109690616001895/exh23_1.htm" TargetMode="External"/><Relationship Id="rId126" Type="http://schemas.openxmlformats.org/officeDocument/2006/relationships/hyperlink" Target="http://www.sec.gov/Archives/edgar/data/318673/000109690616001895/exh5_1.htm" TargetMode="External"/><Relationship Id="rId127" Type="http://schemas.openxmlformats.org/officeDocument/2006/relationships/hyperlink" Target="file:///data/convert/snfc_ex31z1.htm" TargetMode="External"/><Relationship Id="rId128" Type="http://schemas.openxmlformats.org/officeDocument/2006/relationships/hyperlink" Target="file:///data/convert/snfc_ex31z2.htm" TargetMode="External"/><Relationship Id="rId129" Type="http://schemas.openxmlformats.org/officeDocument/2006/relationships/hyperlink" Target="file:///data/convert/snfc_ex32z1.htm" TargetMode="External"/><Relationship Id="rId130" Type="http://schemas.openxmlformats.org/officeDocument/2006/relationships/hyperlink" Target="file:///data/convert/snfc_ex32z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2020-05-15T14:57:43Z</dcterms:created>
  <dcterms:modified xsi:type="dcterms:W3CDTF">2020-05-15T14:57:43Z</dcterms:modified>
</cp:coreProperties>
</file>