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520" w:type="dxa"/>
            <w:vAlign w:val="bottom"/>
          </w:tcPr>
          <w:p>
            <w:pPr>
              <w:spacing w:after="0"/>
              <w:rPr>
                <w:sz w:val="18"/>
                <w:szCs w:val="18"/>
                <w:color w:val="auto"/>
              </w:rPr>
            </w:pPr>
          </w:p>
        </w:tc>
        <w:tc>
          <w:tcPr>
            <w:tcW w:w="3900" w:type="dxa"/>
            <w:vAlign w:val="bottom"/>
            <w:gridSpan w:val="4"/>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6"/>
              </w:rPr>
              <w:t>UTAH</w:t>
            </w:r>
          </w:p>
        </w:tc>
        <w:tc>
          <w:tcPr>
            <w:tcW w:w="48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64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 incorporation or organization)</w:t>
            </w:r>
          </w:p>
        </w:tc>
        <w:tc>
          <w:tcPr>
            <w:tcW w:w="4820" w:type="dxa"/>
            <w:vAlign w:val="bottom"/>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r>
      <w:tr>
        <w:trPr>
          <w:trHeight w:val="452"/>
        </w:trPr>
        <w:tc>
          <w:tcPr>
            <w:tcW w:w="642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433 Ascension Way, 6</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Salt Lake City, Utah</w:t>
            </w:r>
          </w:p>
        </w:tc>
        <w:tc>
          <w:tcPr>
            <w:tcW w:w="4820" w:type="dxa"/>
            <w:vAlign w:val="bottom"/>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64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4820" w:type="dxa"/>
            <w:vAlign w:val="bottom"/>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520" w:type="dxa"/>
            <w:vAlign w:val="bottom"/>
          </w:tcPr>
          <w:p>
            <w:pPr>
              <w:spacing w:after="0"/>
              <w:rPr>
                <w:sz w:val="24"/>
                <w:szCs w:val="24"/>
                <w:color w:val="auto"/>
              </w:rPr>
            </w:pPr>
          </w:p>
        </w:tc>
        <w:tc>
          <w:tcPr>
            <w:tcW w:w="3680" w:type="dxa"/>
            <w:vAlign w:val="bottom"/>
            <w:gridSpan w:val="3"/>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7"/>
              </w:rPr>
              <w:t>(801) 264-1060</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36"/>
        </w:trPr>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32"/>
        </w:trPr>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25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5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00" w:space="720"/>
            <w:col w:w="392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ind w:left="102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May 12, 2025, the registrant had 21,324,826 shares of Class A Common Stock, $2.00 par value, outstanding and 3,417,170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1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2025</w:t>
            </w:r>
          </w:p>
        </w:tc>
        <w:tc>
          <w:tcPr>
            <w:tcW w:w="7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12"/>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760" w:type="dxa"/>
            <w:vAlign w:val="bottom"/>
          </w:tcPr>
          <w:p>
            <w:pPr>
              <w:spacing w:after="0"/>
              <w:rPr>
                <w:sz w:val="24"/>
                <w:szCs w:val="24"/>
                <w:color w:val="auto"/>
              </w:rPr>
            </w:pPr>
          </w:p>
        </w:tc>
      </w:tr>
      <w:tr>
        <w:trPr>
          <w:trHeight w:val="445"/>
        </w:trPr>
        <w:tc>
          <w:tcPr>
            <w:tcW w:w="7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380" w:type="dxa"/>
            <w:vAlign w:val="bottom"/>
            <w:gridSpan w:val="14"/>
            <w:shd w:val="clear" w:color="auto" w:fill="CCEEFF"/>
          </w:tcPr>
          <w:p>
            <w:pPr>
              <w:jc w:val="center"/>
              <w:ind w:right="2520"/>
              <w:spacing w:after="0" w:line="15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760" w:type="dxa"/>
            <w:vAlign w:val="bottom"/>
            <w:shd w:val="clear" w:color="auto" w:fill="CCEEFF"/>
          </w:tcPr>
          <w:p>
            <w:pPr>
              <w:spacing w:after="0"/>
              <w:rPr>
                <w:sz w:val="16"/>
                <w:szCs w:val="16"/>
                <w:color w:val="auto"/>
              </w:rPr>
            </w:pP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600" w:type="dxa"/>
            <w:vAlign w:val="bottom"/>
            <w:tcBorders>
              <w:top w:val="single" w:sz="8" w:color="CCEEFF"/>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300" w:type="dxa"/>
            <w:vAlign w:val="bottom"/>
            <w:tcBorders>
              <w:top w:val="single" w:sz="8" w:color="0000EE"/>
            </w:tcBorders>
            <w:gridSpan w:val="6"/>
          </w:tcPr>
          <w:p>
            <w:pPr>
              <w:spacing w:after="0"/>
              <w:rPr>
                <w:sz w:val="15"/>
                <w:szCs w:val="15"/>
                <w:color w:val="auto"/>
              </w:rPr>
            </w:pPr>
          </w:p>
        </w:tc>
        <w:tc>
          <w:tcPr>
            <w:tcW w:w="3800" w:type="dxa"/>
            <w:vAlign w:val="bottom"/>
            <w:tcBorders>
              <w:top w:val="single" w:sz="8" w:color="CCEEFF"/>
            </w:tcBorders>
            <w:gridSpan w:val="7"/>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7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(unaudited) and December 31, 2024</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month periods ended March 31, 2025 and 2024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95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 periods ended March 31, 2025 and 2024</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March 31, 2025 and March 31, 2024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 periods ended March 31, 2025 and 2024 (unaudited)</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6"/>
        </w:trPr>
        <w:tc>
          <w:tcPr>
            <w:tcW w:w="780" w:type="dxa"/>
            <w:vAlign w:val="bottom"/>
            <w:tcBorders>
              <w:top w:val="single" w:sz="8" w:color="CCEEFF"/>
            </w:tcBorders>
          </w:tcPr>
          <w:p>
            <w:pPr>
              <w:spacing w:after="0"/>
              <w:rPr>
                <w:sz w:val="15"/>
                <w:szCs w:val="15"/>
                <w:color w:val="auto"/>
              </w:rPr>
            </w:pPr>
          </w:p>
        </w:tc>
        <w:tc>
          <w:tcPr>
            <w:tcW w:w="89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40" w:type="dxa"/>
            <w:vAlign w:val="bottom"/>
            <w:tcBorders>
              <w:top w:val="single" w:sz="8" w:color="CCEEFF"/>
            </w:tcBorders>
            <w:gridSpan w:val="2"/>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4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7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00" w:type="dxa"/>
            <w:vAlign w:val="bottom"/>
            <w:tcBorders>
              <w:top w:val="single" w:sz="8" w:color="CCEEFF"/>
            </w:tcBorders>
            <w:gridSpan w:val="12"/>
          </w:tcPr>
          <w:p>
            <w:pPr>
              <w:jc w:val="center"/>
              <w:ind w:right="390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760" w:type="dxa"/>
            <w:vAlign w:val="bottom"/>
            <w:tcBorders>
              <w:top w:val="single" w:sz="8" w:color="CCEEFF"/>
            </w:tcBorders>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60" w:type="dxa"/>
            <w:vAlign w:val="bottom"/>
            <w:tcBorders>
              <w:bottom w:val="single" w:sz="8" w:color="CCEEFF"/>
            </w:tcBorders>
            <w:gridSpan w:val="1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6"/>
        </w:trPr>
        <w:tc>
          <w:tcPr>
            <w:tcW w:w="7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360" w:type="dxa"/>
            <w:vAlign w:val="bottom"/>
            <w:tcBorders>
              <w:top w:val="single" w:sz="8" w:color="CCEEFF"/>
            </w:tcBorders>
            <w:gridSpan w:val="10"/>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940" w:type="dxa"/>
            <w:vAlign w:val="bottom"/>
            <w:tcBorders>
              <w:top w:val="single" w:sz="8" w:color="CCEEFF"/>
            </w:tcBorders>
            <w:gridSpan w:val="15"/>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100" w:type="dxa"/>
            <w:vAlign w:val="bottom"/>
            <w:tcBorders>
              <w:bottom w:val="single" w:sz="8" w:color="CCEEFF"/>
            </w:tcBorders>
            <w:gridSpan w:val="2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7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940" w:type="dxa"/>
            <w:vAlign w:val="bottom"/>
            <w:gridSpan w:val="21"/>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452"/>
        </w:trPr>
        <w:tc>
          <w:tcPr>
            <w:tcW w:w="7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15"/>
          </w:tcPr>
          <w:p>
            <w:pPr>
              <w:jc w:val="center"/>
              <w:ind w:left="379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$376,903,025 and $376,012,071 for 2025 and 2024, respectively; net of allowance for credit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of $507,300 and $420,993 for 2025 and 2024, respectively)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371,212,032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366,546,129</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$11,548,300 and $11,386,454 for 2025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15,973,782</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$2,008,592 and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$1,885,390 for 2025 and 2024, respectively)</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319,445,281</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301,747,358</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$32,853,123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$31,419,539 for 2025 and 2024,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202,629,726</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197,693,338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2,713,040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1,278,033</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 of $1,517,783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$1,536,926 for 2025 and 2024,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76,545,918</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74,855,041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9,574,599</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8,499,168</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998,094,378</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132,946,068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139,834,226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131,181,148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$1,632,099 and $1,678,531 for 2025 and 2024,</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15,943,962</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15,858,743</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$12,910,825 and $12,323,535 for 2025 and 2024 respectively, at</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27,722,898</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23,806,836</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$5,841,653 and $5,689,706 for 2025 and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 at estimated fair value)</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9,038,179</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8,836,503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13,791,025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13,831,093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10,545,468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10,594,632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123,527,455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122,661,298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2,839,548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2,939,878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18,811,490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19,047,688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7,380,231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7,491,600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18,521,619</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21,366,843</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1,524,250,330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953,000,823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944,811,843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1,966,308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2,011,679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122,823,346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106,740,104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20,910,047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20,168,405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5,704,613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5,642,693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4,982,820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2,937,293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53,258,611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55,633,661</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15,110,076</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13,079,257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1,177,756,644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1,151,024,935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21,321,739 shares issued</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March 31, 2025 and 21,255,006 shares issued and outstanding as of</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42,643,478</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42,510,012</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 issued or</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 3,417,170</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as of March 31, 2025 and 3,321,833 shares issued and outstanding as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2024</w:t>
            </w: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6,834,340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6,643,666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80,004,637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79,698,367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(3,953,654)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(6,951,266)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229,697,478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225,359,186</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- 1,037,568 Class A shares and 99,623 Class C shares as of March 31, 2025;</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1,025,784 Class A shares and 99,623 Class C shares as of December 31, 2024</w:t>
            </w: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(8,732,593)</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(8,477,686)</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346,493,686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1,524,250,330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24,809,241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21,831,670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29,779,525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29,852,093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19,202,624</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19,946,568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7,300,221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6,948,491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586,021</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1,669,426</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1,062,091</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939,950</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82,739,723</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81,188,198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16,045,465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15,713,753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1,201,555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1,215,793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8,988,057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9,345,887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4,696,535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4,743,913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10,438,381</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7,981,217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22,182,408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19,855,135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823,945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687,655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988,611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1,401,477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615,135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587,449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1,415,252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1,449,095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7,400,687</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6,285,910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1,119,528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1,027,474</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1,253,270</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1,274,129</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77,168,829</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71,568,887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5,570,894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9,619,311</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(1,232,602)</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(2,144,789)</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4,338,292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7,474,522</w:t>
            </w:r>
          </w:p>
        </w:tc>
        <w:tc>
          <w:tcPr>
            <w:tcW w:w="80" w:type="dxa"/>
            <w:vAlign w:val="bottom"/>
          </w:tcPr>
          <w:p>
            <w:pPr>
              <w:spacing w:after="0"/>
              <w:rPr>
                <w:sz w:val="24"/>
                <w:szCs w:val="24"/>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share-assuming dilution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 (1)</w:t>
            </w:r>
          </w:p>
        </w:tc>
        <w:tc>
          <w:tcPr>
            <w:tcW w:w="3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23,521,451</w:t>
            </w:r>
          </w:p>
        </w:tc>
        <w:tc>
          <w:tcPr>
            <w:tcW w:w="38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23,325,136</w:t>
            </w:r>
          </w:p>
        </w:tc>
        <w:tc>
          <w:tcPr>
            <w:tcW w:w="80" w:type="dxa"/>
            <w:vAlign w:val="bottom"/>
          </w:tcPr>
          <w:p>
            <w:pPr>
              <w:spacing w:after="0"/>
              <w:rPr>
                <w:sz w:val="24"/>
                <w:szCs w:val="24"/>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outstanding-assuming dilution (1)</w:t>
            </w:r>
          </w:p>
        </w:tc>
        <w:tc>
          <w:tcPr>
            <w:tcW w:w="3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24,466,443</w:t>
            </w:r>
          </w:p>
        </w:tc>
        <w:tc>
          <w:tcPr>
            <w:tcW w:w="3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24,087,806</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60" w:hanging="292"/>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4,338,292</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7,474,522</w:t>
            </w:r>
          </w:p>
        </w:tc>
        <w:tc>
          <w:tcPr>
            <w:tcW w:w="100" w:type="dxa"/>
            <w:vAlign w:val="bottom"/>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3,788,729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4,288</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2,815</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3,795,832</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(798,220</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239,216</w:t>
            </w:r>
          </w:p>
        </w:tc>
        <w:tc>
          <w:tcPr>
            <w:tcW w:w="100" w:type="dxa"/>
            <w:vAlign w:val="bottom"/>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2,997,612</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7,335,904</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6,579,424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$42,510,012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$ 6,643,666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$79,698,367</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(6,951,266)</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$ 225,359,186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(8,477,686)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$ 338,782,279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4,338,292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4,338,292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2,997,612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2,997,612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309,260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309,260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132,546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190,674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(92,965)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(149,009)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81,246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90,895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136,367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227,262</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(242,265)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(242,265)</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42,643,478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$ 6,834,340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80,004,637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(3,953,654</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229,697,478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(8,732,593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346,493,686</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9,585,902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25,077,244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(28,292,634)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(6,670,277)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26,374,371</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11,440,209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(1,114,187)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(2,038,459)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1,085,712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1,412,118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(933,673)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(643,531)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96,874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178,350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(26,565)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859,715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(217,905,832)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(166,160,908)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 loans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198,431,585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175,017,132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(441,530)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(16,643,207)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(17,740,755)</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9,241,645</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7,082,265</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(29,266,526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3,065,288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3,237,207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(4,097,396)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(4,105,463)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81,246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(242,265)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(504,009)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(470,652)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16,567,385</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(769,236)</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14,870,249</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(4,810,375</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139,923,399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145,292,245</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164,550,756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1,098,086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1,022,460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fixed maturity securities available for sale to other investments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1,185,603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436,109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479,462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227,262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470,521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858,977</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1,867,552</w:t>
            </w:r>
          </w:p>
        </w:tc>
        <w:tc>
          <w:tcPr>
            <w:tcW w:w="0" w:type="dxa"/>
            <w:vAlign w:val="bottom"/>
          </w:tcPr>
          <w:p>
            <w:pPr>
              <w:spacing w:after="0"/>
              <w:rPr>
                <w:sz w:val="1"/>
                <w:szCs w:val="1"/>
                <w:color w:val="auto"/>
              </w:rPr>
            </w:pPr>
          </w:p>
        </w:tc>
      </w:tr>
      <w:tr>
        <w:trPr>
          <w:trHeight w:val="414"/>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are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w:t>
            </w:r>
          </w:p>
        </w:tc>
      </w:tr>
      <w:tr>
        <w:trPr>
          <w:trHeight w:val="234"/>
        </w:trPr>
        <w:tc>
          <w:tcPr>
            <w:tcW w:w="7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132,946,068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150,930,786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11,455,091</w:t>
            </w:r>
          </w:p>
        </w:tc>
        <w:tc>
          <w:tcPr>
            <w:tcW w:w="2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10,598,384</w:t>
            </w: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891,086</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3,021,586</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145,292,245</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164,550,756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2024, included in the Company’s Annual Report on Form 10-K (File Number 000-09341). In the opinion of management, all adjustments (consisting of normal recurring accruals) considered necessary for a fair presentation have been included. Operating results for the three month period ended March 31, 2025 are not necessarily indicative of the results that may be expected for the year ending December 31,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The Company will adopt the standard commencing with its annual reporting period ending December 31,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adoption of this guidance is expected to have an impact on its financial position, results of operations, and disclosures, as well as systems, processes and controls. The Company continues to evaluate the impact of the new guidance on its consolidated financial statements.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for the annual reporting periods beginning January 1, 2025. The Company will adopt the standard commencing with its annual reporting period ending December 31, 2025. The Company does not anticipate that the adoption of ASU 2023-09 will have a material impact on the consolidated financial statements.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7"/>
          <w:szCs w:val="17"/>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the new guidance on the consolidated financial statements.</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line="66" w:lineRule="exact"/>
        <w:rPr>
          <w:sz w:val="20"/>
          <w:szCs w:val="20"/>
          <w:color w:val="auto"/>
        </w:rPr>
      </w:pPr>
    </w:p>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March 31,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69"/>
        </w:trPr>
        <w:tc>
          <w:tcPr>
            <w:tcW w:w="40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67,730,345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(369,412)</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67,529,180</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3,554,218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(216,520)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3,349,719</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278,660,923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4,042,114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(5,058,561)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(495,251)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277,149,225</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26,707,539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99,349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(3,860,931)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22,933,908</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12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376,903,025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4,321,731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(9,505,424</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(507,300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371,212,032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11,548,300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4,887,671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(462,189)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15,973,782</w:t>
            </w:r>
          </w:p>
        </w:tc>
      </w:tr>
      <w:tr>
        <w:trPr>
          <w:trHeight w:val="210"/>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11,548,300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4,887,671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(462,189)</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15,973,782</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93,910,555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169,877,471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60,191,978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(2,251,280)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(2,008,592)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(274,851)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319,445,281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77,755,199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124,874,527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202,629,726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2,561,487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2,713,040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14,183,492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50,727,040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12,522,969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(1,517,783)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2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76,545,918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9,574,599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998,094,378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p>
    <w:p>
      <w:pPr>
        <w:sectPr>
          <w:pgSz w:w="11900" w:h="16905" w:orient="portrait"/>
          <w:cols w:equalWidth="0" w:num="1">
            <w:col w:w="11240"/>
          </w:cols>
          <w:pgMar w:left="320" w:top="688" w:right="339" w:bottom="0" w:gutter="0" w:footer="0" w:header="0"/>
        </w:sectPr>
      </w:pPr>
    </w:p>
    <w:bookmarkStart w:id="12" w:name="page13"/>
    <w:bookmarkEnd w:id="12"/>
    <w:p>
      <w:pPr>
        <w:ind w:left="292" w:hanging="292"/>
        <w:spacing w:after="0"/>
        <w:tabs>
          <w:tab w:leader="none" w:pos="2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97790</wp:posOffset>
            </wp:positionV>
            <wp:extent cx="720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$580,700 of Membership stock and $49,500 of Activity stock attributable to short-term borrowings and letters of credit.</w:t>
      </w:r>
    </w:p>
    <w:p>
      <w:pPr>
        <w:spacing w:after="0" w:line="345"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1"/>
          </w:cols>
          <w:pgMar w:left="388" w:top="391" w:right="1440" w:bottom="1440" w:gutter="0" w:footer="0" w:header="0"/>
        </w:sectPr>
      </w:pPr>
    </w:p>
    <w:bookmarkStart w:id="13" w:name="page14"/>
    <w:bookmarkEnd w:id="13"/>
    <w:p>
      <w:pPr>
        <w:spacing w:after="0" w:line="66" w:lineRule="exact"/>
        <w:rPr>
          <w:sz w:val="20"/>
          <w:szCs w:val="20"/>
          <w:color w:val="auto"/>
        </w:rPr>
      </w:pPr>
    </w:p>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74,680,606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(486,976)</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74,521,248</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6,416,751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(290,448)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6,128,065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262,954,278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(6,922,871)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(408,944)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258,067,305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31,710,436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(4,244,640)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27,579,511</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148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376,012,071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2,899,986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(11,944,935</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366,546,129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92,061,787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151,172,733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62,753,085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(272,616)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301,747,358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71,618,410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126,074,928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197,693,338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1,278,033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11,473,961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(1,536,926)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74,855,041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8,499,168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966,390,748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p>
    <w:p>
      <w:pPr>
        <w:sectPr>
          <w:pgSz w:w="11900" w:h="16905" w:orient="portrait"/>
          <w:cols w:equalWidth="0" w:num="1">
            <w:col w:w="11240"/>
          </w:cols>
          <w:pgMar w:left="320" w:top="688" w:right="339" w:bottom="0" w:gutter="0" w:footer="0" w:header="0"/>
        </w:sectPr>
      </w:pPr>
    </w:p>
    <w:bookmarkStart w:id="14" w:name="page15"/>
    <w:bookmarkEnd w:id="14"/>
    <w:p>
      <w:pPr>
        <w:ind w:left="292" w:hanging="292"/>
        <w:spacing w:after="0"/>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97790</wp:posOffset>
            </wp:positionV>
            <wp:extent cx="720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 cy="8255"/>
                    </a:xfrm>
                    <a:prstGeom prst="rect">
                      <a:avLst/>
                    </a:prstGeom>
                    <a:noFill/>
                  </pic:spPr>
                </pic:pic>
              </a:graphicData>
            </a:graphic>
          </wp:anchor>
        </w:drawing>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$1,851,000 of Activity stock due to short-term advances and letters of credit.</w:t>
      </w:r>
    </w:p>
    <w:p>
      <w:pPr>
        <w:spacing w:after="0" w:line="345"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1"/>
          </w:cols>
          <w:pgMar w:left="388" w:top="391" w:right="1440" w:bottom="1440" w:gutter="0" w:footer="0" w:header="0"/>
        </w:sectPr>
      </w:pPr>
    </w:p>
    <w:bookmarkStart w:id="15" w:name="page16"/>
    <w:bookmarkEnd w:id="15"/>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securities or equity securities, aggregated by issuer, of more than 10% of shareholders’ equity (before net unrealized gains and losses on equity securities and fixed maturity securities) as of March 31, 2025, other than investments issued or guaranteed by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2025 and December 31, 2024.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Losses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Less than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More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Twelve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w:t>
            </w:r>
          </w:p>
        </w:tc>
        <w:tc>
          <w:tcPr>
            <w:tcW w:w="12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1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March 31, 2025</w:t>
            </w:r>
          </w:p>
        </w:tc>
        <w:tc>
          <w:tcPr>
            <w:tcW w:w="20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2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4,202,295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352,334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12,890,048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369,412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17,092,343</w:t>
            </w:r>
          </w:p>
        </w:tc>
      </w:tr>
      <w:tr>
        <w:trPr>
          <w:trHeight w:val="198"/>
        </w:trPr>
        <w:tc>
          <w:tcPr>
            <w:tcW w:w="3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192,808</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209,328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2,211,591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216,520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2,404,399</w:t>
            </w:r>
          </w:p>
        </w:tc>
      </w:tr>
      <w:tr>
        <w:trPr>
          <w:trHeight w:val="21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63,857,548</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4,247,964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79,610,636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5,058,561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143,468,184</w:t>
            </w:r>
          </w:p>
        </w:tc>
      </w:tr>
      <w:tr>
        <w:trPr>
          <w:trHeight w:val="229"/>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220,459</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3,855,985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18,098,828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3,860,931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18,319,287</w:t>
            </w:r>
          </w:p>
        </w:tc>
      </w:tr>
      <w:tr>
        <w:trPr>
          <w:trHeight w:val="263"/>
        </w:trPr>
        <w:tc>
          <w:tcPr>
            <w:tcW w:w="3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68,473,110</w:t>
            </w:r>
          </w:p>
        </w:tc>
        <w:tc>
          <w:tcPr>
            <w:tcW w:w="2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8,665,611</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112,811,103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9,505,424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181,284,213</w:t>
            </w:r>
          </w:p>
        </w:tc>
        <w:tc>
          <w:tcPr>
            <w:tcW w:w="80" w:type="dxa"/>
            <w:vAlign w:val="bottom"/>
            <w:tcBorders>
              <w:bottom w:val="single" w:sz="8" w:color="CCEEFF"/>
            </w:tcBorders>
          </w:tcPr>
          <w:p>
            <w:pPr>
              <w:spacing w:after="0"/>
              <w:rPr>
                <w:sz w:val="22"/>
                <w:szCs w:val="22"/>
                <w:color w:val="auto"/>
              </w:rPr>
            </w:pPr>
          </w:p>
        </w:tc>
      </w:tr>
      <w:tr>
        <w:trPr>
          <w:trHeight w:val="196"/>
        </w:trPr>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5"/>
        </w:trPr>
        <w:tc>
          <w:tcPr>
            <w:tcW w:w="3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3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U.S. Government agencies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986,365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22,110,495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486,976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23,096,860</w:t>
            </w:r>
          </w:p>
        </w:tc>
      </w:tr>
      <w:tr>
        <w:trPr>
          <w:trHeight w:val="198"/>
        </w:trPr>
        <w:tc>
          <w:tcPr>
            <w:tcW w:w="32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2,167,918</w:t>
            </w: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275,445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3,008,385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290,448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5,176,303</w:t>
            </w:r>
          </w:p>
        </w:tc>
      </w:tr>
      <w:tr>
        <w:trPr>
          <w:trHeight w:val="198"/>
        </w:trPr>
        <w:tc>
          <w:tcPr>
            <w:tcW w:w="3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securities including public</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1,888,022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93,562,219</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5,034,849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77,975,776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6,922,871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171,537,995</w:t>
            </w:r>
          </w:p>
        </w:tc>
      </w:tr>
      <w:tr>
        <w:trPr>
          <w:trHeight w:val="229"/>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2,915,192</w:t>
            </w: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4,212,490</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19,041,442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4,244,640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21,956,634</w:t>
            </w:r>
          </w:p>
        </w:tc>
      </w:tr>
      <w:tr>
        <w:trPr>
          <w:trHeight w:val="223"/>
        </w:trPr>
        <w:tc>
          <w:tcPr>
            <w:tcW w:w="32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1,943,912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99,631,694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10,001,023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122,136,098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11,944,935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221,767,792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585 securities with fair values aggregating 95.0% of the aggregate amortized cost as of March 31, 2025, compared to 706 securities with fair values aggregating 94.9% of the aggregate amortized cost as of December 31, 2024. A credit loss provision of $86,307 and of $96,000 have been recognized for the three month periods ended March 31, 2025 and 2024,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condensed consolidated balance sheets, as the Company writes off any accrued interest income to net investment income if the accrued but unpaid amount exceeds 90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98.2% and 97.7% of its fixed maturity securities rated investment grade as of March 31, 2025 and December 31, 2024,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NAIC</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Pr>
          <w:p>
            <w:pPr>
              <w:spacing w:after="0"/>
              <w:rPr>
                <w:sz w:val="20"/>
                <w:szCs w:val="20"/>
                <w:color w:val="auto"/>
              </w:rPr>
            </w:pPr>
          </w:p>
        </w:tc>
        <w:tc>
          <w:tcPr>
            <w:tcW w:w="30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2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187,879,097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184,522,723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188,386,980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183,460,027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181,586,910</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179,966,189</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178,060,265</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174,405,442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5,831,758</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5,343,171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7,961,422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7,342,220</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648,713</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630,362</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649,592</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600,459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705,397</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499,587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702,643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487,981</w:t>
            </w: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376,653,025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370,962,032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375,762,071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366,296,129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 month periods ended March 31, 2025 and 2024:</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December 31, 2024</w:t>
      </w:r>
    </w:p>
    <w:p>
      <w:pPr>
        <w:spacing w:after="0" w:line="225"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Additions for credit losses not previously recorded Change in allowance on securities with previous allowance</w:t>
      </w:r>
    </w:p>
    <w:p>
      <w:pPr>
        <w:spacing w:after="0" w:line="1" w:lineRule="exact"/>
        <w:rPr>
          <w:sz w:val="20"/>
          <w:szCs w:val="20"/>
          <w:color w:val="auto"/>
        </w:rPr>
      </w:pPr>
    </w:p>
    <w:p>
      <w:pPr>
        <w:ind w:left="180" w:right="80"/>
        <w:spacing w:after="0" w:line="250" w:lineRule="auto"/>
        <w:rPr>
          <w:sz w:val="20"/>
          <w:szCs w:val="20"/>
          <w:color w:val="auto"/>
        </w:rPr>
      </w:pPr>
      <w:r>
        <w:rPr>
          <w:rFonts w:ascii="Times New Roman" w:cs="Times New Roman" w:eastAsia="Times New Roman" w:hAnsi="Times New Roman"/>
          <w:sz w:val="18"/>
          <w:szCs w:val="18"/>
          <w:color w:val="auto"/>
        </w:rPr>
        <w:t>Reductions for securities sold during the period Reductions for securities with credit losses due to intent to sell</w:t>
      </w:r>
    </w:p>
    <w:p>
      <w:pPr>
        <w:spacing w:after="0" w:line="1" w:lineRule="exact"/>
        <w:rPr>
          <w:sz w:val="20"/>
          <w:szCs w:val="20"/>
          <w:color w:val="auto"/>
        </w:rPr>
      </w:pPr>
    </w:p>
    <w:p>
      <w:pPr>
        <w:ind w:left="180" w:right="400"/>
        <w:spacing w:after="0" w:line="290" w:lineRule="auto"/>
        <w:rPr>
          <w:sz w:val="20"/>
          <w:szCs w:val="20"/>
          <w:color w:val="auto"/>
        </w:rPr>
      </w:pPr>
      <w:r>
        <w:rPr>
          <w:rFonts w:ascii="Times New Roman" w:cs="Times New Roman" w:eastAsia="Times New Roman" w:hAnsi="Times New Roman"/>
          <w:sz w:val="17"/>
          <w:szCs w:val="17"/>
          <w:color w:val="auto"/>
        </w:rPr>
        <w:t>Write-offs charged against the allowance Recoveries of amounts previously written off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Three Months Ended March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subdivisions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426"/>
        </w:trPr>
        <w:tc>
          <w:tcPr>
            <w:tcW w:w="1060" w:type="dxa"/>
            <w:vAlign w:val="bottom"/>
          </w:tcPr>
          <w:p>
            <w:pPr>
              <w:jc w:val="right"/>
              <w:ind w:right="89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6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72,000</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72,000</w:t>
            </w:r>
          </w:p>
        </w:tc>
      </w:tr>
      <w:tr>
        <w:trPr>
          <w:trHeight w:val="414"/>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14,437</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14,437</w:t>
            </w:r>
          </w:p>
        </w:tc>
      </w:tr>
      <w:tr>
        <w:trPr>
          <w:trHeight w:val="234"/>
        </w:trPr>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414"/>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8"/>
        </w:trPr>
        <w:tc>
          <w:tcPr>
            <w:tcW w:w="10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jc w:val="right"/>
              <w:ind w:right="89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495,251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507,300</w:t>
            </w:r>
          </w:p>
        </w:tc>
        <w:tc>
          <w:tcPr>
            <w:tcW w:w="60" w:type="dxa"/>
            <w:vAlign w:val="bottom"/>
          </w:tcPr>
          <w:p>
            <w:pPr>
              <w:spacing w:after="0"/>
              <w:rPr>
                <w:sz w:val="24"/>
                <w:szCs w:val="24"/>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-1988185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-1713865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-1302385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-890905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-608330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840" w:space="340"/>
            <w:col w:w="7060"/>
          </w:cols>
          <w:pgMar w:left="320" w:top="688" w:right="339" w:bottom="1440" w:gutter="0" w:footer="0" w:header="0"/>
          <w:type w:val="continuous"/>
        </w:sectPr>
      </w:pPr>
    </w:p>
    <w:bookmarkStart w:id="18" w:name="page19"/>
    <w:bookmarkEnd w:id="18"/>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314,549</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198"/>
        </w:trPr>
        <w:tc>
          <w:tcPr>
            <w:tcW w:w="4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4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intent to sell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9"/>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410,549</w:t>
            </w:r>
          </w:p>
        </w:tc>
        <w:tc>
          <w:tcPr>
            <w:tcW w:w="10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March 31, 2025, by contractual maturity. Actual or expected maturities may differ from contractual maturities because certain securities afford the issuer the right to call or prepay its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22,159,707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22,003,935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71,242,437</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70,452,145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135,956,272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135,838,014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120,587,070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119,734,030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26,707,539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22,933,908</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376,903,025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371,212,032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60" w:type="dxa"/>
            <w:vAlign w:val="bottom"/>
          </w:tcPr>
          <w:p>
            <w:pPr>
              <w:spacing w:after="0"/>
              <w:rPr>
                <w:sz w:val="20"/>
                <w:szCs w:val="20"/>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3,224,848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179,989</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c>
          <w:tcPr>
            <w:tcW w:w="22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(40,504)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c>
          <w:tcPr>
            <w:tcW w:w="2260" w:type="dxa"/>
            <w:vAlign w:val="bottom"/>
          </w:tcPr>
          <w:p>
            <w:pPr>
              <w:spacing w:after="0"/>
              <w:rPr>
                <w:sz w:val="18"/>
                <w:szCs w:val="18"/>
                <w:color w:val="auto"/>
              </w:rPr>
            </w:pPr>
          </w:p>
        </w:tc>
      </w:tr>
      <w:tr>
        <w:trPr>
          <w:trHeight w:val="432"/>
        </w:trPr>
        <w:tc>
          <w:tcPr>
            <w:tcW w:w="3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9" w:name="page20"/>
    <w:bookmarkEnd w:id="1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March 31,</w:t>
            </w:r>
          </w:p>
        </w:tc>
        <w:tc>
          <w:tcPr>
            <w:tcW w:w="18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424,543</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1,456,924</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1,444,654</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8,065,463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7,971,243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March 31,</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25,814,271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25,309,270</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4,766,926</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4,417,683</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30,581,197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29,726,953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March 31,</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52,791,611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63,800,454</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$118,658,948 and $119,889,846 as of March 31, 2025 and December 31, 2024, respectively. The associated bank loan carrying values totaled $95,542,882 and $96,007,488 as of March 31, 2025 and December 31,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2025 and 2024,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2025 and 2024, the Company recorded depreciation expense on commercial real estate held for investment of $1,422,016 and $1,527,793,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Net Book Value</w:t>
            </w:r>
          </w:p>
        </w:tc>
        <w:tc>
          <w:tcPr>
            <w:tcW w:w="80" w:type="dxa"/>
            <w:vAlign w:val="bottom"/>
          </w:tcPr>
          <w:p>
            <w:pPr>
              <w:spacing w:after="0"/>
              <w:rPr>
                <w:sz w:val="20"/>
                <w:szCs w:val="20"/>
                <w:color w:val="auto"/>
              </w:rPr>
            </w:pPr>
          </w:p>
        </w:tc>
        <w:tc>
          <w:tcPr>
            <w:tcW w:w="25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140" w:type="dxa"/>
            <w:vAlign w:val="bottom"/>
            <w:tcBorders>
              <w:top w:val="single" w:sz="8" w:color="auto"/>
            </w:tcBorders>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124,856,106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126,056,342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8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18,586</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28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2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124,874,527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126,074,928</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548,563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548,563</w:t>
            </w:r>
          </w:p>
        </w:tc>
      </w:tr>
      <w:tr>
        <w:trPr>
          <w:trHeight w:val="20"/>
        </w:trPr>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4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Includes Center53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Net Book Value</w:t>
            </w:r>
          </w:p>
        </w:tc>
        <w:tc>
          <w:tcPr>
            <w:tcW w:w="226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5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2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28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151,553</w:t>
            </w:r>
          </w:p>
        </w:tc>
        <w:tc>
          <w:tcPr>
            <w:tcW w:w="2260" w:type="dxa"/>
            <w:vAlign w:val="bottom"/>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5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 Consists of approximately 93 acres of undeveloped land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40"/>
        </w:trPr>
        <w:tc>
          <w:tcPr>
            <w:tcW w:w="2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1" w:name="page22"/>
    <w:bookmarkEnd w:id="2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March 31, 2025,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Approximate Square</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3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Business Segment</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Footage</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5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433 Ascension Way, Floors 4, 5 and 6, Salt Lake</w:t>
            </w:r>
          </w:p>
        </w:tc>
        <w:tc>
          <w:tcPr>
            <w:tcW w:w="20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 - Center53 Building 2 (1)</w:t>
            </w:r>
          </w:p>
        </w:tc>
        <w:tc>
          <w:tcPr>
            <w:tcW w:w="3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Cemetery/Mortuary Operations, and</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540" w:type="dxa"/>
            <w:vAlign w:val="bottom"/>
            <w:shd w:val="clear" w:color="auto" w:fill="CCEEFF"/>
          </w:tcPr>
          <w:p>
            <w:pPr>
              <w:spacing w:after="0"/>
              <w:rPr>
                <w:sz w:val="20"/>
                <w:szCs w:val="20"/>
                <w:color w:val="auto"/>
              </w:rPr>
            </w:pPr>
          </w:p>
        </w:tc>
        <w:tc>
          <w:tcPr>
            <w:tcW w:w="3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 Operations and Sales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216,865</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3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12,274</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 Sheppard Street, Minden, LA (2) (3)</w:t>
            </w:r>
          </w:p>
        </w:tc>
        <w:tc>
          <w:tcPr>
            <w:tcW w:w="3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Life Insurance Sales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1,560</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2025 and 2024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2025 and 2024, the Company recorded depreciation expense on residential real estate held for investment of $2,676 and $2,653,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7"/>
          </w:tcPr>
          <w:p>
            <w:pPr>
              <w:ind w:left="78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2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gridSpan w:val="2"/>
          </w:tcPr>
          <w:p>
            <w:pPr>
              <w:spacing w:after="0"/>
              <w:rPr>
                <w:sz w:val="16"/>
                <w:szCs w:val="16"/>
                <w:color w:val="auto"/>
              </w:rPr>
            </w:pPr>
          </w:p>
        </w:tc>
      </w:tr>
      <w:tr>
        <w:trPr>
          <w:trHeight w:val="234"/>
        </w:trPr>
        <w:tc>
          <w:tcPr>
            <w:tcW w:w="2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77,755,198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24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77,755,198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5540" w:right="4300" w:hanging="5472"/>
        <w:spacing w:after="0" w:line="657"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 refer to the following table.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invests in residential subdivision developments. The following table presents additional information regarding the Company’s residential subdivision development projects in Utah: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8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20"/>
                <w:szCs w:val="20"/>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79,689,307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71,443,356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Net Book Value</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2,561,487(1)</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276,580</w:t>
            </w:r>
          </w:p>
        </w:tc>
      </w:tr>
      <w:tr>
        <w:trPr>
          <w:trHeight w:val="223"/>
        </w:trPr>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2,561,487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a residential subdivision development project for $2,106,487</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$455,000 and $1,126,480 as of March 31,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 three distinct group: Commercial, Residential and Residential Construction. These mortgage loans bear interest at rates ranging from 2.0% to 10.5%, maturity dates range from nine months to 30 years and have amortization periods of 0 to 30 years.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March 31, 2025, the Company had 59%, 8%, 7%, 4% and 4%, of its mortgage loans from borrowers located in the states of Utah, Florida, Arizona, Texas, and California, respectively. As of December 31, 2024, the Company had 56%, 8%, 9% and 6% of its mortgage loans from borrowers located in the states of Utah, Florida, Arizona, and Texas,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$259,000 and $244,000 as of March 31, 2025 and December 31, 2024,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advances funds in accordance with the loan agreements once the work has been completed and an independent inspection is made. The maximum loan commitment ranges between 50% and 85% of appraised value. The Company receives fees and interest for these loans and the interest rate is generally fixed at 5.25% to 8.50% per annum. Maturities range between six and eighteen months. The Company has commitments to fund existing construction and land development loans pursuant to the various loan agreements. As of March 31, 2025, the Company’s commitments were approximately $239,187,000 for these loans, of which $172,110,015 had been drawn.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right="1400" w:hanging="179"/>
        <w:spacing w:after="0" w:line="257" w:lineRule="auto"/>
        <w:rPr>
          <w:sz w:val="20"/>
          <w:szCs w:val="20"/>
          <w:color w:val="auto"/>
        </w:rPr>
      </w:pPr>
      <w:r>
        <w:rPr>
          <w:rFonts w:ascii="Times New Roman" w:cs="Times New Roman" w:eastAsia="Times New Roman" w:hAnsi="Times New Roman"/>
          <w:sz w:val="18"/>
          <w:szCs w:val="18"/>
          <w:color w:val="auto"/>
        </w:rPr>
        <w:t>Beginning balance - December 31, 2024 Change in provision for credit losses (1) Charge-offs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732,494</w:t>
            </w: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850,550</w:t>
            </w:r>
          </w:p>
        </w:tc>
        <w:tc>
          <w:tcPr>
            <w:tcW w:w="3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302,346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1,885,390</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289,236</w:t>
            </w:r>
          </w:p>
        </w:tc>
        <w:tc>
          <w:tcPr>
            <w:tcW w:w="1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(203,443)</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123,202</w:t>
            </w:r>
          </w:p>
        </w:tc>
      </w:tr>
      <w:tr>
        <w:trPr>
          <w:trHeight w:val="234"/>
        </w:trPr>
        <w:tc>
          <w:tcPr>
            <w:tcW w:w="12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1,021,730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647,107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339,755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2,008,592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-607695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-325120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80" w:space="720"/>
            <w:col w:w="604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1,219,653</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2,390,894</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208,106</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3,818,653</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(360,031)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(528,399)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(897,039)</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1,862,495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60" w:hanging="5472"/>
        <w:spacing w:after="0" w:line="475" w:lineRule="auto"/>
        <w:tabs>
          <w:tab w:leader="none" w:pos="36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11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March 31, 2025</w:t>
            </w:r>
          </w:p>
        </w:tc>
        <w:tc>
          <w:tcPr>
            <w:tcW w:w="40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3,745,815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3,745,815</w:t>
            </w: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1,142,421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1,142,421</w:t>
            </w: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3,196,505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1,481,040</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4,677,545</w:t>
            </w:r>
          </w:p>
        </w:tc>
      </w:tr>
      <w:tr>
        <w:trPr>
          <w:trHeight w:val="229"/>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2,818,740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3,010,248</w:t>
            </w:r>
          </w:p>
        </w:tc>
      </w:tr>
      <w:tr>
        <w:trPr>
          <w:trHeight w:val="210"/>
        </w:trPr>
        <w:tc>
          <w:tcPr>
            <w:tcW w:w="52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3,388,013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9,188,016</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12,576,029</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56,803,965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84,722,539</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169,877,471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311,403,975</w:t>
            </w:r>
          </w:p>
        </w:tc>
        <w:tc>
          <w:tcPr>
            <w:tcW w:w="100" w:type="dxa"/>
            <w:vAlign w:val="bottom"/>
            <w:shd w:val="clear" w:color="auto" w:fill="CCEEFF"/>
          </w:tcPr>
          <w:p>
            <w:pPr>
              <w:spacing w:after="0"/>
              <w:rPr>
                <w:sz w:val="18"/>
                <w:szCs w:val="18"/>
                <w:color w:val="auto"/>
              </w:rPr>
            </w:pPr>
          </w:p>
        </w:tc>
      </w:tr>
      <w:tr>
        <w:trPr>
          <w:trHeight w:val="209"/>
        </w:trPr>
        <w:tc>
          <w:tcPr>
            <w:tcW w:w="52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60,191,978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93,910,555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169,877,471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323,980,004</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(2,008,592)</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(1,344,145)</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(711,507)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(2,251,280)</w:t>
            </w:r>
          </w:p>
        </w:tc>
      </w:tr>
      <w:tr>
        <w:trPr>
          <w:trHeight w:val="229"/>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(121,879)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(274,851)</w:t>
            </w:r>
          </w:p>
        </w:tc>
      </w:tr>
      <w:tr>
        <w:trPr>
          <w:trHeight w:val="263"/>
        </w:trPr>
        <w:tc>
          <w:tcPr>
            <w:tcW w:w="52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58,821,648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91,797,424</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168,826,209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319,445,281</w:t>
            </w:r>
          </w:p>
        </w:tc>
        <w:tc>
          <w:tcPr>
            <w:tcW w:w="100" w:type="dxa"/>
            <w:vAlign w:val="bottom"/>
            <w:tcBorders>
              <w:bottom w:val="single" w:sz="8" w:color="CCEEFF"/>
            </w:tcBorders>
          </w:tcPr>
          <w:p>
            <w:pPr>
              <w:spacing w:after="0"/>
              <w:rPr>
                <w:sz w:val="22"/>
                <w:szCs w:val="22"/>
                <w:color w:val="auto"/>
              </w:rPr>
            </w:pPr>
          </w:p>
        </w:tc>
      </w:tr>
      <w:tr>
        <w:trPr>
          <w:trHeight w:val="197"/>
        </w:trPr>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52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5,818,334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7,918,334</w:t>
            </w: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845,980</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845,980</w:t>
            </w: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3,061,450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7,266,450</w:t>
            </w:r>
          </w:p>
        </w:tc>
      </w:tr>
      <w:tr>
        <w:trPr>
          <w:trHeight w:val="23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191,508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3,942,392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4,133,900</w:t>
            </w:r>
          </w:p>
        </w:tc>
      </w:tr>
      <w:tr>
        <w:trPr>
          <w:trHeight w:val="209"/>
        </w:trPr>
        <w:tc>
          <w:tcPr>
            <w:tcW w:w="52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13,668,156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56,256,577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78,393,631</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285,822,941</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305,987,605</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13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(732,494)</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(850,550)</w:t>
            </w:r>
          </w:p>
        </w:tc>
        <w:tc>
          <w:tcPr>
            <w:tcW w:w="200" w:type="dxa"/>
            <w:vAlign w:val="bottom"/>
          </w:tcPr>
          <w:p>
            <w:pPr>
              <w:spacing w:after="0"/>
              <w:rPr>
                <w:sz w:val="17"/>
                <w:szCs w:val="17"/>
                <w:color w:val="auto"/>
              </w:rPr>
            </w:pPr>
          </w:p>
        </w:tc>
        <w:tc>
          <w:tcPr>
            <w:tcW w:w="13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(302,346)</w:t>
            </w:r>
          </w:p>
        </w:tc>
        <w:tc>
          <w:tcPr>
            <w:tcW w:w="1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(1,885,390)</w:t>
            </w:r>
          </w:p>
        </w:tc>
      </w:tr>
      <w:tr>
        <w:trPr>
          <w:trHeight w:val="216"/>
        </w:trPr>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(115,555)</w:t>
            </w: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(1,307,539)</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(659,147)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(2,082,241)</w:t>
            </w:r>
          </w:p>
        </w:tc>
      </w:tr>
      <w:tr>
        <w:trPr>
          <w:trHeight w:val="248"/>
        </w:trPr>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(149,268)</w:t>
            </w: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(123,348)</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(272,616)</w:t>
            </w:r>
          </w:p>
        </w:tc>
      </w:tr>
      <w:tr>
        <w:trPr>
          <w:trHeight w:val="223"/>
        </w:trPr>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89,780,350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301,747,358</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88" w:right="339" w:bottom="1440" w:gutter="0" w:footer="0" w:header="0"/>
          <w:type w:val="continuous"/>
        </w:sectPr>
      </w:pPr>
    </w:p>
    <w:p>
      <w:pPr>
        <w:spacing w:after="0" w:line="52" w:lineRule="exact"/>
        <w:rPr>
          <w:sz w:val="20"/>
          <w:szCs w:val="20"/>
          <w:color w:val="auto"/>
        </w:rPr>
      </w:pPr>
    </w:p>
    <w:p>
      <w:pPr>
        <w:ind w:left="5540" w:right="3800" w:hanging="5472"/>
        <w:spacing w:after="0" w:line="657"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right="9300" w:firstLine="8"/>
        <w:spacing w:after="0" w:line="530" w:lineRule="auto"/>
        <w:tabs>
          <w:tab w:leader="none" w:pos="18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 </w:t>
      </w:r>
      <w:r>
        <w:rPr>
          <w:rFonts w:ascii="Times New Roman" w:cs="Times New Roman" w:eastAsia="Times New Roman" w:hAnsi="Times New Roman"/>
          <w:sz w:val="17"/>
          <w:szCs w:val="17"/>
          <w:u w:val="single" w:color="auto"/>
          <w:color w:val="auto"/>
        </w:rPr>
        <w:t>Credit Quality Indicators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Credit Quality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Indicator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Prior</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32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4,135,000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3,893,127</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$20,100,000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1,352,150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851,019</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$8,692,062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$39,023,358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64.83%</w:t>
            </w:r>
          </w:p>
        </w:tc>
      </w:tr>
      <w:tr>
        <w:trPr>
          <w:trHeight w:val="216"/>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10,432,942</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1,840,776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20,772,115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r>
      <w:tr>
        <w:trPr>
          <w:trHeight w:val="22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396,505</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396,505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83"/>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11,810,000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14,326,069</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21,940,776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2,175,547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1,247,524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8,692,062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60,191,978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17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13,893,127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$16,490,000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$5,382,415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$37,265,542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10,310,000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432,942</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5,450,776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2,175,547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1,247,524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3,309,647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22,926,436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29"/>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11,810,000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14,326,069</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21,940,776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2,175,547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1,247,524</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8,692,062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60,191,978</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Credit Quality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Indicator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Prior</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140" w:type="dxa"/>
            <w:vAlign w:val="bottom"/>
          </w:tcPr>
          <w:p>
            <w:pPr>
              <w:spacing w:after="0"/>
              <w:rPr>
                <w:sz w:val="20"/>
                <w:szCs w:val="20"/>
                <w:color w:val="auto"/>
              </w:rPr>
            </w:pP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3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7,653,600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$24,600,000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$2,352,150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864,128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$8,867,779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$44,337,657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140" w:type="dxa"/>
            <w:vAlign w:val="bottom"/>
          </w:tcPr>
          <w:p>
            <w:pPr>
              <w:spacing w:after="0"/>
              <w:rPr>
                <w:sz w:val="18"/>
                <w:szCs w:val="18"/>
                <w:color w:val="auto"/>
              </w:rPr>
            </w:pPr>
          </w:p>
        </w:tc>
      </w:tr>
      <w:tr>
        <w:trPr>
          <w:trHeight w:val="216"/>
        </w:trPr>
        <w:tc>
          <w:tcPr>
            <w:tcW w:w="1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10,432,942</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1,840,776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18,010,428</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140" w:type="dxa"/>
            <w:vAlign w:val="bottom"/>
          </w:tcPr>
          <w:p>
            <w:pPr>
              <w:spacing w:after="0"/>
              <w:rPr>
                <w:sz w:val="18"/>
                <w:szCs w:val="18"/>
                <w:color w:val="auto"/>
              </w:rPr>
            </w:pPr>
          </w:p>
        </w:tc>
      </w:tr>
      <w:tr>
        <w:trPr>
          <w:trHeight w:val="230"/>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140" w:type="dxa"/>
            <w:vAlign w:val="bottom"/>
          </w:tcPr>
          <w:p>
            <w:pPr>
              <w:spacing w:after="0"/>
              <w:rPr>
                <w:sz w:val="19"/>
                <w:szCs w:val="19"/>
                <w:color w:val="auto"/>
              </w:rPr>
            </w:pP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83"/>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18,086,542</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3,175,547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1,269,128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8,867,779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62,753,085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4"/>
                <w:szCs w:val="24"/>
                <w:color w:val="auto"/>
              </w:rPr>
            </w:pP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1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16,300,000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$20,990,000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$5,414,274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$48,617,587</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14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432,942</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5,450,776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1,269,128</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3,453,505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12,781,898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140" w:type="dxa"/>
            <w:vAlign w:val="bottom"/>
          </w:tcPr>
          <w:p>
            <w:pPr>
              <w:spacing w:after="0"/>
              <w:rPr>
                <w:sz w:val="18"/>
                <w:szCs w:val="18"/>
                <w:color w:val="auto"/>
              </w:rPr>
            </w:pPr>
          </w:p>
        </w:tc>
      </w:tr>
      <w:tr>
        <w:trPr>
          <w:trHeight w:val="229"/>
        </w:trPr>
        <w:tc>
          <w:tcPr>
            <w:tcW w:w="1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1,353,600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1,353,600</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18,086,542</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3,175,547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1,269,128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8,867,779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62,753,085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Credit Quality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Indicator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140" w:type="dxa"/>
            <w:vAlign w:val="bottom"/>
          </w:tcPr>
          <w:p>
            <w:pPr>
              <w:spacing w:after="0"/>
              <w:rPr>
                <w:sz w:val="20"/>
                <w:szCs w:val="20"/>
                <w:color w:val="auto"/>
              </w:rPr>
            </w:pPr>
          </w:p>
        </w:tc>
      </w:tr>
      <w:tr>
        <w:trPr>
          <w:trHeight w:val="169"/>
        </w:trPr>
        <w:tc>
          <w:tcPr>
            <w:tcW w:w="16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7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4,704,914</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13,891,863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10,790,191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42,397,698</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$3,353,866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14,472,243</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$89,610,775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140" w:type="dxa"/>
            <w:vAlign w:val="bottom"/>
          </w:tcPr>
          <w:p>
            <w:pPr>
              <w:spacing w:after="0"/>
              <w:rPr>
                <w:sz w:val="18"/>
                <w:szCs w:val="18"/>
                <w:color w:val="auto"/>
              </w:rPr>
            </w:pPr>
          </w:p>
        </w:tc>
      </w:tr>
      <w:tr>
        <w:trPr>
          <w:trHeight w:val="229"/>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2,501,101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794,108</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1,004,571</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4,299,780</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14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4,704,914</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13,891,863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13,291,292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43,191,806</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3,353,866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15,476,814</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93,910,555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19"/>
                <w:szCs w:val="19"/>
                <w:color w:val="auto"/>
              </w:rPr>
            </w:pPr>
          </w:p>
        </w:tc>
        <w:tc>
          <w:tcPr>
            <w:tcW w:w="820" w:type="dxa"/>
            <w:vAlign w:val="bottom"/>
            <w:tcBorders>
              <w:bottom w:val="single" w:sz="8" w:color="auto"/>
            </w:tcBorders>
            <w:gridSpan w:val="3"/>
          </w:tcPr>
          <w:p>
            <w:pPr>
              <w:spacing w:after="0"/>
              <w:rPr>
                <w:sz w:val="19"/>
                <w:szCs w:val="19"/>
                <w:color w:val="auto"/>
              </w:rPr>
            </w:pPr>
          </w:p>
        </w:tc>
        <w:tc>
          <w:tcPr>
            <w:tcW w:w="240" w:type="dxa"/>
            <w:vAlign w:val="bottom"/>
            <w:tcBorders>
              <w:bottom w:val="single" w:sz="8" w:color="auto"/>
            </w:tcBorders>
            <w:gridSpan w:val="4"/>
          </w:tcPr>
          <w:p>
            <w:pPr>
              <w:spacing w:after="0"/>
              <w:rPr>
                <w:sz w:val="19"/>
                <w:szCs w:val="19"/>
                <w:color w:val="auto"/>
              </w:rPr>
            </w:pPr>
          </w:p>
        </w:tc>
        <w:tc>
          <w:tcPr>
            <w:tcW w:w="880" w:type="dxa"/>
            <w:vAlign w:val="bottom"/>
            <w:gridSpan w:val="2"/>
          </w:tcPr>
          <w:p>
            <w:pPr>
              <w:spacing w:after="0"/>
              <w:rPr>
                <w:sz w:val="19"/>
                <w:szCs w:val="19"/>
                <w:color w:val="auto"/>
              </w:rPr>
            </w:pPr>
          </w:p>
        </w:tc>
        <w:tc>
          <w:tcPr>
            <w:tcW w:w="1100" w:type="dxa"/>
            <w:vAlign w:val="bottom"/>
            <w:gridSpan w:val="4"/>
          </w:tcPr>
          <w:p>
            <w:pPr>
              <w:spacing w:after="0"/>
              <w:rPr>
                <w:sz w:val="19"/>
                <w:szCs w:val="19"/>
                <w:color w:val="auto"/>
              </w:rPr>
            </w:pPr>
          </w:p>
        </w:tc>
        <w:tc>
          <w:tcPr>
            <w:tcW w:w="1100" w:type="dxa"/>
            <w:vAlign w:val="bottom"/>
            <w:gridSpan w:val="5"/>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610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$2,818,740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46"/>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30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256,928</w:t>
            </w:r>
          </w:p>
        </w:tc>
        <w:tc>
          <w:tcPr>
            <w:tcW w:w="16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5,654,269</w:t>
            </w:r>
          </w:p>
        </w:tc>
        <w:tc>
          <w:tcPr>
            <w:tcW w:w="2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4,874,062</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5,567,007</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$1,783,406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7,251,737</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$25,387,409</w:t>
            </w: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140" w:type="dxa"/>
            <w:vAlign w:val="bottom"/>
          </w:tcPr>
          <w:p>
            <w:pPr>
              <w:spacing w:after="0"/>
              <w:rPr>
                <w:sz w:val="18"/>
                <w:szCs w:val="18"/>
                <w:color w:val="auto"/>
              </w:rPr>
            </w:pPr>
          </w:p>
        </w:tc>
      </w:tr>
      <w:tr>
        <w:trPr>
          <w:trHeight w:val="216"/>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9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4,007,350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7,423,674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7,537,730</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35,601,976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7,479,051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63,620,241</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140" w:type="dxa"/>
            <w:vAlign w:val="bottom"/>
          </w:tcPr>
          <w:p>
            <w:pPr>
              <w:spacing w:after="0"/>
              <w:rPr>
                <w:sz w:val="18"/>
                <w:szCs w:val="18"/>
                <w:color w:val="auto"/>
              </w:rPr>
            </w:pPr>
          </w:p>
        </w:tc>
      </w:tr>
      <w:tr>
        <w:trPr>
          <w:trHeight w:val="230"/>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2,022,823</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746,026</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4,902,905</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140" w:type="dxa"/>
            <w:vAlign w:val="bottom"/>
          </w:tcPr>
          <w:p>
            <w:pPr>
              <w:spacing w:after="0"/>
              <w:rPr>
                <w:sz w:val="19"/>
                <w:szCs w:val="19"/>
                <w:color w:val="auto"/>
              </w:rPr>
            </w:pP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4,704,914</w:t>
            </w:r>
          </w:p>
        </w:tc>
        <w:tc>
          <w:tcPr>
            <w:tcW w:w="1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13,891,863</w:t>
            </w:r>
          </w:p>
        </w:tc>
        <w:tc>
          <w:tcPr>
            <w:tcW w:w="20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13,291,292</w:t>
            </w:r>
          </w:p>
        </w:tc>
        <w:tc>
          <w:tcPr>
            <w:tcW w:w="18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43,191,806</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3,353,866</w:t>
            </w:r>
          </w:p>
        </w:tc>
        <w:tc>
          <w:tcPr>
            <w:tcW w:w="20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15,476,814</w:t>
            </w:r>
          </w:p>
        </w:tc>
        <w:tc>
          <w:tcPr>
            <w:tcW w:w="18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93,910,555</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Credit Quality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Indicator</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140" w:type="dxa"/>
            <w:vAlign w:val="bottom"/>
          </w:tcPr>
          <w:p>
            <w:pPr>
              <w:spacing w:after="0"/>
              <w:rPr>
                <w:sz w:val="20"/>
                <w:szCs w:val="20"/>
                <w:color w:val="auto"/>
              </w:rPr>
            </w:pPr>
          </w:p>
        </w:tc>
      </w:tr>
      <w:tr>
        <w:trPr>
          <w:trHeight w:val="169"/>
        </w:trPr>
        <w:tc>
          <w:tcPr>
            <w:tcW w:w="16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217"/>
        </w:trPr>
        <w:tc>
          <w:tcPr>
            <w:tcW w:w="7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$14,861,098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10,030,848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42,634,670</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$3,076,901</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$5,513,462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8,940,966</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$85,057,945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140" w:type="dxa"/>
            <w:vAlign w:val="bottom"/>
          </w:tcPr>
          <w:p>
            <w:pPr>
              <w:spacing w:after="0"/>
              <w:rPr>
                <w:sz w:val="18"/>
                <w:szCs w:val="18"/>
                <w:color w:val="auto"/>
              </w:rPr>
            </w:pPr>
          </w:p>
        </w:tc>
      </w:tr>
      <w:tr>
        <w:trPr>
          <w:trHeight w:val="229"/>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3,442,992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1,451,039</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291,359</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311,116</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1,507,336</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7,003,842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14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14,861,098</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13,473,840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44,085,709</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3,368,260</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5,824,578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10,448,302</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92,061,787</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spacing w:after="0"/>
              <w:rPr>
                <w:sz w:val="19"/>
                <w:szCs w:val="19"/>
                <w:color w:val="auto"/>
              </w:rPr>
            </w:pPr>
          </w:p>
        </w:tc>
        <w:tc>
          <w:tcPr>
            <w:tcW w:w="1100" w:type="dxa"/>
            <w:vAlign w:val="bottom"/>
            <w:gridSpan w:val="4"/>
          </w:tcPr>
          <w:p>
            <w:pPr>
              <w:spacing w:after="0"/>
              <w:rPr>
                <w:sz w:val="19"/>
                <w:szCs w:val="19"/>
                <w:color w:val="auto"/>
              </w:rPr>
            </w:pPr>
          </w:p>
        </w:tc>
        <w:tc>
          <w:tcPr>
            <w:tcW w:w="1020" w:type="dxa"/>
            <w:vAlign w:val="bottom"/>
            <w:gridSpan w:val="4"/>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610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$3,942,392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46"/>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30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$ 6,241,730</w:t>
            </w:r>
          </w:p>
        </w:tc>
        <w:tc>
          <w:tcPr>
            <w:tcW w:w="12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4,931,376</w:t>
            </w:r>
          </w:p>
        </w:tc>
        <w:tc>
          <w:tcPr>
            <w:tcW w:w="2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5,488,954</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$1,790,036</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$2,440,002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5,273,672</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$26,165,770</w:t>
            </w: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140" w:type="dxa"/>
            <w:vAlign w:val="bottom"/>
          </w:tcPr>
          <w:p>
            <w:pPr>
              <w:spacing w:after="0"/>
              <w:rPr>
                <w:sz w:val="18"/>
                <w:szCs w:val="18"/>
                <w:color w:val="auto"/>
              </w:rPr>
            </w:pPr>
          </w:p>
        </w:tc>
      </w:tr>
      <w:tr>
        <w:trPr>
          <w:trHeight w:val="216"/>
        </w:trPr>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7,802,984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7,662,200</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37,509,634</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1,578,224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5,107,289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62,361,339</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140" w:type="dxa"/>
            <w:vAlign w:val="bottom"/>
          </w:tcPr>
          <w:p>
            <w:pPr>
              <w:spacing w:after="0"/>
              <w:rPr>
                <w:sz w:val="18"/>
                <w:szCs w:val="18"/>
                <w:color w:val="auto"/>
              </w:rPr>
            </w:pPr>
          </w:p>
        </w:tc>
      </w:tr>
      <w:tr>
        <w:trPr>
          <w:trHeight w:val="230"/>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816,384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1,087,121</w:t>
            </w:r>
          </w:p>
        </w:tc>
        <w:tc>
          <w:tcPr>
            <w:tcW w:w="1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683,568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67,341</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3,534,678</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140" w:type="dxa"/>
            <w:vAlign w:val="bottom"/>
          </w:tcPr>
          <w:p>
            <w:pPr>
              <w:spacing w:after="0"/>
              <w:rPr>
                <w:sz w:val="19"/>
                <w:szCs w:val="19"/>
                <w:color w:val="auto"/>
              </w:rPr>
            </w:pP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14,861,098</w:t>
            </w:r>
          </w:p>
        </w:tc>
        <w:tc>
          <w:tcPr>
            <w:tcW w:w="12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13,473,840</w:t>
            </w:r>
          </w:p>
        </w:tc>
        <w:tc>
          <w:tcPr>
            <w:tcW w:w="20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44,085,709</w:t>
            </w:r>
          </w:p>
        </w:tc>
        <w:tc>
          <w:tcPr>
            <w:tcW w:w="18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3,368,260</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5,824,578</w:t>
            </w:r>
          </w:p>
        </w:tc>
        <w:tc>
          <w:tcPr>
            <w:tcW w:w="20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10,448,302</w:t>
            </w:r>
          </w:p>
        </w:tc>
        <w:tc>
          <w:tcPr>
            <w:tcW w:w="18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92,061,787</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4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Credit Quality Indicator</w:t>
            </w: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89"/>
        </w:trPr>
        <w:tc>
          <w:tcPr>
            <w:tcW w:w="226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6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35,926,520</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109,676,549</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$13,869,615</w:t>
            </w:r>
          </w:p>
        </w:tc>
        <w:tc>
          <w:tcPr>
            <w:tcW w:w="94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$209,290</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$10,195,497</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169,877,471</w:t>
            </w:r>
          </w:p>
        </w:tc>
        <w:tc>
          <w:tcPr>
            <w:tcW w:w="7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35,926,520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109,676,549</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13,869,615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209,290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10,195,497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169,877,471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04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8,882,430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44,804,033</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$13,869,615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$209,290</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$10,195,497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77,960,865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26,680,356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64,872,516</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91,552,872</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30"/>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363,734</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363,734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35,926,520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109,676,549</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13,869,615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209,290</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10,195,497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169,877,471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0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118,863,944</w:t>
            </w:r>
          </w:p>
        </w:tc>
        <w:tc>
          <w:tcPr>
            <w:tcW w:w="112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$ 21,375,552</w:t>
            </w:r>
          </w:p>
        </w:tc>
        <w:tc>
          <w:tcPr>
            <w:tcW w:w="112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$ 972,468</w:t>
            </w:r>
          </w:p>
        </w:tc>
        <w:tc>
          <w:tcPr>
            <w:tcW w:w="116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$ 9,960,769</w:t>
            </w:r>
          </w:p>
        </w:tc>
        <w:tc>
          <w:tcPr>
            <w:tcW w:w="2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151,172,733</w:t>
            </w:r>
          </w:p>
        </w:tc>
        <w:tc>
          <w:tcPr>
            <w:tcW w:w="8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118,863,944</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$ 21,375,552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$ 972,468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$ 9,960,769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151,172,733</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6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48,065,177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$ 21,375,552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$ 518,590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$ 9,960,769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79,920,088</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70,798,767</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453,878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71,252,645</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118,863,944</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$ 21,375,552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$ 972,468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$ 9,960,769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151,172,733</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color w:val="auto"/>
                <w:w w:val="97"/>
              </w:rPr>
              <w:t>March 31,</w:t>
            </w:r>
          </w:p>
        </w:tc>
        <w:tc>
          <w:tcPr>
            <w:tcW w:w="18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11,138,384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8,785,184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2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4,436,355</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4,046,731</w:t>
            </w:r>
          </w:p>
        </w:tc>
        <w:tc>
          <w:tcPr>
            <w:tcW w:w="6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5,375,708</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5,320,216</w:t>
            </w:r>
          </w:p>
        </w:tc>
        <w:tc>
          <w:tcPr>
            <w:tcW w:w="60" w:type="dxa"/>
            <w:vAlign w:val="bottom"/>
            <w:shd w:val="clear" w:color="auto" w:fill="CCEEFF"/>
          </w:tcPr>
          <w:p>
            <w:pPr>
              <w:spacing w:after="0"/>
              <w:rPr>
                <w:sz w:val="19"/>
                <w:szCs w:val="19"/>
                <w:color w:val="auto"/>
              </w:rPr>
            </w:pPr>
          </w:p>
        </w:tc>
      </w:tr>
      <w:tr>
        <w:trPr>
          <w:trHeight w:val="20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20,950,447</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18,152,131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29,776,593</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30,341,727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50,727,040</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48,493,858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(1,517,783</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49,209,257</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past due or legal proceedings, it is monitored for write-off and collectability, and any adjustments to the allowance are recorded at that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293,798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(312,941)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28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1,517,783</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1,553,836</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250,567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(216,878)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8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3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6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9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(86,307)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(96,000)</w:t>
            </w:r>
          </w:p>
        </w:tc>
      </w:tr>
      <w:tr>
        <w:trPr>
          <w:trHeight w:val="216"/>
        </w:trPr>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114,127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(61,103)</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held at the end of the period</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273,477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1,542,863</w:t>
            </w:r>
          </w:p>
        </w:tc>
      </w:tr>
      <w:tr>
        <w:trPr>
          <w:trHeight w:val="216"/>
        </w:trPr>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394,525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249,960</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35,486</w:t>
            </w: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9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(75,108)</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586,021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includes gains and losses from cemetery perpetual care trust investments and the restricted assets of cemeteries and mortuaries and totaled $213,979 and $582,172 in net gains for the three month periods ended March 31, 2025 and 2024,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4,664,833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4,403,558</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192,631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168,148</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7,964,539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8,814,036</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2,959,711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3,515,061</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244,605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301,267</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5,732,150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5,076,549</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161,486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198,959</w:t>
            </w:r>
          </w:p>
        </w:tc>
      </w:tr>
      <w:tr>
        <w:trPr>
          <w:trHeight w:val="23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1,402,636</w:t>
            </w: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1,690,957</w:t>
            </w:r>
          </w:p>
        </w:tc>
      </w:tr>
      <w:tr>
        <w:trPr>
          <w:trHeight w:val="209"/>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23,322,591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24,168,535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(4,119,967)</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(4,221,967)</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19,202,624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19,946,568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cemeteries and mortuaries and totaled $146,838 and $933,551 for the three month periods ended March 31, 2025 and 2024,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4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As of March 31,</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w:t>
            </w:r>
          </w:p>
        </w:tc>
        <w:tc>
          <w:tcPr>
            <w:tcW w:w="2260" w:type="dxa"/>
            <w:vAlign w:val="bottom"/>
          </w:tcPr>
          <w:p>
            <w:pPr>
              <w:spacing w:after="0"/>
              <w:rPr>
                <w:sz w:val="24"/>
                <w:szCs w:val="24"/>
                <w:color w:val="auto"/>
              </w:rPr>
            </w:pPr>
          </w:p>
        </w:tc>
      </w:tr>
      <w:tr>
        <w:trPr>
          <w:trHeight w:val="234"/>
        </w:trPr>
        <w:tc>
          <w:tcPr>
            <w:tcW w:w="46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4,368,511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3,795,581</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13,258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11,049</w:t>
            </w:r>
          </w:p>
        </w:tc>
        <w:tc>
          <w:tcPr>
            <w:tcW w:w="2260" w:type="dxa"/>
            <w:vAlign w:val="bottom"/>
          </w:tcPr>
          <w:p>
            <w:pPr>
              <w:spacing w:after="0"/>
              <w:rPr>
                <w:sz w:val="18"/>
                <w:szCs w:val="18"/>
                <w:color w:val="auto"/>
              </w:rPr>
            </w:pPr>
          </w:p>
        </w:tc>
      </w:tr>
      <w:tr>
        <w:trPr>
          <w:trHeight w:val="216"/>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956,485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1,049,489</w:t>
            </w:r>
          </w:p>
        </w:tc>
        <w:tc>
          <w:tcPr>
            <w:tcW w:w="2260" w:type="dxa"/>
            <w:vAlign w:val="bottom"/>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4,146,465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3,559,463</w:t>
            </w:r>
          </w:p>
        </w:tc>
        <w:tc>
          <w:tcPr>
            <w:tcW w:w="2260" w:type="dxa"/>
            <w:vAlign w:val="bottom"/>
          </w:tcPr>
          <w:p>
            <w:pPr>
              <w:spacing w:after="0"/>
              <w:rPr>
                <w:sz w:val="18"/>
                <w:szCs w:val="18"/>
                <w:color w:val="auto"/>
              </w:rPr>
            </w:pPr>
          </w:p>
        </w:tc>
      </w:tr>
      <w:tr>
        <w:trPr>
          <w:trHeight w:val="216"/>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investments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30"/>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85,213</w:t>
            </w: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83,586</w:t>
            </w:r>
          </w:p>
        </w:tc>
        <w:tc>
          <w:tcPr>
            <w:tcW w:w="2260" w:type="dxa"/>
            <w:vAlign w:val="bottom"/>
          </w:tcPr>
          <w:p>
            <w:pPr>
              <w:spacing w:after="0"/>
              <w:rPr>
                <w:sz w:val="19"/>
                <w:szCs w:val="19"/>
                <w:color w:val="auto"/>
              </w:rPr>
            </w:pPr>
          </w:p>
        </w:tc>
      </w:tr>
      <w:tr>
        <w:trPr>
          <w:trHeight w:val="223"/>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9,574,599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31</w:t>
            </w: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31,</w:t>
            </w:r>
          </w:p>
        </w:tc>
        <w:tc>
          <w:tcPr>
            <w:tcW w:w="100" w:type="dxa"/>
            <w:vAlign w:val="bottom"/>
          </w:tcPr>
          <w:p>
            <w:pPr>
              <w:spacing w:after="0"/>
              <w:rPr>
                <w:sz w:val="18"/>
                <w:szCs w:val="18"/>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 of December</w:t>
            </w:r>
          </w:p>
        </w:tc>
      </w:tr>
      <w:tr>
        <w:trPr>
          <w:trHeight w:val="234"/>
        </w:trPr>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31, 2024</w:t>
            </w:r>
          </w:p>
        </w:tc>
        <w:tc>
          <w:tcPr>
            <w:tcW w:w="6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139,834,226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131,181,148</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136,957,745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128,948,072</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2,876,481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2,233,076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6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5,254,090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5,520,465</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1,667,434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1,482,819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16,954,943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14,730,974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474,540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561,778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641,268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(300,890)</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(183,034)</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(163,476)</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24,809,241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Charge-offs, net of recaptured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5715</wp:posOffset>
            </wp:positionV>
            <wp:extent cx="570039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943" w:hanging="943"/>
        <w:spacing w:after="0"/>
        <w:tabs>
          <w:tab w:leader="none" w:pos="9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696,626</w:t>
      </w:r>
    </w:p>
    <w:p>
      <w:pPr>
        <w:spacing w:after="0" w:line="22" w:lineRule="exact"/>
        <w:rPr>
          <w:rFonts w:ascii="Times New Roman" w:cs="Times New Roman" w:eastAsia="Times New Roman" w:hAnsi="Times New Roman"/>
          <w:sz w:val="18"/>
          <w:szCs w:val="18"/>
          <w:color w:val="auto"/>
        </w:rPr>
      </w:pPr>
    </w:p>
    <w:p>
      <w:pPr>
        <w:ind w:left="9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5715</wp:posOffset>
            </wp:positionV>
            <wp:extent cx="570039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(177,769)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943" w:hanging="943"/>
        <w:spacing w:after="0"/>
        <w:tabs>
          <w:tab w:leader="none" w:pos="9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701,891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ind w:left="941" w:hanging="941"/>
        <w:spacing w:after="0"/>
        <w:tabs>
          <w:tab w:leader="none" w:pos="9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547,233</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932,154</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(782,761)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941" w:hanging="941"/>
        <w:spacing w:after="0"/>
        <w:tabs>
          <w:tab w:leader="none" w:pos="9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877" w:space="720"/>
            <w:col w:w="1583" w:space="199"/>
            <w:col w:w="3861"/>
          </w:cols>
          <w:pgMar w:left="320" w:top="688" w:right="339" w:bottom="1440" w:gutter="0" w:footer="0" w:header="0"/>
          <w:type w:val="continuous"/>
        </w:sectPr>
      </w:pP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three month periods ended March 31, 2025 and 2024, $183,034 and $163,476 in reserves, respectively, were added at a rate of 3.5 basis points per loan, the equivalent of $350 per $1,000,000 in loans originated. The Company monitors market data and trends and, economic conditions (including forecasts), and uses its own experience to determine adequate loss reserves on current production.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Stock based compensation expense for stock options issued of $299,272 and $198,998 has been recognized for these plans for the three month periods ended March 31, 2025 and 2024, respectively, and is included in personnel expenses on the condensed consolidated statements of earnings. As of March 31, 2025, the total unrecognized compensation expense related to the options issued was $873,138 which is expected to be recognized over the remaining vesting period.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stock option plans during the three month period ended March 31,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Number of</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4"/>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C Shares</w:t>
            </w:r>
          </w:p>
        </w:tc>
        <w:tc>
          <w:tcPr>
            <w:tcW w:w="14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20"/>
                <w:szCs w:val="20"/>
                <w:color w:val="auto"/>
              </w:rPr>
            </w:pPr>
          </w:p>
        </w:tc>
      </w:tr>
      <w:tr>
        <w:trPr>
          <w:trHeight w:val="209"/>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646,594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1,724,400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(112,735)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1,611,377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501,834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1,363,881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196"/>
        </w:trPr>
        <w:tc>
          <w:tcPr>
            <w:tcW w:w="4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146,238</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6.64 years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6.16 years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 March</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 (1)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3,269,071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7,406,757</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 March</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 (1)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3,305,118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7,676,614</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$12.10 as of March 31, 2025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stock option plans during the three month period ended March 31, 2024,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March 31, 2024</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March 31,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March 31, 2024 (1)</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March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34"/>
        </w:trPr>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833,570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850,070</w:t>
            </w:r>
          </w:p>
        </w:tc>
        <w:tc>
          <w:tcPr>
            <w:tcW w:w="48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765,695</w:t>
            </w:r>
          </w:p>
        </w:tc>
        <w:tc>
          <w:tcPr>
            <w:tcW w:w="480" w:type="dxa"/>
            <w:vAlign w:val="bottom"/>
            <w:gridSpan w:val="2"/>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years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years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2,230,953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2,246,543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-3376930</wp:posOffset>
            </wp:positionV>
            <wp:extent cx="64122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-3102610</wp:posOffset>
            </wp:positionV>
            <wp:extent cx="641223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-2502535</wp:posOffset>
            </wp:positionV>
            <wp:extent cx="64122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-1593850</wp:posOffset>
            </wp:positionV>
            <wp:extent cx="641223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-1182370</wp:posOffset>
            </wp:positionV>
            <wp:extent cx="641223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-770890</wp:posOffset>
            </wp:positionV>
            <wp:extent cx="641223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3003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-316865</wp:posOffset>
            </wp:positionV>
            <wp:extent cx="641223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3003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-1910715</wp:posOffset>
            </wp:positionV>
            <wp:extent cx="641223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-2202815</wp:posOffset>
            </wp:positionV>
            <wp:extent cx="641223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-2819400</wp:posOffset>
            </wp:positionV>
            <wp:extent cx="64122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Class C Shares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1,520,062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1,520,062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02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529,750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6.25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5.83 years</w:t>
      </w:r>
    </w:p>
    <w:p>
      <w:pPr>
        <w:spacing w:after="0" w:line="200" w:lineRule="exact"/>
        <w:rPr>
          <w:sz w:val="20"/>
          <w:szCs w:val="20"/>
          <w:color w:val="auto"/>
        </w:rPr>
      </w:pPr>
    </w:p>
    <w:p>
      <w:pPr>
        <w:spacing w:after="0" w:line="268" w:lineRule="exact"/>
        <w:rPr>
          <w:sz w:val="20"/>
          <w:szCs w:val="20"/>
          <w:color w:val="auto"/>
        </w:rPr>
      </w:pPr>
    </w:p>
    <w:p>
      <w:pPr>
        <w:ind w:left="400" w:hanging="393"/>
        <w:spacing w:after="0"/>
        <w:tabs>
          <w:tab w:leader="none" w:pos="400"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3,108,691</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400" w:hanging="393"/>
        <w:spacing w:after="0"/>
        <w:tabs>
          <w:tab w:leader="none" w:pos="400"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3,146,491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2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-419100</wp:posOffset>
            </wp:positionV>
            <wp:extent cx="702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218"/>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218"/>
        <w:spacing w:after="0"/>
        <w:rPr>
          <w:sz w:val="20"/>
          <w:szCs w:val="20"/>
          <w:color w:val="auto"/>
        </w:rPr>
      </w:pPr>
      <w:r>
        <w:rPr>
          <w:rFonts w:ascii="Times New Roman" w:cs="Times New Roman" w:eastAsia="Times New Roman" w:hAnsi="Times New Roman"/>
          <w:sz w:val="18"/>
          <w:szCs w:val="18"/>
          <w:color w:val="auto"/>
        </w:rPr>
        <w:t>Average</w:t>
      </w:r>
    </w:p>
    <w:p>
      <w:pPr>
        <w:spacing w:after="0" w:line="9" w:lineRule="exact"/>
        <w:rPr>
          <w:sz w:val="20"/>
          <w:szCs w:val="20"/>
          <w:color w:val="auto"/>
        </w:rPr>
      </w:pPr>
    </w:p>
    <w:p>
      <w:pPr>
        <w:jc w:val="center"/>
        <w:ind w:right="1218"/>
        <w:spacing w:after="0"/>
        <w:rPr>
          <w:sz w:val="20"/>
          <w:szCs w:val="20"/>
          <w:color w:val="auto"/>
        </w:rPr>
      </w:pPr>
      <w:r>
        <w:rPr>
          <w:rFonts w:ascii="Times New Roman" w:cs="Times New Roman" w:eastAsia="Times New Roman" w:hAnsi="Times New Roman"/>
          <w:sz w:val="18"/>
          <w:szCs w:val="18"/>
          <w:u w:val="single" w:color="auto"/>
          <w:color w:val="auto"/>
        </w:rPr>
        <w:t>Exercise Price</w:t>
      </w:r>
    </w:p>
    <w:p>
      <w:pPr>
        <w:spacing w:after="0" w:line="220" w:lineRule="exact"/>
        <w:rPr>
          <w:sz w:val="20"/>
          <w:szCs w:val="20"/>
          <w:color w:val="auto"/>
        </w:rPr>
      </w:pPr>
    </w:p>
    <w:p>
      <w:pPr>
        <w:ind w:left="782" w:hanging="782"/>
        <w:spacing w:after="0"/>
        <w:tabs>
          <w:tab w:leader="none" w:pos="7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2" w:hanging="782"/>
        <w:spacing w:after="0"/>
        <w:tabs>
          <w:tab w:leader="none" w:pos="7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782" w:hanging="782"/>
        <w:spacing w:after="0"/>
        <w:tabs>
          <w:tab w:leader="none" w:pos="7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w:t>
      </w:r>
    </w:p>
    <w:p>
      <w:pPr>
        <w:spacing w:after="0" w:line="3737" w:lineRule="exact"/>
        <w:rPr>
          <w:sz w:val="20"/>
          <w:szCs w:val="20"/>
          <w:color w:val="auto"/>
        </w:rPr>
      </w:pPr>
    </w:p>
    <w:p>
      <w:pPr>
        <w:sectPr>
          <w:pgSz w:w="11900" w:h="16838" w:orient="portrait"/>
          <w:cols w:equalWidth="0" w:num="4">
            <w:col w:w="4340" w:space="320"/>
            <w:col w:w="2560" w:space="300"/>
            <w:col w:w="1120" w:space="278"/>
            <w:col w:w="2322"/>
          </w:cols>
          <w:pgMar w:left="320" w:top="688" w:right="339" w:bottom="1440" w:gutter="0" w:footer="0" w:header="0"/>
          <w:type w:val="continuous"/>
        </w:sectPr>
      </w:pPr>
    </w:p>
    <w:p>
      <w:pPr>
        <w:spacing w:after="0" w:line="25" w:lineRule="exact"/>
        <w:rPr>
          <w:sz w:val="20"/>
          <w:szCs w:val="20"/>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$7.91 as of March 31, 2024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three month periods ended March 31, 2025 and 2024 was $1,357,776 and nil,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RSUs issued of $9,988 and $889 has been recognized under these plans for the three month periods ended March 31, 2025 and 2024, respectively, and is included in personnel expenses on the condensed consolidated statements of earnings. The fair value of each RSU granted is determined by the Company’s stock price on the date of the grant. As of March 31, 2025, the total unrecognized compensation expense related to the RSUs issued was $27,311, which is expected to be recognized over the remaining vesting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 month period ended March 31,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16"/>
        </w:trPr>
        <w:tc>
          <w:tcPr>
            <w:tcW w:w="5600" w:type="dxa"/>
            <w:vAlign w:val="bottom"/>
          </w:tcPr>
          <w:p>
            <w:pPr>
              <w:spacing w:after="0"/>
              <w:rPr>
                <w:sz w:val="18"/>
                <w:szCs w:val="18"/>
                <w:color w:val="auto"/>
              </w:rPr>
            </w:pP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5600" w:type="dxa"/>
            <w:vAlign w:val="bottom"/>
          </w:tcPr>
          <w:p>
            <w:pPr>
              <w:spacing w:after="0"/>
              <w:rPr>
                <w:sz w:val="20"/>
                <w:szCs w:val="20"/>
                <w:color w:val="auto"/>
              </w:rPr>
            </w:pPr>
          </w:p>
        </w:tc>
        <w:tc>
          <w:tcPr>
            <w:tcW w:w="17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w:t>
            </w:r>
          </w:p>
        </w:tc>
      </w:tr>
      <w:tr>
        <w:trPr>
          <w:trHeight w:val="197"/>
        </w:trPr>
        <w:tc>
          <w:tcPr>
            <w:tcW w:w="5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 month period ended March 31,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226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226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c>
          <w:tcPr>
            <w:tcW w:w="2260" w:type="dxa"/>
            <w:vAlign w:val="bottom"/>
          </w:tcPr>
          <w:p>
            <w:pPr>
              <w:spacing w:after="0"/>
              <w:rPr>
                <w:sz w:val="20"/>
                <w:szCs w:val="20"/>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6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w:t>
            </w:r>
          </w:p>
        </w:tc>
        <w:tc>
          <w:tcPr>
            <w:tcW w:w="2260" w:type="dxa"/>
            <w:vAlign w:val="bottom"/>
          </w:tcPr>
          <w:p>
            <w:pPr>
              <w:spacing w:after="0"/>
              <w:rPr>
                <w:sz w:val="22"/>
                <w:szCs w:val="22"/>
                <w:color w:val="auto"/>
              </w:rPr>
            </w:pPr>
          </w:p>
        </w:tc>
      </w:tr>
      <w:tr>
        <w:trPr>
          <w:trHeight w:val="197"/>
        </w:trPr>
        <w:tc>
          <w:tcPr>
            <w:tcW w:w="4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60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0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8"/>
                <w:szCs w:val="18"/>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4,338,292</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197"/>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23,521,451</w:t>
            </w:r>
          </w:p>
        </w:tc>
        <w:tc>
          <w:tcPr>
            <w:tcW w:w="6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23,325,136</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944,992</w:t>
            </w:r>
          </w:p>
        </w:tc>
        <w:tc>
          <w:tcPr>
            <w:tcW w:w="6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762,670</w:t>
            </w: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24,466,443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2025 and 2024, there were 382,700 and 467,125 anti-dilutive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600" w:type="dxa"/>
            <w:vAlign w:val="bottom"/>
          </w:tcPr>
          <w:p>
            <w:pPr>
              <w:spacing w:after="0"/>
              <w:rPr>
                <w:sz w:val="24"/>
                <w:szCs w:val="24"/>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Class C</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21,255,006</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66,273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95,337</w:t>
            </w: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at March 31, 2025</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21,321,739</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3,417,170</w:t>
            </w: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Outstanding shares at December 31, 2023 (1)</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March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21,052,883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3,120,432</w:t>
            </w:r>
          </w:p>
        </w:tc>
        <w:tc>
          <w:tcPr>
            <w:tcW w:w="60" w:type="dxa"/>
            <w:vAlign w:val="bottom"/>
          </w:tcPr>
          <w:p>
            <w:pPr>
              <w:spacing w:after="0"/>
              <w:rPr>
                <w:sz w:val="20"/>
                <w:szCs w:val="20"/>
                <w:color w:val="auto"/>
              </w:rPr>
            </w:pPr>
          </w:p>
        </w:tc>
      </w:tr>
      <w:tr>
        <w:trPr>
          <w:trHeight w:val="395"/>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4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5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21,053,462</w:t>
            </w:r>
          </w:p>
        </w:tc>
        <w:tc>
          <w:tcPr>
            <w:tcW w:w="26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3,120,258</w:t>
            </w:r>
          </w:p>
        </w:tc>
        <w:tc>
          <w:tcPr>
            <w:tcW w:w="6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-745490</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-471170</wp:posOffset>
            </wp:positionV>
            <wp:extent cx="570039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-179705</wp:posOffset>
            </wp:positionV>
            <wp:extent cx="570039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9" w:name="page40"/>
    <w:bookmarkEnd w:id="3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three operating and reportable business segments: life insurance, cemetery and mortuary, and mortgage. The Company’s life insurance segment’s revenue consists of life insurance premiums, fees earned on factored life insurance policies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cemetery and mortuary segment’s revenue consists of fees from the sale of at-need cemetery and mortuary merchandise, services at its mortuaries and cemeteries, pre-need sales of cemetery spaces after collection of 10% or more of the purchase price and the net investment income from investing surplus cash. Its expenses include operating expenses to maintain mortuary and cemetery operations and commissions related to the sale of insurance products sold by the Company’s agents. The Company’s mortgage segment’s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and Cost Sharing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Part II, Item 8, Note 1 - Significant Accounting Policies of the Company’s Annual Report on Form 10-K for the year ended December 31, 2024.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Company’s Operating and Reportable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Chief Operating Decision Maker (“CODM”)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 over month and year over 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ind w:left="520" w:right="250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For the Three Months Ended March 31, 2025</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8"/>
              </w:rPr>
              <w:t>Cemetery/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Mortuary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29,779,525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7,300,221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24,809,241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61,888,987</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18,630,945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19,202,624</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290,534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586,021</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1,062,091</w:t>
            </w:r>
          </w:p>
        </w:tc>
      </w:tr>
      <w:tr>
        <w:trPr>
          <w:trHeight w:val="230"/>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1,319,923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83,836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1,525,627</w:t>
            </w:r>
          </w:p>
        </w:tc>
      </w:tr>
      <w:tr>
        <w:trPr>
          <w:trHeight w:val="209"/>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50,606,525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25,455,695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84,265,350</w:t>
            </w:r>
          </w:p>
        </w:tc>
        <w:tc>
          <w:tcPr>
            <w:tcW w:w="80" w:type="dxa"/>
            <w:vAlign w:val="bottom"/>
            <w:tcBorders>
              <w:bottom w:val="single" w:sz="8" w:color="CCEEFF"/>
            </w:tcBorders>
          </w:tcPr>
          <w:p>
            <w:pPr>
              <w:spacing w:after="0"/>
              <w:rPr>
                <w:sz w:val="18"/>
                <w:szCs w:val="18"/>
                <w:color w:val="auto"/>
              </w:rPr>
            </w:pPr>
          </w:p>
        </w:tc>
      </w:tr>
      <w:tr>
        <w:trPr>
          <w:trHeight w:val="209"/>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(1,525,627)</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82,739,723</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16,045,465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8,988,057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4,522,570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9,367,618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8,526,188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2,538,026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11,118,194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151,609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242,812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4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considerations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718,071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2,624,538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1,642,444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205,558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87,441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1,232,628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906,447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1,181,211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534,844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(483,453)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4,146,156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1,703,257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(1,511,121)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4,338,292</w:t>
            </w:r>
          </w:p>
        </w:tc>
        <w:tc>
          <w:tcPr>
            <w:tcW w:w="80" w:type="dxa"/>
            <w:vAlign w:val="bottom"/>
            <w:tcBorders>
              <w:bottom w:val="single" w:sz="8" w:color="CCEEFF"/>
            </w:tcBorders>
          </w:tcPr>
          <w:p>
            <w:pPr>
              <w:spacing w:after="0"/>
              <w:rPr>
                <w:sz w:val="19"/>
                <w:szCs w:val="19"/>
                <w:color w:val="auto"/>
              </w:rPr>
            </w:pPr>
          </w:p>
        </w:tc>
      </w:tr>
      <w:tr>
        <w:trPr>
          <w:trHeight w:val="210"/>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4,338,292</w:t>
            </w:r>
          </w:p>
        </w:tc>
      </w:tr>
      <w:tr>
        <w:trPr>
          <w:trHeight w:val="197"/>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1,406,921,748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108,399,058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100,755,930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1,616,076,736</w:t>
            </w: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(91,826,406)</w:t>
            </w:r>
          </w:p>
        </w:tc>
      </w:tr>
      <w:tr>
        <w:trPr>
          <w:trHeight w:val="223"/>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1,524,250,330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16,717,670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257,933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17,084,737</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right="250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right="198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440"/>
        <w:spacing w:after="0" w:line="265" w:lineRule="auto"/>
        <w:rPr>
          <w:sz w:val="20"/>
          <w:szCs w:val="20"/>
          <w:color w:val="auto"/>
        </w:rPr>
      </w:pPr>
      <w:r>
        <w:rPr>
          <w:rFonts w:ascii="Times New Roman" w:cs="Times New Roman" w:eastAsia="Times New Roman" w:hAnsi="Times New Roman"/>
          <w:sz w:val="17"/>
          <w:szCs w:val="17"/>
          <w:color w:val="auto"/>
        </w:rPr>
        <w:t>Mortgage - bad debt, insurance expenses, professional service expenses, business license and registration fees, dues and subscriptions, amortization expense of mortgage servicing rights, and certain overhead expenses.</w:t>
      </w:r>
    </w:p>
    <w:p>
      <w:pPr>
        <w:ind w:left="660" w:right="5920" w:hanging="652"/>
        <w:spacing w:after="0" w:line="265" w:lineRule="auto"/>
        <w:tabs>
          <w:tab w:leader="none" w:pos="3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688" w:right="539" w:bottom="407"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For the Three Months Ended March 31, 2024</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8"/>
              </w:rPr>
              <w:t>Cemetery/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Mortuary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29,852,093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6,948,491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21,831,670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58,632,254</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18,612,363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1,084,192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19,946,568</w:t>
            </w: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1,669,426</w:t>
            </w: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172,733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939,950</w:t>
            </w:r>
          </w:p>
        </w:tc>
      </w:tr>
      <w:tr>
        <w:trPr>
          <w:trHeight w:val="230"/>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1,379,575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84,768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1,610,949</w:t>
            </w:r>
          </w:p>
        </w:tc>
      </w:tr>
      <w:tr>
        <w:trPr>
          <w:trHeight w:val="209"/>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51,350,210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8,872,346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22,576,591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82,799,147</w:t>
            </w:r>
          </w:p>
        </w:tc>
        <w:tc>
          <w:tcPr>
            <w:tcW w:w="80" w:type="dxa"/>
            <w:vAlign w:val="bottom"/>
            <w:tcBorders>
              <w:bottom w:val="single" w:sz="8" w:color="CCEEFF"/>
            </w:tcBorders>
          </w:tcPr>
          <w:p>
            <w:pPr>
              <w:spacing w:after="0"/>
              <w:rPr>
                <w:sz w:val="18"/>
                <w:szCs w:val="18"/>
                <w:color w:val="auto"/>
              </w:rPr>
            </w:pPr>
          </w:p>
        </w:tc>
      </w:tr>
      <w:tr>
        <w:trPr>
          <w:trHeight w:val="209"/>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(1,610,949)</w:t>
            </w:r>
          </w:p>
        </w:tc>
      </w:tr>
      <w:tr>
        <w:trPr>
          <w:trHeight w:val="209"/>
        </w:trPr>
        <w:tc>
          <w:tcPr>
            <w:tcW w:w="4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81,188,198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15,713,753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9,345,887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4,509,432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234,481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406,498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231,785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7,342,934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7,231,308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2,309,726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10,314,101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224,077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206,605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206,299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4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considerations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760,959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1,830,106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231,374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931,159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1,817,069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786,854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(459,134)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6,712,440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2,266,567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(1,504,485)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7,474,522</w:t>
            </w:r>
          </w:p>
        </w:tc>
        <w:tc>
          <w:tcPr>
            <w:tcW w:w="80" w:type="dxa"/>
            <w:vAlign w:val="bottom"/>
            <w:tcBorders>
              <w:bottom w:val="single" w:sz="8" w:color="CCEEFF"/>
            </w:tcBorders>
          </w:tcPr>
          <w:p>
            <w:pPr>
              <w:spacing w:after="0"/>
              <w:rPr>
                <w:sz w:val="19"/>
                <w:szCs w:val="19"/>
                <w:color w:val="auto"/>
              </w:rPr>
            </w:pPr>
          </w:p>
        </w:tc>
      </w:tr>
      <w:tr>
        <w:trPr>
          <w:trHeight w:val="210"/>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7,474,522</w:t>
            </w:r>
          </w:p>
        </w:tc>
      </w:tr>
      <w:tr>
        <w:trPr>
          <w:trHeight w:val="197"/>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1,341,500,414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99,346,510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94,563,032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1,535,409,956</w:t>
            </w: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(94,161,443)</w:t>
            </w:r>
          </w:p>
        </w:tc>
      </w:tr>
      <w:tr>
        <w:trPr>
          <w:trHeight w:val="223"/>
        </w:trPr>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1,441,248,513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17,835,137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140,367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17,996,910</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right="270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right="218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640"/>
        <w:spacing w:after="0" w:line="265" w:lineRule="auto"/>
        <w:rPr>
          <w:sz w:val="20"/>
          <w:szCs w:val="20"/>
          <w:color w:val="auto"/>
        </w:rPr>
      </w:pPr>
      <w:r>
        <w:rPr>
          <w:rFonts w:ascii="Times New Roman" w:cs="Times New Roman" w:eastAsia="Times New Roman" w:hAnsi="Times New Roman"/>
          <w:sz w:val="17"/>
          <w:szCs w:val="17"/>
          <w:color w:val="auto"/>
        </w:rPr>
        <w:t>Mortgage - bad debt, insurance expenses, professional service expenses, business license and registration fees, dues and subscriptions, amortization expense of mortgage servicing rights, and certain overhead expenses.</w:t>
      </w:r>
    </w:p>
    <w:p>
      <w:pPr>
        <w:ind w:left="660" w:right="6120" w:hanging="652"/>
        <w:spacing w:after="0" w:line="265" w:lineRule="auto"/>
        <w:tabs>
          <w:tab w:leader="none" w:pos="3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07"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right="7340" w:firstLine="8"/>
        <w:spacing w:after="0" w:line="499" w:lineRule="auto"/>
        <w:tabs>
          <w:tab w:leader="none" w:pos="1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fair value determination will generally be weighed more heavily toward the rental analysis.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371,212,032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370,061,728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1,150,304</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15,973,782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15,973,782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139,834,226</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139,834,226</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2,352,472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2,352,472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10,558,353</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10,558,353</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769,914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769,914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5,071,739</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5,071,739</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3,016,606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3,016,606</w:t>
            </w:r>
          </w:p>
        </w:tc>
        <w:tc>
          <w:tcPr>
            <w:tcW w:w="80" w:type="dxa"/>
            <w:vAlign w:val="bottom"/>
            <w:shd w:val="clear" w:color="auto" w:fill="CCEEFF"/>
          </w:tcPr>
          <w:p>
            <w:pPr>
              <w:spacing w:after="0"/>
              <w:rPr>
                <w:sz w:val="19"/>
                <w:szCs w:val="19"/>
                <w:color w:val="auto"/>
              </w:rPr>
            </w:pPr>
          </w:p>
        </w:tc>
      </w:tr>
      <w:tr>
        <w:trPr>
          <w:trHeight w:val="26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548,789,124</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31,603,874</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373,184,114</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144,001,136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(228,856)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(228,856)</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(228,856</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condensed consolidated balance sheets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366,546,129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365,396,203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131,181,148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2,351,369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2,351,369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769,662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5,348,089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536,860,288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30,663,891</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368,517,234</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137,679,163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(3,034,879)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(3,034,879)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condensed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March 31, 2025,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00" w:type="dxa"/>
            <w:vAlign w:val="bottom"/>
          </w:tcPr>
          <w:p>
            <w:pPr>
              <w:spacing w:after="0"/>
              <w:rPr>
                <w:sz w:val="21"/>
                <w:szCs w:val="21"/>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Fair Value at</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80" w:type="dxa"/>
            <w:vAlign w:val="bottom"/>
          </w:tcPr>
          <w:p>
            <w:pPr>
              <w:spacing w:after="0"/>
              <w:rPr>
                <w:sz w:val="21"/>
                <w:szCs w:val="21"/>
                <w:color w:val="auto"/>
              </w:rPr>
            </w:pPr>
          </w:p>
        </w:tc>
        <w:tc>
          <w:tcPr>
            <w:tcW w:w="2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March 31,</w:t>
            </w: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7"/>
                <w:szCs w:val="17"/>
                <w:color w:val="auto"/>
              </w:rPr>
            </w:pPr>
          </w:p>
        </w:tc>
        <w:tc>
          <w:tcPr>
            <w:tcW w:w="154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28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8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300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Input(s)</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30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$ 139,834,226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(net)</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2,787,750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241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 bps</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1,150,304</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2024,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00" w:type="dxa"/>
            <w:vAlign w:val="bottom"/>
          </w:tcPr>
          <w:p>
            <w:pPr>
              <w:spacing w:after="0"/>
              <w:rPr>
                <w:sz w:val="21"/>
                <w:szCs w:val="21"/>
                <w:color w:val="auto"/>
              </w:rPr>
            </w:pPr>
          </w:p>
        </w:tc>
        <w:tc>
          <w:tcPr>
            <w:tcW w:w="1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Fair Value at</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80" w:type="dxa"/>
            <w:vAlign w:val="bottom"/>
          </w:tcPr>
          <w:p>
            <w:pPr>
              <w:spacing w:after="0"/>
              <w:rPr>
                <w:sz w:val="21"/>
                <w:szCs w:val="21"/>
                <w:color w:val="auto"/>
              </w:rPr>
            </w:pPr>
          </w:p>
        </w:tc>
        <w:tc>
          <w:tcPr>
            <w:tcW w:w="2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7"/>
                <w:szCs w:val="17"/>
                <w:color w:val="auto"/>
              </w:rPr>
            </w:pPr>
          </w:p>
        </w:tc>
        <w:tc>
          <w:tcPr>
            <w:tcW w:w="154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28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8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300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Input(s)</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30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$ 131,181,148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(net)</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2,313,210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 bps</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1,149,926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100.16</w:t>
            </w:r>
          </w:p>
        </w:tc>
      </w:tr>
      <w:tr>
        <w:trPr>
          <w:trHeight w:val="432"/>
        </w:trPr>
        <w:tc>
          <w:tcPr>
            <w:tcW w:w="3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517,886,377</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(521,382,576)</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474,540(1)</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12,149,277(1)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19"/>
                <w:szCs w:val="19"/>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2,787,750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139,834,226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465,605,114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(486,050,938)</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0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(1,867,552)</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561,778(1)</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9,302,121(1)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19"/>
                <w:szCs w:val="19"/>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(6,469)</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2,145,040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112,678,958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March 31, 2025 or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March 31, 2025 and December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91,797,424</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92,626,433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92,626,433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168,826,209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168,826,209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168,826,209</w:t>
            </w: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58,821,648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58,679,031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58,679,031</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319,445,281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320,131,673</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320,131,673</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14,183,492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14,183,492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14,183,492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49,209,257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49,209,257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49,209,257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1,035,160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1,035,160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1,035,160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1,194,905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1,194,905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1,194,905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2,839,548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4,288,738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4,288,738</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(122,823,346)</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(109,056,311)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(109,056,311)</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(36,925,691)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(36,981,073)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(36,981,073)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(105,461,353)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(104,853,294)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(104,853,294)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condensed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89,780,350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90,168,328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90,168,328</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150,211,240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150,211,240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150,211,240</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61,755,768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60,864,775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60,864,775</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14,019,248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14,019,248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46,956,932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46,956,932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46,956,932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983,834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983,834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2,141,464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2,141,464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2,141,464</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2,939,878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4,552,316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4,552,316</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(106,740,104)</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(90,455,678)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(90,455,678)</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(37,066,043)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(37,626,593)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(37,626,593)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(105,716,087)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(104,611,544)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(104,611,544)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consolidated balance sheets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 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right="8460" w:firstLine="8"/>
        <w:spacing w:after="0" w:line="500" w:lineRule="auto"/>
        <w:tabs>
          <w:tab w:leader="none" w:pos="1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31, 2025</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0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Liability Fair</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Location</w:t>
            </w:r>
          </w:p>
        </w:tc>
        <w:tc>
          <w:tcPr>
            <w:tcW w:w="1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Value</w:t>
            </w:r>
          </w:p>
        </w:tc>
        <w:tc>
          <w:tcPr>
            <w:tcW w:w="20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78"/>
        </w:trPr>
        <w:tc>
          <w:tcPr>
            <w:tcW w:w="1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w:t>
            </w: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as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3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202,283,530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3,016,606</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228,856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210,597,657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5,348,089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3,034,879</w:t>
            </w:r>
          </w:p>
        </w:tc>
        <w:tc>
          <w:tcPr>
            <w:tcW w:w="0" w:type="dxa"/>
            <w:vAlign w:val="bottom"/>
          </w:tcPr>
          <w:p>
            <w:pPr>
              <w:spacing w:after="0"/>
              <w:rPr>
                <w:sz w:val="1"/>
                <w:szCs w:val="1"/>
                <w:color w:val="auto"/>
              </w:rPr>
            </w:pPr>
          </w:p>
        </w:tc>
      </w:tr>
      <w:tr>
        <w:trPr>
          <w:trHeight w:val="223"/>
        </w:trPr>
        <w:tc>
          <w:tcPr>
            <w:tcW w:w="1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202,283,530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3,016,606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210,597,657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color w:val="auto"/>
              </w:rPr>
              <w:t>Net Amount Gain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Derivative</w:t>
            </w:r>
          </w:p>
        </w:tc>
        <w:tc>
          <w:tcPr>
            <w:tcW w:w="2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Classification</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474,540</w:t>
            </w:r>
          </w:p>
        </w:tc>
        <w:tc>
          <w:tcPr>
            <w:tcW w:w="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561,778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two lines of credit for the purpose of funding mortgage loans.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lines of credit, with U.S. Bank, allows SecurityNational Mortgage to borrow up to $15,000,000. The relevant agreement contemplates interest at 2.10% plus the greater of (i) 0%, and (ii) the one-month forward-looking term rate based on SOFR on drawn amounts and matures on June 20, 2025. The Company is required to comply with covenants for adjusted tangible net worth, unrestricted cash balance, and a minimum pre-tax loss below $2.5 million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line of credit, with Western Alliance Bank, allows SecurityNational Mortgage to borrow up to $25,000,000. The relevant agreement contemplates interest at the 1-Month SOFR rate plus 2.0% on drawn amounts and matures on August 27, 2025. The Company is required to comply with covenants for adjusted tangible net worth, unrestricted cash balance, and a minimum pre-tax loss below $2.5 million for the quarter.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for both warehouse lines of credit include cross default provisions where certain events of default under other of SecurityNational Mortgage’s obligations constitute events of default under the warehouse lines of credit. As of March 31, 2025, SecurityNational Mortgage was in compliance with all covenants under its warehouse lines of credit.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debt covenants on its revolving lines of credit and is required to comply with minimum operating cash flow ratios and minimum net worth requirement for each of its business segments. The Company also has debt covenants for one of its loans on real estate requiring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March 31, 2025, the Company was in compliance with all these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condensed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 March 31,</w:t>
            </w:r>
          </w:p>
        </w:tc>
        <w:tc>
          <w:tcPr>
            <w:tcW w:w="140" w:type="dxa"/>
            <w:vAlign w:val="bottom"/>
          </w:tcPr>
          <w:p>
            <w:pPr>
              <w:spacing w:after="0"/>
              <w:rPr>
                <w:sz w:val="24"/>
                <w:szCs w:val="24"/>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As of December 31,</w:t>
            </w:r>
          </w:p>
        </w:tc>
        <w:tc>
          <w:tcPr>
            <w:tcW w:w="560" w:type="dxa"/>
            <w:vAlign w:val="bottom"/>
          </w:tcPr>
          <w:p>
            <w:pPr>
              <w:spacing w:after="0"/>
              <w:rPr>
                <w:sz w:val="24"/>
                <w:szCs w:val="24"/>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2,939,878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3,461,146</w:t>
            </w:r>
          </w:p>
        </w:tc>
        <w:tc>
          <w:tcPr>
            <w:tcW w:w="5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35,852</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90,370</w:t>
            </w:r>
          </w:p>
        </w:tc>
        <w:tc>
          <w:tcPr>
            <w:tcW w:w="560" w:type="dxa"/>
            <w:vAlign w:val="bottom"/>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(136,182)</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(611,638)</w:t>
            </w:r>
          </w:p>
        </w:tc>
        <w:tc>
          <w:tcPr>
            <w:tcW w:w="5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198"/>
        </w:trPr>
        <w:tc>
          <w:tcPr>
            <w:tcW w:w="6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10"/>
        </w:trPr>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2,839,548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198"/>
        </w:trPr>
        <w:tc>
          <w:tcPr>
            <w:tcW w:w="6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09"/>
        </w:trPr>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2,839,548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2,939,878</w:t>
            </w:r>
          </w:p>
        </w:tc>
        <w:tc>
          <w:tcPr>
            <w:tcW w:w="560" w:type="dxa"/>
            <w:vAlign w:val="bottom"/>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28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4,288,738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4,552,316</w:t>
            </w:r>
          </w:p>
        </w:tc>
        <w:tc>
          <w:tcPr>
            <w:tcW w:w="560" w:type="dxa"/>
            <w:vAlign w:val="bottom"/>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8"/>
        </w:trPr>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(1)Included in mortgage fee income on the condensed consolidated statements of earnings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9"/>
        </w:trPr>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(2)Included in other expenses on the condensed consolidated statements of earnings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660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March 31, 2025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Estimated MSR</w:t>
            </w:r>
          </w:p>
        </w:tc>
      </w:t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276,708</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249,392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221,913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198,505</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1,579,406</w:t>
            </w: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2,839,548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48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256,662</w:t>
            </w:r>
          </w:p>
        </w:tc>
        <w:tc>
          <w:tcPr>
            <w:tcW w:w="6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19,617</w:t>
            </w: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23,208</w:t>
            </w: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March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of December</w:t>
            </w:r>
          </w:p>
        </w:tc>
        <w:tc>
          <w:tcPr>
            <w:tcW w:w="2800" w:type="dxa"/>
            <w:vAlign w:val="bottom"/>
          </w:tcPr>
          <w:p>
            <w:pPr>
              <w:spacing w:after="0"/>
              <w:rPr>
                <w:sz w:val="18"/>
                <w:szCs w:val="18"/>
                <w:color w:val="auto"/>
              </w:rPr>
            </w:pPr>
          </w:p>
        </w:tc>
      </w:tr>
      <w:tr>
        <w:trPr>
          <w:trHeight w:val="234"/>
        </w:trPr>
        <w:tc>
          <w:tcPr>
            <w:tcW w:w="37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31, 2024</w:t>
            </w:r>
          </w:p>
        </w:tc>
        <w:tc>
          <w:tcPr>
            <w:tcW w:w="80" w:type="dxa"/>
            <w:vAlign w:val="bottom"/>
            <w:tcBorders>
              <w:bottom w:val="single" w:sz="8" w:color="CCEEFF"/>
            </w:tcBorders>
          </w:tcPr>
          <w:p>
            <w:pPr>
              <w:spacing w:after="0"/>
              <w:rPr>
                <w:sz w:val="20"/>
                <w:szCs w:val="20"/>
                <w:color w:val="auto"/>
              </w:rPr>
            </w:pPr>
          </w:p>
        </w:tc>
        <w:tc>
          <w:tcPr>
            <w:tcW w:w="28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381,495,494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385,134,774</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432"/>
        </w:trPr>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4"/>
        </w:trPr>
        <w:tc>
          <w:tcPr>
            <w:tcW w:w="3780" w:type="dxa"/>
            <w:vAlign w:val="bottom"/>
          </w:tcPr>
          <w:p>
            <w:pPr>
              <w:spacing w:after="0"/>
              <w:rPr>
                <w:sz w:val="24"/>
                <w:szCs w:val="24"/>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Prepayment</w:t>
            </w:r>
          </w:p>
        </w:tc>
        <w:tc>
          <w:tcPr>
            <w:tcW w:w="10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16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Discount</w:t>
            </w:r>
          </w:p>
        </w:tc>
        <w:tc>
          <w:tcPr>
            <w:tcW w:w="2800" w:type="dxa"/>
            <w:vAlign w:val="bottom"/>
          </w:tcPr>
          <w:p>
            <w:pPr>
              <w:spacing w:after="0"/>
              <w:rPr>
                <w:sz w:val="24"/>
                <w:szCs w:val="24"/>
                <w:color w:val="auto"/>
              </w:rPr>
            </w:pPr>
          </w:p>
        </w:tc>
      </w:tr>
      <w:tr>
        <w:trPr>
          <w:trHeight w:val="234"/>
        </w:trPr>
        <w:tc>
          <w:tcPr>
            <w:tcW w:w="3780" w:type="dxa"/>
            <w:vAlign w:val="bottom"/>
          </w:tcPr>
          <w:p>
            <w:pPr>
              <w:spacing w:after="0"/>
              <w:rPr>
                <w:sz w:val="20"/>
                <w:szCs w:val="20"/>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Speeds</w:t>
            </w:r>
          </w:p>
        </w:tc>
        <w:tc>
          <w:tcPr>
            <w:tcW w:w="100" w:type="dxa"/>
            <w:vAlign w:val="bottom"/>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Life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Rate</w:t>
            </w:r>
          </w:p>
        </w:tc>
        <w:tc>
          <w:tcPr>
            <w:tcW w:w="2800" w:type="dxa"/>
            <w:vAlign w:val="bottom"/>
          </w:tcPr>
          <w:p>
            <w:pPr>
              <w:spacing w:after="0"/>
              <w:rPr>
                <w:sz w:val="20"/>
                <w:szCs w:val="20"/>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7.83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8.28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March 31, 2025 and 2024 was 22.1% and 22.3%, respectively, which resulted in a provision for income taxes of $1,232,602 and $2,144,789, respectively. The Company’s effective tax rate is higher than the U.S. federal statutory rate of 21% due to, among other factors, state taxes as offset by certain state income tax benefits, along with certain permanent tax adjustments such as meals and entertainment and stock-based compensation. The decrease in the effective tax rate when compared to the prior year was primarily due to the Company’s decreased state income tax provision.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(March 31, 2025)</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7,103,871</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20,910,047</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2024)</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7,095,589</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20,168,405</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Receivables, net on the condensed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 periods ended March 31, 2025 and 2024 was $1,159,212 and $1,506,114,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338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color w:val="auto"/>
              </w:rPr>
              <w:t>March 31,</w:t>
            </w:r>
          </w:p>
        </w:tc>
        <w:tc>
          <w:tcPr>
            <w:tcW w:w="104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380" w:type="dxa"/>
            <w:vAlign w:val="bottom"/>
          </w:tcPr>
          <w:p>
            <w:pPr>
              <w:spacing w:after="0"/>
              <w:rPr>
                <w:sz w:val="19"/>
                <w:szCs w:val="19"/>
                <w:color w:val="auto"/>
              </w:rPr>
            </w:pPr>
          </w:p>
        </w:tc>
      </w:tr>
      <w:tr>
        <w:trPr>
          <w:trHeight w:val="190"/>
        </w:trPr>
        <w:tc>
          <w:tcPr>
            <w:tcW w:w="38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3380" w:type="dxa"/>
            <w:vAlign w:val="bottom"/>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94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5,716,277</w:t>
            </w:r>
          </w:p>
        </w:tc>
        <w:tc>
          <w:tcPr>
            <w:tcW w:w="480" w:type="dxa"/>
            <w:vAlign w:val="bottom"/>
            <w:tcBorders>
              <w:top w:val="single" w:sz="8" w:color="CCEEFF"/>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5,410,300</w:t>
            </w:r>
          </w:p>
        </w:tc>
        <w:tc>
          <w:tcPr>
            <w:tcW w:w="3380" w:type="dxa"/>
            <w:vAlign w:val="bottom"/>
          </w:tcPr>
          <w:p>
            <w:pPr>
              <w:spacing w:after="0"/>
              <w:rPr>
                <w:sz w:val="18"/>
                <w:szCs w:val="18"/>
                <w:color w:val="auto"/>
              </w:rPr>
            </w:pPr>
          </w:p>
        </w:tc>
      </w:tr>
      <w:tr>
        <w:trPr>
          <w:trHeight w:val="230"/>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1,583,944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1,538,191</w:t>
            </w:r>
          </w:p>
        </w:tc>
        <w:tc>
          <w:tcPr>
            <w:tcW w:w="3380" w:type="dxa"/>
            <w:vAlign w:val="bottom"/>
          </w:tcPr>
          <w:p>
            <w:pPr>
              <w:spacing w:after="0"/>
              <w:rPr>
                <w:sz w:val="19"/>
                <w:szCs w:val="19"/>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7"/>
              </w:rPr>
              <w:t>7,300,221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6,948,491</w:t>
            </w:r>
          </w:p>
        </w:tc>
        <w:tc>
          <w:tcPr>
            <w:tcW w:w="3380" w:type="dxa"/>
            <w:vAlign w:val="bottom"/>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175"/>
        </w:trPr>
        <w:tc>
          <w:tcPr>
            <w:tcW w:w="3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4,154,547</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4,190,222</w:t>
            </w:r>
          </w:p>
        </w:tc>
        <w:tc>
          <w:tcPr>
            <w:tcW w:w="3380" w:type="dxa"/>
            <w:vAlign w:val="bottom"/>
          </w:tcPr>
          <w:p>
            <w:pPr>
              <w:spacing w:after="0"/>
              <w:rPr>
                <w:sz w:val="18"/>
                <w:szCs w:val="18"/>
                <w:color w:val="auto"/>
              </w:rPr>
            </w:pPr>
          </w:p>
        </w:tc>
      </w:tr>
      <w:tr>
        <w:trPr>
          <w:trHeight w:val="229"/>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3,145,674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2,758,269</w:t>
            </w:r>
          </w:p>
        </w:tc>
        <w:tc>
          <w:tcPr>
            <w:tcW w:w="3380" w:type="dxa"/>
            <w:vAlign w:val="bottom"/>
          </w:tcPr>
          <w:p>
            <w:pPr>
              <w:spacing w:after="0"/>
              <w:rPr>
                <w:sz w:val="19"/>
                <w:szCs w:val="19"/>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7,300,221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6,948,491</w:t>
            </w:r>
          </w:p>
        </w:tc>
        <w:tc>
          <w:tcPr>
            <w:tcW w:w="338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8" w:name="page59"/>
    <w:bookmarkEnd w:id="58"/>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Receivables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As of March 31,</w:t>
            </w:r>
          </w:p>
        </w:tc>
        <w:tc>
          <w:tcPr>
            <w:tcW w:w="100" w:type="dxa"/>
            <w:vAlign w:val="bottom"/>
          </w:tcPr>
          <w:p>
            <w:pPr>
              <w:spacing w:after="0"/>
              <w:rPr>
                <w:sz w:val="24"/>
                <w:szCs w:val="24"/>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As of December</w:t>
            </w:r>
          </w:p>
        </w:tc>
      </w:tr>
      <w:tr>
        <w:trPr>
          <w:trHeight w:val="234"/>
        </w:trPr>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31, 2024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7,103,871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4,169,465</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4,028,881</w:t>
            </w:r>
          </w:p>
        </w:tc>
        <w:tc>
          <w:tcPr>
            <w:tcW w:w="60" w:type="dxa"/>
            <w:vAlign w:val="bottom"/>
          </w:tcPr>
          <w:p>
            <w:pPr>
              <w:spacing w:after="0"/>
              <w:rPr>
                <w:sz w:val="18"/>
                <w:szCs w:val="18"/>
                <w:color w:val="auto"/>
              </w:rPr>
            </w:pPr>
          </w:p>
        </w:tc>
      </w:tr>
      <w:tr>
        <w:trPr>
          <w:trHeight w:val="230"/>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6,302,725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6,412,804</w:t>
            </w:r>
          </w:p>
        </w:tc>
        <w:tc>
          <w:tcPr>
            <w:tcW w:w="60" w:type="dxa"/>
            <w:vAlign w:val="bottom"/>
            <w:shd w:val="clear" w:color="auto" w:fill="CCEEFF"/>
          </w:tcPr>
          <w:p>
            <w:pPr>
              <w:spacing w:after="0"/>
              <w:rPr>
                <w:sz w:val="19"/>
                <w:szCs w:val="19"/>
                <w:color w:val="auto"/>
              </w:rPr>
            </w:pPr>
          </w:p>
        </w:tc>
      </w:tr>
      <w:tr>
        <w:trPr>
          <w:trHeight w:val="209"/>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17,576,061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17,537,274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(1,632,099)</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(1,678,531)</w:t>
            </w:r>
          </w:p>
        </w:tc>
      </w:tr>
      <w:tr>
        <w:trPr>
          <w:trHeight w:val="22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15,943,962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Three Months Ended</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16,142</w:t>
            </w: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(62,574)</w:t>
            </w:r>
          </w:p>
        </w:tc>
      </w:tr>
      <w:tr>
        <w:trPr>
          <w:trHeight w:val="26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2025</w:t>
            </w:r>
          </w:p>
        </w:tc>
        <w:tc>
          <w:tcPr>
            <w:tcW w:w="20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1,632,099</w:t>
            </w:r>
          </w:p>
        </w:tc>
        <w:tc>
          <w:tcPr>
            <w:tcW w:w="80" w:type="dxa"/>
            <w:vAlign w:val="bottom"/>
            <w:tcBorders>
              <w:bottom w:val="single" w:sz="8" w:color="CCEEFF"/>
            </w:tcBorders>
          </w:tcPr>
          <w:p>
            <w:pPr>
              <w:spacing w:after="0"/>
              <w:rPr>
                <w:sz w:val="22"/>
                <w:szCs w:val="22"/>
                <w:color w:val="auto"/>
              </w:rPr>
            </w:pPr>
          </w:p>
        </w:tc>
      </w:tr>
      <w:tr>
        <w:trPr>
          <w:trHeight w:val="196"/>
        </w:trPr>
        <w:tc>
          <w:tcPr>
            <w:tcW w:w="51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1,897,887</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(118,497)</w:t>
            </w: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(23,837)</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expenses on the condensed consolidated statements of earnings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9" w:name="page60"/>
    <w:bookmarkEnd w:id="5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March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c>
          <w:tcPr>
            <w:tcW w:w="56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4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560" w:type="dxa"/>
            <w:vAlign w:val="bottom"/>
          </w:tcPr>
          <w:p>
            <w:pPr>
              <w:spacing w:after="0"/>
              <w:rPr>
                <w:sz w:val="20"/>
                <w:szCs w:val="20"/>
                <w:color w:val="auto"/>
              </w:rPr>
            </w:pPr>
          </w:p>
        </w:tc>
      </w:tr>
      <w:tr>
        <w:trPr>
          <w:trHeight w:val="169"/>
        </w:trPr>
        <w:tc>
          <w:tcPr>
            <w:tcW w:w="49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Pr>
          <w:p>
            <w:pPr>
              <w:spacing w:after="0"/>
              <w:rPr>
                <w:sz w:val="14"/>
                <w:szCs w:val="14"/>
                <w:color w:val="auto"/>
              </w:rPr>
            </w:pPr>
          </w:p>
        </w:tc>
      </w:tr>
      <w:tr>
        <w:trPr>
          <w:trHeight w:val="21"/>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49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(1,117)</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650,332</w:t>
            </w:r>
          </w:p>
        </w:tc>
        <w:tc>
          <w:tcPr>
            <w:tcW w:w="560" w:type="dxa"/>
            <w:vAlign w:val="bottom"/>
          </w:tcPr>
          <w:p>
            <w:pPr>
              <w:spacing w:after="0"/>
              <w:rPr>
                <w:sz w:val="20"/>
                <w:szCs w:val="20"/>
                <w:color w:val="auto"/>
              </w:rPr>
            </w:pPr>
          </w:p>
        </w:tc>
      </w:tr>
      <w:tr>
        <w:trPr>
          <w:trHeight w:val="229"/>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123,933</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119,582</w:t>
            </w:r>
          </w:p>
        </w:tc>
        <w:tc>
          <w:tcPr>
            <w:tcW w:w="560" w:type="dxa"/>
            <w:vAlign w:val="bottom"/>
          </w:tcPr>
          <w:p>
            <w:pPr>
              <w:spacing w:after="0"/>
              <w:rPr>
                <w:sz w:val="19"/>
                <w:szCs w:val="19"/>
                <w:color w:val="auto"/>
              </w:rPr>
            </w:pPr>
          </w:p>
        </w:tc>
      </w:tr>
      <w:tr>
        <w:trPr>
          <w:trHeight w:val="223"/>
        </w:trPr>
        <w:tc>
          <w:tcPr>
            <w:tcW w:w="49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3,917,228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1,356,226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(201,715)</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5,071,739</w:t>
            </w:r>
          </w:p>
        </w:tc>
        <w:tc>
          <w:tcPr>
            <w:tcW w:w="560" w:type="dxa"/>
            <w:vAlign w:val="bottom"/>
          </w:tcPr>
          <w:p>
            <w:pPr>
              <w:spacing w:after="0"/>
              <w:rPr>
                <w:sz w:val="19"/>
                <w:szCs w:val="19"/>
                <w:color w:val="auto"/>
              </w:rPr>
            </w:pPr>
          </w:p>
        </w:tc>
      </w:tr>
      <w:tr>
        <w:trPr>
          <w:trHeight w:val="263"/>
        </w:trPr>
        <w:tc>
          <w:tcPr>
            <w:tcW w:w="49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3,917,228</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1,356,226</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(201,715</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5,071,739</w:t>
            </w: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r>
      <w:tr>
        <w:trPr>
          <w:trHeight w:val="197"/>
        </w:trPr>
        <w:tc>
          <w:tcPr>
            <w:tcW w:w="12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1,195,310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1,194,905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1,106,768</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891,086</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9,038,179</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(5,704,613)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3,333,566</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1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4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34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651,428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(2,010)</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649,418</w:t>
            </w:r>
          </w:p>
        </w:tc>
        <w:tc>
          <w:tcPr>
            <w:tcW w:w="0" w:type="dxa"/>
            <w:vAlign w:val="bottom"/>
          </w:tcPr>
          <w:p>
            <w:pPr>
              <w:spacing w:after="0"/>
              <w:rPr>
                <w:sz w:val="1"/>
                <w:szCs w:val="1"/>
                <w:color w:val="auto"/>
              </w:rPr>
            </w:pPr>
          </w:p>
        </w:tc>
      </w:tr>
      <w:tr>
        <w:trPr>
          <w:trHeight w:val="230"/>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125,194</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120,244</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776,622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3,874,522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1,271,529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(226,007)</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4,920,044</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202,600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1,939,269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1,002,396</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8,836,503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(5,642,693)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3,193,810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2025 and December 31, 2024. The tables set forth unrealized losses by duration with the fair value of the related fixed maturity securities:</w:t>
      </w:r>
    </w:p>
    <w:p>
      <w:pPr>
        <w:sectPr>
          <w:pgSz w:w="11900" w:h="16838" w:orient="portrait"/>
          <w:cols w:equalWidth="0" w:num="1">
            <w:col w:w="11240"/>
          </w:cols>
          <w:pgMar w:left="320" w:top="688" w:right="33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Treasury securities and obligations of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agencies</w:t>
      </w:r>
    </w:p>
    <w:p>
      <w:pPr>
        <w:spacing w:after="0" w:line="9"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color w:val="auto"/>
        </w:rPr>
        <w:t>Obligations of states and political subdivisions Totals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Losses for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Less than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w:t>
            </w: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Months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Value</w:t>
            </w:r>
          </w:p>
        </w:tc>
      </w:tr>
      <w:tr>
        <w:trPr>
          <w:trHeight w:val="63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$ 500,705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$ 500,705</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119,582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119,582</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$ 500,705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$ 620,287</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-745490</wp:posOffset>
            </wp:positionV>
            <wp:extent cx="677227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-325120</wp:posOffset>
            </wp:positionV>
            <wp:extent cx="677227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80" w:space="720"/>
            <w:col w:w="6740"/>
          </w:cols>
          <w:pgMar w:left="320" w:top="688" w:right="339" w:bottom="96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4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176"/>
        </w:trPr>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3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$ 649,419</w:t>
            </w: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$ 649,419</w:t>
            </w:r>
          </w:p>
        </w:tc>
        <w:tc>
          <w:tcPr>
            <w:tcW w:w="560" w:type="dxa"/>
            <w:vAlign w:val="bottom"/>
          </w:tcPr>
          <w:p>
            <w:pPr>
              <w:spacing w:after="0"/>
              <w:rPr>
                <w:sz w:val="20"/>
                <w:szCs w:val="20"/>
                <w:color w:val="auto"/>
              </w:rPr>
            </w:pPr>
          </w:p>
        </w:tc>
      </w:tr>
      <w:tr>
        <w:trPr>
          <w:trHeight w:val="22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120,243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120,243</w:t>
            </w:r>
          </w:p>
        </w:tc>
        <w:tc>
          <w:tcPr>
            <w:tcW w:w="560" w:type="dxa"/>
            <w:vAlign w:val="bottom"/>
          </w:tcPr>
          <w:p>
            <w:pPr>
              <w:spacing w:after="0"/>
              <w:rPr>
                <w:sz w:val="19"/>
                <w:szCs w:val="19"/>
                <w:color w:val="auto"/>
              </w:rPr>
            </w:pPr>
          </w:p>
        </w:tc>
      </w:tr>
      <w:tr>
        <w:trPr>
          <w:trHeight w:val="223"/>
        </w:trPr>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$ 769,662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$ 769,662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960" w:gutter="0" w:footer="0" w:header="0"/>
          <w:type w:val="continuous"/>
        </w:sectPr>
      </w:pPr>
    </w:p>
    <w:bookmarkStart w:id="61" w:name="page62"/>
    <w:bookmarkEnd w:id="6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three securities with fair values aggregating 99.1% of the aggregate amortized cost as of March 31, 2025. Relevant holdings were comprised of four securities with fair values aggregating 99.1% of aggregate amortized cost as of December 31, 2024. No credit losses have been recognized for the three month periods ended March 31, 2025 and 2024,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501,822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500,705</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219,761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217,837</w:t>
            </w:r>
          </w:p>
        </w:tc>
      </w:tr>
      <w:tr>
        <w:trPr>
          <w:trHeight w:val="230"/>
        </w:trPr>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51,372</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769,914</w:t>
            </w:r>
          </w:p>
        </w:tc>
        <w:tc>
          <w:tcPr>
            <w:tcW w:w="20" w:type="dxa"/>
            <w:vAlign w:val="bottom"/>
            <w:tcBorders>
              <w:top w:val="single" w:sz="8" w:color="auto"/>
            </w:tcBorders>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-1019810</wp:posOffset>
            </wp:positionV>
            <wp:extent cx="427736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-736600</wp:posOffset>
            </wp:positionV>
            <wp:extent cx="42773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-454025</wp:posOffset>
            </wp:positionV>
            <wp:extent cx="427736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7736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480" w:space="720"/>
            <w:col w:w="7040"/>
          </w:cols>
          <w:pgMar w:left="320" w:top="688" w:right="339" w:bottom="1440" w:gutter="0" w:footer="0" w:header="0"/>
          <w:type w:val="continuous"/>
        </w:sectPr>
      </w:pPr>
    </w:p>
    <w:bookmarkStart w:id="62" w:name="page63"/>
    <w:bookmarkEnd w:id="6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ectPr>
          <w:pgSz w:w="11900" w:h="16838" w:orient="portrait"/>
          <w:cols w:equalWidth="0" w:num="1">
            <w:col w:w="11240"/>
          </w:cols>
          <w:pgMar w:left="320" w:top="688"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March 31, 2025,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7"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p>
      <w:pPr>
        <w:spacing w:after="0" w:line="1" w:lineRule="exact"/>
        <w:rPr>
          <w:sz w:val="20"/>
          <w:szCs w:val="20"/>
          <w:color w:val="auto"/>
        </w:rPr>
      </w:pPr>
    </w:p>
    <w:p>
      <w:pPr>
        <w:ind w:left="180" w:right="280"/>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ind w:left="180" w:right="1280"/>
        <w:spacing w:after="0" w:line="250" w:lineRule="auto"/>
        <w:rPr>
          <w:sz w:val="20"/>
          <w:szCs w:val="20"/>
          <w:color w:val="auto"/>
        </w:rPr>
      </w:pPr>
      <w:r>
        <w:rPr>
          <w:rFonts w:ascii="Times New Roman" w:cs="Times New Roman" w:eastAsia="Times New Roman" w:hAnsi="Times New Roman"/>
          <w:sz w:val="18"/>
          <w:szCs w:val="18"/>
          <w:color w:val="auto"/>
        </w:rPr>
        <w:t>Obligations of states and political subdivisions Corporate securities including public utilities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Gross</w:t>
            </w:r>
          </w:p>
        </w:tc>
        <w:tc>
          <w:tcPr>
            <w:tcW w:w="11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Losses</w:t>
            </w:r>
          </w:p>
        </w:tc>
        <w:tc>
          <w:tcPr>
            <w:tcW w:w="3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-7620</wp:posOffset>
            </wp:positionV>
            <wp:extent cx="677227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411480</wp:posOffset>
            </wp:positionV>
            <wp:extent cx="677227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1,740,244</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5,719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1,745,288</w:t>
            </w:r>
          </w:p>
        </w:tc>
      </w:tr>
      <w:tr>
        <w:trPr>
          <w:trHeight w:val="216"/>
        </w:trPr>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470,113</w:t>
            </w:r>
          </w:p>
        </w:tc>
        <w:tc>
          <w:tcPr>
            <w:tcW w:w="4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465,517</w:t>
            </w:r>
          </w:p>
        </w:tc>
      </w:tr>
      <w:tr>
        <w:trPr>
          <w:trHeight w:val="248"/>
        </w:trPr>
        <w:tc>
          <w:tcPr>
            <w:tcW w:w="28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143,321</w:t>
            </w:r>
          </w:p>
        </w:tc>
        <w:tc>
          <w:tcPr>
            <w:tcW w:w="44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1"/>
                <w:szCs w:val="21"/>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(1,694)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141,667</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2,353,678</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2,352,472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-325120</wp:posOffset>
            </wp:positionV>
            <wp:extent cx="677227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40" w:space="80"/>
            <w:col w:w="63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9,009,982</w:t>
            </w:r>
          </w:p>
        </w:tc>
        <w:tc>
          <w:tcPr>
            <w:tcW w:w="3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2,100,071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(551,700)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10,558,353</w:t>
            </w:r>
          </w:p>
        </w:tc>
        <w:tc>
          <w:tcPr>
            <w:tcW w:w="560" w:type="dxa"/>
            <w:vAlign w:val="bottom"/>
          </w:tcPr>
          <w:p>
            <w:pPr>
              <w:spacing w:after="0"/>
              <w:rPr>
                <w:sz w:val="19"/>
                <w:szCs w:val="19"/>
                <w:color w:val="auto"/>
              </w:rPr>
            </w:pPr>
          </w:p>
        </w:tc>
      </w:tr>
      <w:tr>
        <w:trPr>
          <w:trHeight w:val="223"/>
        </w:trPr>
        <w:tc>
          <w:tcPr>
            <w:tcW w:w="4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9,009,982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1,037,234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1,035,160</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2,313,436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28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11,455,090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7"/>
        </w:trPr>
        <w:tc>
          <w:tcPr>
            <w:tcW w:w="28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7"/>
        </w:trPr>
        <w:tc>
          <w:tcPr>
            <w:tcW w:w="28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27,722,898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2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9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(1)Including cash and cash equivalents</w:t>
            </w:r>
          </w:p>
        </w:tc>
        <w:tc>
          <w:tcPr>
            <w:tcW w:w="512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color w:val="auto"/>
              </w:rPr>
              <w:t>of $10,828,570 for the life insurance and mortgage segments.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42"/>
        </w:trPr>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63" w:name="page64"/>
    <w:bookmarkEnd w:id="6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right="4100" w:firstLine="8"/>
        <w:spacing w:after="0" w:line="500" w:lineRule="auto"/>
        <w:tabs>
          <w:tab w:leader="none" w:pos="2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Restricted assets as of December 31, 2024,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4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34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9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1,741,029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(1,511)</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1,741,774</w:t>
            </w:r>
          </w:p>
        </w:tc>
      </w:tr>
      <w:tr>
        <w:trPr>
          <w:trHeight w:val="216"/>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467,174</w:t>
            </w:r>
          </w:p>
        </w:tc>
      </w:tr>
      <w:tr>
        <w:trPr>
          <w:trHeight w:val="229"/>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144,616</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142,421</w:t>
            </w:r>
          </w:p>
        </w:tc>
      </w:tr>
      <w:tr>
        <w:trPr>
          <w:trHeight w:val="263"/>
        </w:trPr>
        <w:tc>
          <w:tcPr>
            <w:tcW w:w="4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2,356,862</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100" w:type="dxa"/>
            <w:vAlign w:val="bottom"/>
            <w:tcBorders>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1,914,309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(489,852)</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9,972,166</w:t>
            </w:r>
          </w:p>
        </w:tc>
      </w:tr>
      <w:tr>
        <w:trPr>
          <w:trHeight w:val="223"/>
        </w:trPr>
        <w:tc>
          <w:tcPr>
            <w:tcW w:w="4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1,939,269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8,553,803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23,806,836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(1)Including cash and cash equivalents of $7,657,958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2025 and December 31, 2024.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Unrealized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Less than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Twelve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Months</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Loss</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140" w:type="dxa"/>
            <w:vAlign w:val="bottom"/>
          </w:tcPr>
          <w:p>
            <w:pPr>
              <w:spacing w:after="0"/>
              <w:rPr>
                <w:sz w:val="20"/>
                <w:szCs w:val="20"/>
                <w:color w:val="auto"/>
              </w:rPr>
            </w:pPr>
          </w:p>
        </w:tc>
      </w:tr>
      <w:tr>
        <w:trPr>
          <w:trHeight w:val="190"/>
        </w:trPr>
        <w:tc>
          <w:tcPr>
            <w:tcW w:w="13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At March 31, 2025</w:t>
            </w:r>
          </w:p>
        </w:tc>
        <w:tc>
          <w:tcPr>
            <w:tcW w:w="2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3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$300,423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300,423</w:t>
            </w:r>
          </w:p>
        </w:tc>
        <w:tc>
          <w:tcPr>
            <w:tcW w:w="1140" w:type="dxa"/>
            <w:vAlign w:val="bottom"/>
          </w:tcPr>
          <w:p>
            <w:pPr>
              <w:spacing w:after="0"/>
              <w:rPr>
                <w:sz w:val="20"/>
                <w:szCs w:val="20"/>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289,979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315,345</w:t>
            </w:r>
          </w:p>
        </w:tc>
        <w:tc>
          <w:tcPr>
            <w:tcW w:w="1140" w:type="dxa"/>
            <w:vAlign w:val="bottom"/>
          </w:tcPr>
          <w:p>
            <w:pPr>
              <w:spacing w:after="0"/>
              <w:rPr>
                <w:sz w:val="18"/>
                <w:szCs w:val="18"/>
                <w:color w:val="auto"/>
              </w:rPr>
            </w:pPr>
          </w:p>
        </w:tc>
      </w:tr>
      <w:tr>
        <w:trPr>
          <w:trHeight w:val="229"/>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406,606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406,606</w:t>
            </w:r>
          </w:p>
        </w:tc>
        <w:tc>
          <w:tcPr>
            <w:tcW w:w="1140" w:type="dxa"/>
            <w:vAlign w:val="bottom"/>
          </w:tcPr>
          <w:p>
            <w:pPr>
              <w:spacing w:after="0"/>
              <w:rPr>
                <w:sz w:val="19"/>
                <w:szCs w:val="19"/>
                <w:color w:val="auto"/>
              </w:rPr>
            </w:pPr>
          </w:p>
        </w:tc>
      </w:tr>
      <w:tr>
        <w:trPr>
          <w:trHeight w:val="223"/>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325,789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696,585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1,022,374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3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8"/>
        </w:trPr>
        <w:tc>
          <w:tcPr>
            <w:tcW w:w="3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$558,707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558,707</w:t>
            </w:r>
          </w:p>
        </w:tc>
        <w:tc>
          <w:tcPr>
            <w:tcW w:w="1140" w:type="dxa"/>
            <w:vAlign w:val="bottom"/>
          </w:tcPr>
          <w:p>
            <w:pPr>
              <w:spacing w:after="0"/>
              <w:rPr>
                <w:sz w:val="20"/>
                <w:szCs w:val="20"/>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237,636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129,358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366,994</w:t>
            </w:r>
          </w:p>
        </w:tc>
        <w:tc>
          <w:tcPr>
            <w:tcW w:w="1140" w:type="dxa"/>
            <w:vAlign w:val="bottom"/>
          </w:tcPr>
          <w:p>
            <w:pPr>
              <w:spacing w:after="0"/>
              <w:rPr>
                <w:sz w:val="18"/>
                <w:szCs w:val="18"/>
                <w:color w:val="auto"/>
              </w:rPr>
            </w:pPr>
          </w:p>
        </w:tc>
      </w:tr>
      <w:tr>
        <w:trPr>
          <w:trHeight w:val="229"/>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51,685</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117,389</w:t>
            </w:r>
          </w:p>
        </w:tc>
        <w:tc>
          <w:tcPr>
            <w:tcW w:w="1140" w:type="dxa"/>
            <w:vAlign w:val="bottom"/>
          </w:tcPr>
          <w:p>
            <w:pPr>
              <w:spacing w:after="0"/>
              <w:rPr>
                <w:sz w:val="19"/>
                <w:szCs w:val="19"/>
                <w:color w:val="auto"/>
              </w:rPr>
            </w:pPr>
          </w:p>
        </w:tc>
      </w:tr>
      <w:tr>
        <w:trPr>
          <w:trHeight w:val="223"/>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848,028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195,062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1,043,090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663" w:gutter="0" w:footer="0" w:header="0"/>
        </w:sectPr>
      </w:pPr>
    </w:p>
    <w:bookmarkStart w:id="64" w:name="page65"/>
    <w:bookmarkEnd w:id="6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nine securities with fair values aggregating 99.0% of the aggregate amortized cost as of March 31, 2025. Relevant holdings were comprised of 15 securities with fair values aggregating 99.2% of the aggregate amortized cost as of December 31, 2024. No credit losses have been recognized for the three month periods ended March 31, 2025 and 2024, since the increase in unrealized losses is primarily a result of increases in interest.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1,614,956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1,616,124</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308,335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310,642</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100,606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100,510</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329,781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325,196</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2,353,678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2,352,472</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-744855</wp:posOffset>
            </wp:positionV>
            <wp:extent cx="498919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-462280</wp:posOffset>
            </wp:positionV>
            <wp:extent cx="498919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5" w:name="page66"/>
    <w:bookmarkEnd w:id="65"/>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2025 (Unaudited)</w:t>
      </w:r>
    </w:p>
    <w:p>
      <w:pPr>
        <w:spacing w:after="0" w:line="176"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 for</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3,916,254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(1,035,099)</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(127,525)</w:t>
            </w:r>
          </w:p>
        </w:tc>
        <w:tc>
          <w:tcPr>
            <w:tcW w:w="32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(96,551)</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3,788,729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(1,131,650)</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(796,451)</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238,552</w:t>
            </w:r>
          </w:p>
        </w:tc>
        <w:tc>
          <w:tcPr>
            <w:tcW w:w="60" w:type="dxa"/>
            <w:vAlign w:val="bottom"/>
          </w:tcPr>
          <w:p>
            <w:pPr>
              <w:spacing w:after="0"/>
              <w:rPr>
                <w:sz w:val="19"/>
                <w:szCs w:val="19"/>
                <w:color w:val="auto"/>
              </w:rPr>
            </w:pPr>
          </w:p>
        </w:tc>
      </w:tr>
      <w:tr>
        <w:trPr>
          <w:trHeight w:val="209"/>
        </w:trPr>
        <w:tc>
          <w:tcPr>
            <w:tcW w:w="5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2,992,278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(893,098</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gridSpan w:val="2"/>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(1,068)</w:t>
            </w: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r>
      <w:tr>
        <w:trPr>
          <w:trHeight w:val="209"/>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5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(1)</w:t>
            </w: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2,815</w:t>
            </w:r>
          </w:p>
        </w:tc>
        <w:tc>
          <w:tcPr>
            <w:tcW w:w="3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r>
      <w:tr>
        <w:trPr>
          <w:trHeight w:val="209"/>
        </w:trPr>
        <w:tc>
          <w:tcPr>
            <w:tcW w:w="5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2,997,612</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(895,098</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March 31, 2025:</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jc w:val="both"/>
        <w:ind w:right="42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20" w:type="dxa"/>
            <w:vAlign w:val="bottom"/>
          </w:tcPr>
          <w:p>
            <w:pPr>
              <w:spacing w:after="0"/>
              <w:rPr>
                <w:sz w:val="18"/>
                <w:szCs w:val="18"/>
                <w:color w:val="auto"/>
              </w:rPr>
            </w:pP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w w:val="98"/>
              </w:rPr>
              <w:t>Beginning Balance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4"/>
        </w:trPr>
        <w:tc>
          <w:tcPr>
            <w:tcW w:w="20" w:type="dxa"/>
            <w:vAlign w:val="bottom"/>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(6,941,915)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2,992,278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(3,949,637)</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(6,951,266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(3,953,654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-873760</wp:posOffset>
            </wp:positionV>
            <wp:extent cx="606044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6044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-462280</wp:posOffset>
            </wp:positionV>
            <wp:extent cx="6060440" cy="282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044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5519"/>
          </w:cols>
          <w:pgMar w:left="320" w:top="688" w:right="1440" w:bottom="1440" w:gutter="0" w:footer="0" w:header="0"/>
          <w:type w:val="continuous"/>
        </w:sectPr>
      </w:pP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accumulated balances of other comprehensive income (loss) as of December 31, 2024:</w:t>
      </w:r>
    </w:p>
    <w:p>
      <w:pPr>
        <w:sectPr>
          <w:pgSz w:w="11900" w:h="16838" w:orient="portrait"/>
          <w:cols w:equalWidth="0" w:num="1">
            <w:col w:w="10139"/>
          </w:cols>
          <w:pgMar w:left="320" w:top="6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600" w:hanging="44"/>
        <w:spacing w:after="0" w:line="261" w:lineRule="auto"/>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cemetery perpetual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care trust investments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20" w:type="dxa"/>
            <w:vAlign w:val="bottom"/>
          </w:tcPr>
          <w:p>
            <w:pPr>
              <w:spacing w:after="0"/>
              <w:rPr>
                <w:sz w:val="18"/>
                <w:szCs w:val="18"/>
                <w:color w:val="auto"/>
              </w:rPr>
            </w:pP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w w:val="98"/>
              </w:rPr>
              <w:t>Beginning Balance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0" w:type="dxa"/>
            <w:vAlign w:val="bottom"/>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(6,876,629)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(65,286)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(6,941,915)</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(6,951,266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-873760</wp:posOffset>
            </wp:positionV>
            <wp:extent cx="606044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6044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-462280</wp:posOffset>
            </wp:positionV>
            <wp:extent cx="6060440" cy="282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6044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5519"/>
          </w:cols>
          <w:pgMar w:left="320" w:top="688"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month periods ended March 31,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29,780</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29,852</w:t>
            </w: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18,612</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7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4,146</w:t>
            </w: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6,712</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for the three month period ended March 31, 2025 decreased due to (a) a $2,536,000 increase in selling, general and administrative expenses,</w:t>
      </w:r>
    </w:p>
    <w:p>
      <w:pPr>
        <w:spacing w:after="0" w:line="27" w:lineRule="exact"/>
        <w:rPr>
          <w:sz w:val="20"/>
          <w:szCs w:val="20"/>
          <w:color w:val="auto"/>
        </w:rPr>
      </w:pPr>
    </w:p>
    <w:p>
      <w:pPr>
        <w:jc w:val="both"/>
        <w:ind w:firstLine="8"/>
        <w:spacing w:after="0" w:line="253" w:lineRule="auto"/>
        <w:tabs>
          <w:tab w:leader="none" w:pos="2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$798,000 decrease in gains on investments and other assets, (c) a $332,000 increase in death benefits, (d) a $73,000 decrease in insurance premiums and other considerations, (e) a $60,000 decrease in intersegment revenue, and (f) a $13,000 increase in amortization of deferred policy acquisition costs, which were partially offset by (i) a $636,000 decrease in income tax expense, (ii) a $358,000 decrease in future policy benefits, (iii) a $168,000 increase in other revenues, (iv) a $26,000 decrease in intersegment expenses, (v) a $25,000 decrease in interest expense, (vi) a $19,000 increase in net investment income, and (vii) a $14,000 decrease in surrenders and other policy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eleven mortuaries in Utah and four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month periods ended March 31,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3,534</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9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Interesegment revenues</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197"/>
        </w:trPr>
        <w:tc>
          <w:tcPr>
            <w:tcW w:w="4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w:t>
            </w:r>
          </w:p>
        </w:tc>
        <w:tc>
          <w:tcPr>
            <w:tcW w:w="900" w:type="dxa"/>
            <w:vAlign w:val="bottom"/>
            <w:tcBorders>
              <w:bottom w:val="single" w:sz="8" w:color="auto"/>
            </w:tcBorders>
            <w:shd w:val="clear" w:color="auto" w:fill="CCEEFF"/>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1,703</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2,267</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three month period ended March 31, 2025 decreased due to (a) a $663,000 decrease in net investment income, (b) a $372,000 decrease in gains on investments and other assets, (c) a $234,000 increase in selling, general and administrative expenses, and (d) a $1,000 decrease in intersegment revenues, which were partially offset by (i) a $252,000 decrease in income tax expense, (ii) a $176,000 increase in mortuary at-need sales, (iii) a $146,000 increase in cemetery pre-need sales, (iv) a $60,000 decrease in amortization of deferred policy acquisition costs, (v) a $30,000 increase in cemetery at-need sales, (vi) a $21,000 decrease in cost of goods and services sold, (vii) a $15,000 increase in other revenues, and (viii) a $6,000 decrease in intersegment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0.10%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increased inflation.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 periods ended March 31, 2025 and 2024, SecurityNational Mortgage originated 1,508 loans ($517,886,000 total volume) and 1,486 loans ($465,605,000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month periods ended March 31,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7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16,955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14,731</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6,840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4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22,577</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96"/>
        </w:trPr>
        <w:tc>
          <w:tcPr>
            <w:tcW w:w="37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loss</w:t>
            </w: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w:t>
            </w:r>
          </w:p>
        </w:tc>
        <w:tc>
          <w:tcPr>
            <w:tcW w:w="16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Losses for the three month period ended March 31, 2025 increased due to (a) a $2,025,000 increase in commissions, (b) a $804,000 increase in personnel expenses, (c) a $332,000 increase in other expenses, (d) a $120,000 increase in advertising expenses, (e) a $117,000 increase in interest expense, (f) a $102,000 decrease in income from loan originations, (g) a $99,000 decrease in net investment income, (h) a $87,000 decrease in the fair value of loan commitments, (i) a $61,000 decrease in other revenues, (j) a $25,000 decrease in intersegment revenues, and (k) a $3,000 increase in depreciation on property and equipment, which were partially offset by (i) a $2,224,000 increase in secondary gains from investors, (ii) a $942,000 increase in the fair value of loans held for sale, (iii) a $404,000 decrease in rent and rent related expenses, (iv) a $87,000 increase in gains on investments and other assets, (v) a $53,000 decrease in intersegment expenses, (vi) a $34,000 decrease in costs related to funding mortgage loans, and (vii) a $24,000 increase in income tax benefit.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 period ended March 31, 2025, Compared to Three month period ended March 31,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$1,552,000, or 1.9%, to $82,740,000 for the three month period ended March 31, 2025, from $81,188,000 for the comparable period in 2024. Contributing to this increase in total revenues was a $2,977,000 increase in mortgage fee income, a $352,000 increase in net mortuary and cemetery sales, and a $122,000 increase in other revenues, which were partially offset by a $1,083,000 decrease in gains on investments and other assets, a $744,000 decrease in net investment income, and a $72,000 decrease in insurance premiums and other considerations.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increased by $2,977,000, or 13.6%, to $24,809,000, for the three month period ended March 31, 2025, from $21,832,000 for the comparable period in 2024. This increase was primarily due to a $2,224,000 increase in secondary gains from mortgage loans sold to third-party investors into the secondary market and a $942,000 increase in the fair value of loans held for sale, which were partially offset by a $102,000 decrease in loan fees and interest income net of an increase in the provision for loan loss reserve and an $87,000 decrease in the fair value of loan commitments.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decreased by $72,000, or 0.2%, to $29,780,000 for the three month period ended March 31, 2025, from $29,852,000 for the comparable period in 2024. This decrease was primarily due to a decrease of $350,000 in first year premiums, which was partially offset by an increase of $278,000 in renewal premiums.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$744,000, or 3.7%, to $19,203,000 for the three month period ended March 31, 2025, from $19,947,000 for the comparable period in 2024. This decrease was primarily attributable to a $850,000 decrease in mortgage loan interest, a $555,000 decrease in real estate income, a $288,000 decrease in interest on cash and cash equivalents, a $57,000 decrease in policy loan interest, and a $37,000 decrease in other investment income, which were partially offset by a $656,000 increase in insurance assignment income, a $261,000 increase in fixed maturity securities income, a $102,000 decrease in investment expenses, and a $24,000 increase in equity securities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$352,000, or 5.1%, to $7,300,000 for the three month period ended March 31, 2025, from $6,948,000 for the comparable period in 2024. This increase was primarily due to a $146,000 increase in cemetery pre-need sales, a $176,000 increase in mortuary at-need sales, and a $30,000 increase in cemetery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decreased by $1,083,000 to $586,000 for the three month period ended March 31, 2025, from $1,669,000 for the comparable period in 2024. This decrease in gains on investments and other assets was primarily due to a $1,094,000 decrease in gains on equity securities, primarily attributable to decreases in the fair value of these equity securities, a $103,000 decrease in gains on other assets, and a $31,000 decrease in gains on fixed maturity securities, which were partially offset by a $145,000 increase in gains on real estate.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increased by $122,000, or 13.0%, to $1,062,000 for the three month period ended March 31, 2025, from $940,000 for the comparable period in 2024. This increase was primarily due to an increase of $147,000 in other miscellaneous revenues and a decrease of $25,000 in servicing fee revenue due to a decrease in the retention of mortgage servicing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$40,000 or 0.2%, to $26,235,000 for the three month period ended March 31, 2025, from $26,275,000 for the comparable period in 2024. This decrease was primarily the result of a $358,000 decrease in future policy benefits and a $14,000 decrease in surrender and other policy benefits which were partially offset by a $332,000 increase in death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decreased by $47,000, or 1.0%, to $4,697,000 for the three month period ended March 31, 2025, from $4,744,000 for the comparable period in 2024. This decrease was primarily due to increased payment consistency from premium-paying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$5,616,000, or 14.7%, to $43,864,000 for the three month period ended March 31, 2025, from $38,248,000 for the comparable period in 2024. This increase was primarily the result of a $2,457,000 increase in commissions, a $2,327,000 increase in personnel expenses, a $1,115,000 increase in other expenses, a $136,000 increase in advertising expense, and a $28,000 increase in depreciation on property and equipment, which were partially offset by a $413,000 decrease in rent and rent related expenses and a $34,000 decrease in costs related to funding mortgage loans.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increased by $92,000, or 9.0%, to $1,119,000 for the three month period ended March 31, 2025, from $1,027,000 for the comparable period in 2024. This increase was primarily due to an increase of $117,000 in interest expense on mortgage warehouse lines of credit for loans held for sale, which was partially offset by a decrease of $25,000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decreased by $21,000, or 1.6%, to $1,253,000 for the three month period ended March 31, 2025, from $1,274,000 for the comparable period in 2024. This decrease was primarily due to a decrease of $40,000 in at-need sales, which was partially offset by an increase of $19,000 in pre-need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$77,169,000, or 93.3% of total revenues, for the three month period ended March 31, 2025, as compared to $71,569,000, or 88.2% of total revenues, for the comparable period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subsidiary SecurityNational Mortgage was in compliance with all covenants under its warehouse lines of credit. The Company has also performed an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2025 and 2024, the Company’s operations provided cash of approximately $9,586,000 and of approximately $25,077,000, respectively. The decrease in cash provided by operations was due primarily to the decrease in net earnings and in loans held for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$353,780,000 (at estimated fair value) and $348,774,000 (at estimated fair value) as of March 31, 2025 and December 31, 2024, respectively. This represented 35.5% and 38.0% of the total investments of the Company as of March 31, 2025 and December 31, 2024, respectively. Generally, all bonds owned by the life insurance subsidiaries are rated by the National Association of Insurance Commissioners. Under this rating system, there are six categories used for the rating of bonds. As of March 31, 2025, 1.8% (or $6,473,000) and as of December 31, 2024, 2.4% (or $8,431,000)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March 31, 2025 and December 31, 2024,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$469,317,000 as of March 31, 2025, as compared to $445,758,000 as of December 31, 2024. This increase was primarily due to an increase of $7,711,000 in stockholders’ equity and an increase of $16,083,000 in bank loans and other loans payable. Stockholders’ equity as a percent of total capitalization was 73.8% and 76.1% as of March 31, 2025 and December 31,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2024 was 7.0% as compared to a lapse rate of 4.4% for 2023. The 2025 lapse rate to date has been approximately the same as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approximately $121,485,000 and $120,216,000 as of March 31, 2025, and December 31, 2024,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2025,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2025,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2025 the Company executed a 10b5-1 agreement with a broker to repurchase shares of the Company’s Class A Common Stock. Under the terms of the agreement, the broker is permitted to repurchase up to $1,000,000 of the Company’s Class A Common Stock. Purchases commenced April 23, 2025. The agreement is subject to the daily time, price and volume conditions of Rule 10b-18. The agreement will expire on December 31, 2025. No share repurchases were made by or on behalf of the Company during the three months ended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three-month period ended March 31, 2025 under the 10b5-1 agreement.</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Period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1/1/2025-1/31/2025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2/1/2025-2/28/2025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3/1/2025-3/31/2025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Number (or</w:t>
            </w:r>
          </w:p>
        </w:tc>
      </w:t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Value) of Class A</w:t>
            </w:r>
          </w:p>
        </w:tc>
      </w:t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6"/>
        </w:trPr>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 Average Price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16"/>
        </w:trPr>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 per Class 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Publicly Announced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34"/>
        </w:trPr>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r>
      <w:tr>
        <w:trPr>
          <w:trHeight w:val="191"/>
        </w:trPr>
        <w:tc>
          <w:tcPr>
            <w:tcW w:w="160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6"/>
                <w:szCs w:val="16"/>
                <w:color w:val="auto"/>
              </w:rPr>
            </w:pP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194,612</w:t>
            </w:r>
          </w:p>
        </w:tc>
        <w:tc>
          <w:tcPr>
            <w:tcW w:w="20" w:type="dxa"/>
            <w:vAlign w:val="bottom"/>
          </w:tcPr>
          <w:p>
            <w:pPr>
              <w:spacing w:after="0"/>
              <w:rPr>
                <w:sz w:val="16"/>
                <w:szCs w:val="16"/>
                <w:color w:val="auto"/>
              </w:rPr>
            </w:pPr>
          </w:p>
        </w:tc>
      </w:tr>
      <w:tr>
        <w:trPr>
          <w:trHeight w:val="230"/>
        </w:trPr>
        <w:tc>
          <w:tcPr>
            <w:tcW w:w="17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194,612</w:t>
            </w:r>
          </w:p>
        </w:tc>
      </w:tr>
      <w:tr>
        <w:trPr>
          <w:trHeight w:val="234"/>
        </w:trPr>
        <w:tc>
          <w:tcPr>
            <w:tcW w:w="17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194,612</w:t>
            </w:r>
          </w:p>
        </w:tc>
      </w:tr>
      <w:tr>
        <w:trPr>
          <w:trHeight w:val="20"/>
        </w:trPr>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r>
      <w:tr>
        <w:trPr>
          <w:trHeight w:val="466"/>
        </w:trPr>
        <w:tc>
          <w:tcPr>
            <w:tcW w:w="17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4"/>
                <w:szCs w:val="24"/>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194,612</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-479425</wp:posOffset>
            </wp:positionV>
            <wp:extent cx="677227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-179705</wp:posOffset>
            </wp:positionV>
            <wp:extent cx="677227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-762635</wp:posOffset>
            </wp:positionV>
            <wp:extent cx="677227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8020"/>
          </w:cols>
          <w:pgMar w:left="320" w:top="684" w:right="339" w:bottom="1440" w:gutter="0" w:footer="0" w:header="0"/>
          <w:type w:val="continuous"/>
        </w:sectPr>
      </w:pPr>
    </w:p>
    <w:p>
      <w:pPr>
        <w:spacing w:after="0" w:line="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Trading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Section 16 officers or directors of the Company adopted, modified, or terminated a “Rule 10b5-1 trading arrangement” or “non-Rule 10b5-1 trading arrangement” (each as defined in Item 408 of Regulation S-K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3.1</w:t>
            </w:r>
          </w:p>
        </w:tc>
        <w:tc>
          <w:tcPr>
            <w:tcW w:w="3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Amended and Restated Articles of Incorporation (1)</w:t>
              </w:r>
            </w:hyperlink>
          </w:p>
        </w:tc>
      </w:tr>
      <w:tr>
        <w:trPr>
          <w:trHeight w:val="196"/>
        </w:trPr>
        <w:tc>
          <w:tcPr>
            <w:tcW w:w="102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3.2</w:t>
            </w:r>
          </w:p>
        </w:tc>
        <w:tc>
          <w:tcPr>
            <w:tcW w:w="2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Amended and Restated Bylaws (2)</w:t>
              </w:r>
            </w:hyperlink>
          </w:p>
        </w:tc>
        <w:tc>
          <w:tcPr>
            <w:tcW w:w="1240" w:type="dxa"/>
            <w:vAlign w:val="bottom"/>
          </w:tcPr>
          <w:p>
            <w:pPr>
              <w:spacing w:after="0"/>
              <w:rPr>
                <w:sz w:val="17"/>
                <w:szCs w:val="17"/>
                <w:color w:val="auto"/>
              </w:rPr>
            </w:pPr>
          </w:p>
        </w:tc>
      </w:tr>
    </w:tbl>
    <w:p>
      <w:pPr>
        <w:spacing w:after="0" w:line="9" w:lineRule="exact"/>
        <w:rPr>
          <w:sz w:val="20"/>
          <w:szCs w:val="20"/>
          <w:color w:val="auto"/>
        </w:rPr>
      </w:pPr>
    </w:p>
    <w:p>
      <w:pPr>
        <w:ind w:left="1680" w:hanging="1024"/>
        <w:spacing w:after="0"/>
        <w:tabs>
          <w:tab w:leader="none" w:pos="1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203"/>
        </w:trPr>
        <w:tc>
          <w:tcPr>
            <w:tcW w:w="1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680" w:hanging="1024"/>
        <w:spacing w:after="0"/>
        <w:tabs>
          <w:tab w:leader="none" w:pos="16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7830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Dated: May 15, 2025</w:t>
            </w:r>
          </w:p>
        </w:tc>
        <w:tc>
          <w:tcPr>
            <w:tcW w:w="1200" w:type="dxa"/>
            <w:vAlign w:val="bottom"/>
          </w:tcPr>
          <w:p>
            <w:pPr>
              <w:spacing w:after="0"/>
              <w:rPr>
                <w:sz w:val="21"/>
                <w:szCs w:val="21"/>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4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4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Dated: May 15, 2025</w:t>
            </w:r>
          </w:p>
        </w:tc>
        <w:tc>
          <w:tcPr>
            <w:tcW w:w="120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4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4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SNA-DM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Source Center, Inc. dba Security National Travel Services</w:t>
      </w:r>
    </w:p>
    <w:p>
      <w:pPr>
        <w:spacing w:after="0" w:line="9"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Endowment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Oquirrh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Towns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MEM-JK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77" w:name="page78"/>
    <w:bookmarkEnd w:id="7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8" w:name="page79"/>
    <w:bookmarkEnd w:id="7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4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2025,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0" w:name="page81"/>
    <w:bookmarkEnd w:id="8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2025,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3"/>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3"/>
    </w:lvl>
  </w:abstractNum>
  <w:abstractNum w:abstractNumId="10">
    <w:nsid w:val="38437FDB"/>
    <w:multiLevelType w:val="hybridMultilevel"/>
    <w:lvl w:ilvl="0">
      <w:lvlJc w:val="left"/>
      <w:lvlText w:val="%1)"/>
      <w:numFmt w:val="decimal"/>
      <w:start w:val="3"/>
    </w:lvl>
  </w:abstractNum>
  <w:abstractNum w:abstractNumId="11">
    <w:nsid w:val="7644A45C"/>
    <w:multiLevelType w:val="hybridMultilevel"/>
    <w:lvl w:ilvl="0">
      <w:lvlJc w:val="left"/>
      <w:lvlText w:val="%1)"/>
      <w:numFmt w:val="decimal"/>
      <w:start w:val="3"/>
    </w:lvl>
  </w:abstractNum>
  <w:abstractNum w:abstractNumId="12">
    <w:nsid w:val="32FFF902"/>
    <w:multiLevelType w:val="hybridMultilevel"/>
    <w:lvl w:ilvl="0">
      <w:lvlJc w:val="left"/>
      <w:lvlText w:val="%1)"/>
      <w:numFmt w:val="decimal"/>
      <w:start w:val="3"/>
    </w:lvl>
  </w:abstractNum>
  <w:abstractNum w:abstractNumId="13">
    <w:nsid w:val="684A481A"/>
    <w:multiLevelType w:val="hybridMultilevel"/>
    <w:lvl w:ilvl="0">
      <w:lvlJc w:val="left"/>
      <w:lvlText w:val="%1)"/>
      <w:numFmt w:val="decimal"/>
      <w:start w:val="3"/>
    </w:lvl>
  </w:abstractNum>
  <w:abstractNum w:abstractNumId="14">
    <w:nsid w:val="579478FE"/>
    <w:multiLevelType w:val="hybridMultilevel"/>
    <w:lvl w:ilvl="0">
      <w:lvlJc w:val="left"/>
      <w:lvlText w:val="%1)"/>
      <w:numFmt w:val="decimal"/>
      <w:start w:val="3"/>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3"/>
    </w:lvl>
  </w:abstractNum>
  <w:abstractNum w:abstractNumId="18">
    <w:nsid w:val="79A1DEAA"/>
    <w:multiLevelType w:val="hybridMultilevel"/>
    <w:lvl w:ilvl="0">
      <w:lvlJc w:val="left"/>
      <w:lvlText w:val="%1)"/>
      <w:numFmt w:val="decimal"/>
      <w:start w:val="3"/>
    </w:lvl>
  </w:abstractNum>
  <w:abstractNum w:abstractNumId="19">
    <w:nsid w:val="75C6C33A"/>
    <w:multiLevelType w:val="hybridMultilevel"/>
    <w:lvl w:ilvl="0">
      <w:lvlJc w:val="left"/>
      <w:lvlText w:val="%1)"/>
      <w:numFmt w:val="decimal"/>
      <w:start w:val="3"/>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3"/>
    </w:lvl>
  </w:abstractNum>
  <w:abstractNum w:abstractNumId="24">
    <w:nsid w:val="4F4EF005"/>
    <w:multiLevelType w:val="hybridMultilevel"/>
    <w:lvl w:ilvl="0">
      <w:lvlJc w:val="left"/>
      <w:lvlText w:val="%1)"/>
      <w:numFmt w:val="decimal"/>
      <w:start w:val="3"/>
    </w:lvl>
  </w:abstractNum>
  <w:abstractNum w:abstractNumId="25">
    <w:nsid w:val="23F9C13C"/>
    <w:multiLevelType w:val="hybridMultilevel"/>
    <w:lvl w:ilvl="0">
      <w:lvlJc w:val="left"/>
      <w:lvlText w:val="%1)"/>
      <w:numFmt w:val="decimal"/>
      <w:start w:val="3"/>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1)"/>
      <w:numFmt w:val="decimal"/>
      <w:start w:val="3"/>
    </w:lvl>
  </w:abstractNum>
  <w:abstractNum w:abstractNumId="28">
    <w:nsid w:val="39386575"/>
    <w:multiLevelType w:val="hybridMultilevel"/>
    <w:lvl w:ilvl="0">
      <w:lvlJc w:val="left"/>
      <w:lvlText w:val="%1)"/>
      <w:numFmt w:val="decimal"/>
      <w:start w:val="3"/>
    </w:lvl>
  </w:abstractNum>
  <w:abstractNum w:abstractNumId="29">
    <w:nsid w:val="1CF10FD8"/>
    <w:multiLevelType w:val="hybridMultilevel"/>
    <w:lvl w:ilvl="0">
      <w:lvlJc w:val="left"/>
      <w:lvlText w:val="%1)"/>
      <w:numFmt w:val="decimal"/>
      <w:start w:val="4"/>
    </w:lvl>
  </w:abstractNum>
  <w:abstractNum w:abstractNumId="30">
    <w:nsid w:val="180115BE"/>
    <w:multiLevelType w:val="hybridMultilevel"/>
    <w:lvl w:ilvl="0">
      <w:lvlJc w:val="left"/>
      <w:lvlText w:val="%1)"/>
      <w:numFmt w:val="decimal"/>
      <w:start w:val="4"/>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5"/>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5"/>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5"/>
    </w:lvl>
  </w:abstractNum>
  <w:abstractNum w:abstractNumId="43">
    <w:nsid w:val="310C50B3"/>
    <w:multiLevelType w:val="hybridMultilevel"/>
    <w:lvl w:ilvl="0">
      <w:lvlJc w:val="left"/>
      <w:lvlText w:val="%1)"/>
      <w:numFmt w:val="decimal"/>
      <w:start w:val="6"/>
    </w:lvl>
  </w:abstractNum>
  <w:abstractNum w:abstractNumId="44">
    <w:nsid w:val="5FF87E05"/>
    <w:multiLevelType w:val="hybridMultilevel"/>
    <w:lvl w:ilvl="0">
      <w:lvlJc w:val="left"/>
      <w:lvlText w:val="%1)"/>
      <w:numFmt w:val="decimal"/>
      <w:start w:val="7"/>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3"/>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3"/>
    </w:lvl>
  </w:abstractNum>
  <w:abstractNum w:abstractNumId="49">
    <w:nsid w:val="1F48EAA1"/>
    <w:multiLevelType w:val="hybridMultilevel"/>
    <w:lvl w:ilvl="0">
      <w:lvlJc w:val="left"/>
      <w:lvlText w:val="%1)"/>
      <w:numFmt w:val="decimal"/>
      <w:start w:val="8"/>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decimal"/>
      <w:start w:val="8"/>
    </w:lvl>
  </w:abstractNum>
  <w:abstractNum w:abstractNumId="52">
    <w:nsid w:val="100F8FCA"/>
    <w:multiLevelType w:val="hybridMultilevel"/>
    <w:lvl w:ilvl="0">
      <w:lvlJc w:val="left"/>
      <w:lvlText w:val="%1)"/>
      <w:numFmt w:val="decimal"/>
      <w:start w:val="8"/>
    </w:lvl>
  </w:abstractNum>
  <w:abstractNum w:abstractNumId="53">
    <w:nsid w:val="6590700B"/>
    <w:multiLevelType w:val="hybridMultilevel"/>
    <w:lvl w:ilvl="0">
      <w:lvlJc w:val="left"/>
      <w:lvlText w:val="%1)"/>
      <w:numFmt w:val="decimal"/>
      <w:start w:val="8"/>
    </w:lvl>
  </w:abstractNum>
  <w:abstractNum w:abstractNumId="54">
    <w:nsid w:val="15014ACB"/>
    <w:multiLevelType w:val="hybridMultilevel"/>
    <w:lvl w:ilvl="0">
      <w:lvlJc w:val="left"/>
      <w:lvlText w:val="%1)"/>
      <w:numFmt w:val="decimal"/>
      <w:start w:val="8"/>
    </w:lvl>
  </w:abstractNum>
  <w:abstractNum w:abstractNumId="55">
    <w:nsid w:val="5F5E7FD0"/>
    <w:multiLevelType w:val="hybridMultilevel"/>
    <w:lvl w:ilvl="0">
      <w:lvlJc w:val="left"/>
      <w:lvlText w:val="%1)"/>
      <w:numFmt w:val="decimal"/>
      <w:start w:val="8"/>
    </w:lvl>
  </w:abstractNum>
  <w:abstractNum w:abstractNumId="56">
    <w:nsid w:val="98A3148"/>
    <w:multiLevelType w:val="hybridMultilevel"/>
    <w:lvl w:ilvl="0">
      <w:lvlJc w:val="left"/>
      <w:lvlText w:val="%1)"/>
      <w:numFmt w:val="decimal"/>
      <w:start w:val="8"/>
    </w:lvl>
  </w:abstractNum>
  <w:abstractNum w:abstractNumId="57">
    <w:nsid w:val="799D0247"/>
    <w:multiLevelType w:val="hybridMultilevel"/>
    <w:lvl w:ilvl="0">
      <w:lvlJc w:val="left"/>
      <w:lvlText w:val="%1)"/>
      <w:numFmt w:val="decimal"/>
      <w:start w:val="8"/>
    </w:lvl>
  </w:abstractNum>
  <w:abstractNum w:abstractNumId="58">
    <w:nsid w:val="6B94764"/>
    <w:multiLevelType w:val="hybridMultilevel"/>
    <w:lvl w:ilvl="0">
      <w:lvlJc w:val="left"/>
      <w:lvlText w:val="%1)"/>
      <w:numFmt w:val="decimal"/>
      <w:start w:val="8"/>
    </w:lvl>
  </w:abstractNum>
  <w:abstractNum w:abstractNumId="59">
    <w:nsid w:val="42C296BD"/>
    <w:multiLevelType w:val="hybridMultilevel"/>
    <w:lvl w:ilvl="0">
      <w:lvlJc w:val="left"/>
      <w:lvlText w:val="%1)"/>
      <w:numFmt w:val="decimal"/>
      <w:start w:val="9"/>
    </w:lvl>
  </w:abstractNum>
  <w:abstractNum w:abstractNumId="60">
    <w:nsid w:val="168E121F"/>
    <w:multiLevelType w:val="hybridMultilevel"/>
    <w:lvl w:ilvl="0">
      <w:lvlJc w:val="left"/>
      <w:lvlText w:val="%1)"/>
      <w:numFmt w:val="decimal"/>
      <w:start w:val="9"/>
    </w:lvl>
  </w:abstractNum>
  <w:abstractNum w:abstractNumId="61">
    <w:nsid w:val="1EBA5D23"/>
    <w:multiLevelType w:val="hybridMultilevel"/>
    <w:lvl w:ilvl="0">
      <w:lvlJc w:val="left"/>
      <w:lvlText w:val="%1)"/>
      <w:numFmt w:val="decimal"/>
      <w:start w:val="10"/>
    </w:lvl>
  </w:abstractNum>
  <w:abstractNum w:abstractNumId="62">
    <w:nsid w:val="661E3F1E"/>
    <w:multiLevelType w:val="hybridMultilevel"/>
    <w:lvl w:ilvl="0">
      <w:lvlJc w:val="left"/>
      <w:lvlText w:val="%1)"/>
      <w:numFmt w:val="decimal"/>
      <w:start w:val="10"/>
    </w:lvl>
  </w:abstractNum>
  <w:abstractNum w:abstractNumId="63">
    <w:nsid w:val="5DC79EA8"/>
    <w:multiLevelType w:val="hybridMultilevel"/>
    <w:lvl w:ilvl="0">
      <w:lvlJc w:val="left"/>
      <w:lvlText w:val="%1)"/>
      <w:numFmt w:val="decimal"/>
      <w:start w:val="11"/>
    </w:lvl>
  </w:abstractNum>
  <w:abstractNum w:abstractNumId="64">
    <w:nsid w:val="540A471C"/>
    <w:multiLevelType w:val="hybridMultilevel"/>
    <w:lvl w:ilvl="0">
      <w:lvlJc w:val="left"/>
      <w:lvlText w:val="%1)"/>
      <w:numFmt w:val="decimal"/>
      <w:start w:val="11"/>
    </w:lvl>
  </w:abstractNum>
  <w:abstractNum w:abstractNumId="65">
    <w:nsid w:val="7BD3EE7B"/>
    <w:multiLevelType w:val="hybridMultilevel"/>
    <w:lvl w:ilvl="0">
      <w:lvlJc w:val="left"/>
      <w:lvlText w:val="%1)"/>
      <w:numFmt w:val="decimal"/>
      <w:start w:val="12"/>
    </w:lvl>
  </w:abstractNum>
  <w:abstractNum w:abstractNumId="66">
    <w:nsid w:val="51D9C564"/>
    <w:multiLevelType w:val="hybridMultilevel"/>
    <w:lvl w:ilvl="0">
      <w:lvlJc w:val="left"/>
      <w:lvlText w:val="%1)"/>
      <w:numFmt w:val="decimal"/>
      <w:start w:val="13"/>
    </w:lvl>
  </w:abstractNum>
  <w:abstractNum w:abstractNumId="67">
    <w:nsid w:val="613EFDC5"/>
    <w:multiLevelType w:val="hybridMultilevel"/>
    <w:lvl w:ilvl="0">
      <w:lvlJc w:val="left"/>
      <w:lvlText w:val="%1)"/>
      <w:numFmt w:val="decimal"/>
      <w:start w:val="13"/>
    </w:lvl>
  </w:abstractNum>
  <w:abstractNum w:abstractNumId="68">
    <w:nsid w:val="BF72B14"/>
    <w:multiLevelType w:val="hybridMultilevel"/>
    <w:lvl w:ilvl="0">
      <w:lvlJc w:val="left"/>
      <w:lvlText w:val="%1)"/>
      <w:numFmt w:val="decimal"/>
      <w:start w:val="15"/>
    </w:lvl>
  </w:abstractNum>
  <w:abstractNum w:abstractNumId="69">
    <w:nsid w:val="11447B73"/>
    <w:multiLevelType w:val="hybridMultilevel"/>
    <w:lvl w:ilvl="0">
      <w:lvlJc w:val="left"/>
      <w:lvlText w:val="%1)"/>
      <w:numFmt w:val="decimal"/>
      <w:start w:val="15"/>
    </w:lvl>
  </w:abstractNum>
  <w:abstractNum w:abstractNumId="70">
    <w:nsid w:val="42963E5A"/>
    <w:multiLevelType w:val="hybridMultilevel"/>
    <w:lvl w:ilvl="0">
      <w:lvlJc w:val="left"/>
      <w:lvlText w:val="%1)"/>
      <w:numFmt w:val="decimal"/>
      <w:start w:val="15"/>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decimal"/>
      <w:start w:val="15"/>
    </w:lvl>
  </w:abstractNum>
  <w:abstractNum w:abstractNumId="73">
    <w:nsid w:val="1A32234B"/>
    <w:multiLevelType w:val="hybridMultilevel"/>
    <w:lvl w:ilvl="0">
      <w:lvlJc w:val="left"/>
      <w:lvlText w:val="%1)"/>
      <w:numFmt w:val="decimal"/>
      <w:start w:val="15"/>
    </w:lvl>
  </w:abstractNum>
  <w:abstractNum w:abstractNumId="74">
    <w:nsid w:val="3B0FD379"/>
    <w:multiLevelType w:val="hybridMultilevel"/>
    <w:lvl w:ilvl="0">
      <w:lvlJc w:val="left"/>
      <w:lvlText w:val="%1)"/>
      <w:numFmt w:val="decimal"/>
      <w:start w:val="16"/>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21"/>
    </w:lvl>
  </w:abstractNum>
  <w:abstractNum w:abstractNumId="78">
    <w:nsid w:val="6A5EE64"/>
    <w:multiLevelType w:val="hybridMultilevel"/>
    <w:lvl w:ilvl="0">
      <w:lvlJc w:val="left"/>
      <w:lvlText w:val="%1"/>
      <w:numFmt w:val="decimal"/>
      <w:start w:val="1"/>
    </w:lvl>
    <w:lvl w:ilvl="1">
      <w:lvlJc w:val="left"/>
      <w:lvlText w:val="%2"/>
      <w:numFmt w:val="decimal"/>
      <w:start w:val="104"/>
    </w:lvl>
  </w:abstractNum>
  <w:abstractNum w:abstractNumId="79">
    <w:nsid w:val="14330624"/>
    <w:multiLevelType w:val="hybridMultilevel"/>
    <w:lvl w:ilvl="0">
      <w:lvlJc w:val="left"/>
      <w:lvlText w:val="(%1)"/>
      <w:numFmt w:val="decimal"/>
      <w:start w:val="1"/>
    </w:lvl>
    <w:lvl w:ilvl="1">
      <w:lvlJc w:val="left"/>
      <w:lvlText w:val="%2"/>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1" Type="http://schemas.openxmlformats.org/officeDocument/2006/relationships/hyperlink" Target="https://www.sec.gov/Archives/edgar/data/318673/000109690617000214/exh3_1.pdf" TargetMode="External"/><Relationship Id="rId142"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2025-05-15T08:10:41Z</dcterms:created>
  <dcterms:modified xsi:type="dcterms:W3CDTF">2025-05-15T08:10:41Z</dcterms:modified>
</cp:coreProperties>
</file>